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439F" w:rsidRPr="00E90E6C" w:rsidRDefault="000D3824" w:rsidP="0043439F">
      <w:pPr>
        <w:pStyle w:val="SemEspaamento"/>
        <w:jc w:val="center"/>
        <w:rPr>
          <w:rFonts w:ascii="Times New Roman" w:hAnsi="Times New Roman" w:cs="Times New Roman"/>
          <w:b/>
          <w:sz w:val="38"/>
          <w:szCs w:val="38"/>
        </w:rPr>
      </w:pPr>
      <w:r w:rsidRPr="00E90E6C">
        <w:rPr>
          <w:rFonts w:ascii="Times New Roman" w:hAnsi="Times New Roman" w:cs="Times New Roman"/>
          <w:b/>
          <w:sz w:val="38"/>
          <w:szCs w:val="38"/>
        </w:rPr>
        <w:t>PREFEITURA MUNICIPAL</w:t>
      </w:r>
      <w:r w:rsidR="0043439F" w:rsidRPr="00E90E6C">
        <w:rPr>
          <w:rFonts w:ascii="Times New Roman" w:hAnsi="Times New Roman" w:cs="Times New Roman"/>
          <w:b/>
          <w:sz w:val="38"/>
          <w:szCs w:val="38"/>
        </w:rPr>
        <w:t xml:space="preserve"> DE AIMORÉS - MG</w:t>
      </w:r>
    </w:p>
    <w:p w:rsidR="0043439F" w:rsidRDefault="0043439F" w:rsidP="0043439F">
      <w:pPr>
        <w:rPr>
          <w:rFonts w:cs="Times New Roman"/>
          <w:b/>
          <w:sz w:val="28"/>
          <w:szCs w:val="40"/>
        </w:rPr>
      </w:pPr>
    </w:p>
    <w:p w:rsidR="000D3824" w:rsidRPr="004B3BC8" w:rsidRDefault="000D3824" w:rsidP="0043439F">
      <w:pPr>
        <w:rPr>
          <w:rFonts w:cs="Times New Roman"/>
          <w:b/>
          <w:sz w:val="28"/>
          <w:szCs w:val="40"/>
        </w:rPr>
      </w:pPr>
    </w:p>
    <w:p w:rsidR="0043439F" w:rsidRDefault="0043439F" w:rsidP="0043439F">
      <w:pPr>
        <w:jc w:val="center"/>
        <w:rPr>
          <w:rFonts w:cs="Times New Roman"/>
          <w:b/>
          <w:sz w:val="40"/>
          <w:szCs w:val="40"/>
        </w:rPr>
      </w:pPr>
      <w:r w:rsidRPr="00E94D50">
        <w:rPr>
          <w:rFonts w:cs="Times New Roman"/>
          <w:b/>
          <w:noProof/>
          <w:sz w:val="40"/>
          <w:szCs w:val="40"/>
          <w:lang w:eastAsia="pt-BR"/>
        </w:rPr>
        <w:drawing>
          <wp:inline distT="0" distB="0" distL="0" distR="0">
            <wp:extent cx="1746139" cy="2098779"/>
            <wp:effectExtent l="19050" t="0" r="6461" b="0"/>
            <wp:docPr id="2" name="Imagem 0"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8" cstate="print"/>
                    <a:stretch>
                      <a:fillRect/>
                    </a:stretch>
                  </pic:blipFill>
                  <pic:spPr>
                    <a:xfrm>
                      <a:off x="0" y="0"/>
                      <a:ext cx="1746629" cy="2099368"/>
                    </a:xfrm>
                    <a:prstGeom prst="rect">
                      <a:avLst/>
                    </a:prstGeom>
                  </pic:spPr>
                </pic:pic>
              </a:graphicData>
            </a:graphic>
          </wp:inline>
        </w:drawing>
      </w:r>
    </w:p>
    <w:p w:rsidR="000D3824" w:rsidRPr="00E94D50" w:rsidRDefault="000D3824" w:rsidP="0043439F">
      <w:pPr>
        <w:jc w:val="center"/>
        <w:rPr>
          <w:rFonts w:cs="Times New Roman"/>
          <w:b/>
          <w:sz w:val="40"/>
          <w:szCs w:val="40"/>
        </w:rPr>
      </w:pPr>
    </w:p>
    <w:p w:rsidR="0043439F" w:rsidRPr="000D3824" w:rsidRDefault="000D3824" w:rsidP="0043439F">
      <w:pPr>
        <w:pStyle w:val="Recuodecorpodetexto"/>
        <w:spacing w:line="360" w:lineRule="auto"/>
        <w:ind w:firstLine="0"/>
        <w:jc w:val="center"/>
        <w:rPr>
          <w:rFonts w:eastAsia="Arial Unicode MS"/>
          <w:b/>
          <w:sz w:val="40"/>
          <w:szCs w:val="26"/>
        </w:rPr>
      </w:pPr>
      <w:r w:rsidRPr="000D3824">
        <w:rPr>
          <w:rFonts w:eastAsia="Arial Unicode MS"/>
          <w:b/>
          <w:sz w:val="40"/>
          <w:szCs w:val="26"/>
        </w:rPr>
        <w:t>PLANO</w:t>
      </w:r>
      <w:r w:rsidR="0043439F" w:rsidRPr="000D3824">
        <w:rPr>
          <w:rFonts w:eastAsia="Arial Unicode MS"/>
          <w:b/>
          <w:sz w:val="40"/>
          <w:szCs w:val="26"/>
        </w:rPr>
        <w:t xml:space="preserve"> MUNICIPAL DE SANEAMENTO BÁSICO</w:t>
      </w:r>
    </w:p>
    <w:p w:rsidR="0043439F" w:rsidRPr="00D315F4" w:rsidRDefault="0043439F" w:rsidP="0043439F">
      <w:pPr>
        <w:pStyle w:val="Recuodecorpodetexto"/>
        <w:ind w:firstLine="0"/>
        <w:jc w:val="center"/>
        <w:rPr>
          <w:rFonts w:eastAsia="Arial Unicode MS"/>
        </w:rPr>
      </w:pPr>
    </w:p>
    <w:p w:rsidR="0043439F" w:rsidRDefault="0043439F" w:rsidP="0043439F">
      <w:pPr>
        <w:pStyle w:val="Recuodecorpodetexto"/>
        <w:ind w:firstLine="0"/>
        <w:jc w:val="center"/>
        <w:rPr>
          <w:rFonts w:eastAsia="Arial Unicode MS"/>
        </w:rPr>
      </w:pPr>
    </w:p>
    <w:p w:rsidR="0043439F" w:rsidRDefault="000D3824" w:rsidP="000D3824">
      <w:pPr>
        <w:pStyle w:val="Recuodecorpodetexto"/>
        <w:spacing w:line="360" w:lineRule="auto"/>
        <w:ind w:firstLine="0"/>
        <w:jc w:val="right"/>
        <w:rPr>
          <w:rFonts w:eastAsia="Arial Unicode MS"/>
          <w:b/>
          <w:sz w:val="28"/>
          <w:szCs w:val="28"/>
        </w:rPr>
      </w:pPr>
      <w:r w:rsidRPr="000D3824">
        <w:rPr>
          <w:rFonts w:eastAsia="Arial Unicode MS"/>
          <w:b/>
          <w:sz w:val="28"/>
          <w:szCs w:val="28"/>
        </w:rPr>
        <w:t>VOLUME I</w:t>
      </w:r>
    </w:p>
    <w:p w:rsidR="000D3824" w:rsidRDefault="000D3824" w:rsidP="000D3824">
      <w:pPr>
        <w:pStyle w:val="Recuodecorpodetexto"/>
        <w:spacing w:line="360" w:lineRule="auto"/>
        <w:ind w:firstLine="0"/>
        <w:jc w:val="right"/>
        <w:rPr>
          <w:rFonts w:eastAsia="Arial Unicode MS"/>
          <w:b/>
          <w:sz w:val="28"/>
          <w:szCs w:val="28"/>
        </w:rPr>
      </w:pPr>
      <w:r>
        <w:rPr>
          <w:rFonts w:eastAsia="Arial Unicode MS"/>
          <w:b/>
          <w:sz w:val="28"/>
          <w:szCs w:val="28"/>
        </w:rPr>
        <w:t>PLANO MUNICIPAL DE SANE</w:t>
      </w:r>
      <w:r w:rsidR="005B6AB6">
        <w:rPr>
          <w:rFonts w:eastAsia="Arial Unicode MS"/>
          <w:b/>
          <w:sz w:val="28"/>
          <w:szCs w:val="28"/>
        </w:rPr>
        <w:t>A</w:t>
      </w:r>
      <w:r>
        <w:rPr>
          <w:rFonts w:eastAsia="Arial Unicode MS"/>
          <w:b/>
          <w:sz w:val="28"/>
          <w:szCs w:val="28"/>
        </w:rPr>
        <w:t>M</w:t>
      </w:r>
      <w:r w:rsidR="005B6AB6">
        <w:rPr>
          <w:rFonts w:eastAsia="Arial Unicode MS"/>
          <w:b/>
          <w:sz w:val="28"/>
          <w:szCs w:val="28"/>
        </w:rPr>
        <w:t>E</w:t>
      </w:r>
      <w:r>
        <w:rPr>
          <w:rFonts w:eastAsia="Arial Unicode MS"/>
          <w:b/>
          <w:sz w:val="28"/>
          <w:szCs w:val="28"/>
        </w:rPr>
        <w:t>NTO BÁSICO DE AIMORÉS</w:t>
      </w:r>
    </w:p>
    <w:p w:rsidR="0043439F" w:rsidRDefault="000D3824" w:rsidP="000D3824">
      <w:pPr>
        <w:pStyle w:val="Recuodecorpodetexto"/>
        <w:spacing w:line="360" w:lineRule="auto"/>
        <w:ind w:firstLine="0"/>
        <w:jc w:val="right"/>
        <w:rPr>
          <w:rFonts w:eastAsia="Arial Unicode MS"/>
          <w:b/>
          <w:sz w:val="28"/>
          <w:szCs w:val="28"/>
        </w:rPr>
      </w:pPr>
      <w:r>
        <w:rPr>
          <w:rFonts w:eastAsia="Arial Unicode MS"/>
          <w:b/>
          <w:sz w:val="28"/>
          <w:szCs w:val="28"/>
        </w:rPr>
        <w:t>RELATÓRIO DO DIAGNÓSTICO TÉCNICO-PARTICIPATIVO PRODUTO 04/11</w:t>
      </w:r>
    </w:p>
    <w:p w:rsidR="000D3824" w:rsidRPr="00D315F4" w:rsidRDefault="000D3824" w:rsidP="000D3824">
      <w:pPr>
        <w:pStyle w:val="Recuodecorpodetexto"/>
        <w:spacing w:line="360" w:lineRule="auto"/>
        <w:ind w:firstLine="0"/>
        <w:jc w:val="right"/>
        <w:rPr>
          <w:rFonts w:eastAsia="Arial Unicode MS"/>
          <w:b/>
          <w:sz w:val="28"/>
          <w:szCs w:val="28"/>
        </w:rPr>
      </w:pPr>
    </w:p>
    <w:p w:rsidR="0043439F" w:rsidRDefault="0043439F" w:rsidP="0043439F">
      <w:pPr>
        <w:pStyle w:val="Recuodecorpodetexto"/>
        <w:ind w:firstLine="0"/>
        <w:jc w:val="center"/>
        <w:rPr>
          <w:rFonts w:eastAsia="Arial Unicode MS"/>
          <w:b/>
        </w:rPr>
      </w:pPr>
    </w:p>
    <w:p w:rsidR="0043439F" w:rsidRPr="006C420B" w:rsidRDefault="0043439F" w:rsidP="000D3824">
      <w:pPr>
        <w:pStyle w:val="Recuodecorpodetexto"/>
        <w:ind w:firstLine="0"/>
        <w:jc w:val="right"/>
        <w:rPr>
          <w:rFonts w:eastAsia="Arial Unicode MS"/>
          <w:b/>
        </w:rPr>
      </w:pPr>
      <w:r w:rsidRPr="006C420B">
        <w:rPr>
          <w:rFonts w:eastAsia="Arial Unicode MS"/>
          <w:b/>
        </w:rPr>
        <w:t xml:space="preserve">Prefeitura Municipal de </w:t>
      </w:r>
      <w:r>
        <w:rPr>
          <w:rFonts w:eastAsia="Arial Unicode MS"/>
          <w:b/>
        </w:rPr>
        <w:t>Aimorés – PMA Contrato nº 031/13</w:t>
      </w:r>
    </w:p>
    <w:p w:rsidR="0043439F" w:rsidRDefault="0043439F" w:rsidP="000D3824">
      <w:pPr>
        <w:pStyle w:val="Recuodecorpodetexto"/>
        <w:ind w:firstLine="0"/>
        <w:jc w:val="right"/>
        <w:rPr>
          <w:rFonts w:eastAsia="Arial Unicode MS"/>
          <w:b/>
        </w:rPr>
      </w:pPr>
      <w:r w:rsidRPr="006C420B">
        <w:rPr>
          <w:rFonts w:eastAsia="Arial Unicode MS"/>
          <w:b/>
        </w:rPr>
        <w:t xml:space="preserve">Fundação </w:t>
      </w:r>
      <w:r>
        <w:rPr>
          <w:rFonts w:eastAsia="Arial Unicode MS"/>
          <w:b/>
        </w:rPr>
        <w:t>Nacional de Saúde – FUNASA Convênio nº 012/2011</w:t>
      </w:r>
    </w:p>
    <w:p w:rsidR="0043439F" w:rsidRDefault="0043439F" w:rsidP="000D3824">
      <w:pPr>
        <w:pStyle w:val="Recuodecorpodetexto"/>
        <w:ind w:firstLine="0"/>
        <w:jc w:val="right"/>
        <w:rPr>
          <w:rFonts w:eastAsia="Arial Unicode MS"/>
          <w:b/>
        </w:rPr>
      </w:pPr>
      <w:r>
        <w:rPr>
          <w:rFonts w:eastAsia="Arial Unicode MS"/>
          <w:b/>
        </w:rPr>
        <w:t>Convênio SICONV nº 759615/2011</w:t>
      </w:r>
    </w:p>
    <w:p w:rsidR="0043439F" w:rsidRDefault="0043439F" w:rsidP="000D3824">
      <w:pPr>
        <w:pStyle w:val="Recuodecorpodetexto"/>
        <w:ind w:firstLine="0"/>
        <w:jc w:val="right"/>
        <w:rPr>
          <w:rFonts w:eastAsia="Arial Unicode MS"/>
          <w:b/>
        </w:rPr>
      </w:pPr>
      <w:r>
        <w:rPr>
          <w:rFonts w:eastAsia="Arial Unicode MS"/>
          <w:b/>
        </w:rPr>
        <w:t>Proposta nº 061166/2011</w:t>
      </w:r>
    </w:p>
    <w:p w:rsidR="00E90E6C" w:rsidRDefault="00E90E6C" w:rsidP="000D3824">
      <w:pPr>
        <w:pStyle w:val="Recuodecorpodetexto"/>
        <w:ind w:firstLine="0"/>
        <w:jc w:val="right"/>
        <w:rPr>
          <w:rFonts w:eastAsia="Arial Unicode MS"/>
          <w:b/>
        </w:rPr>
      </w:pPr>
    </w:p>
    <w:p w:rsidR="00E90E6C" w:rsidRPr="006C420B" w:rsidRDefault="00E90E6C" w:rsidP="000D3824">
      <w:pPr>
        <w:pStyle w:val="Recuodecorpodetexto"/>
        <w:ind w:firstLine="0"/>
        <w:jc w:val="right"/>
        <w:rPr>
          <w:rFonts w:eastAsia="Arial Unicode MS"/>
          <w:b/>
        </w:rPr>
      </w:pPr>
    </w:p>
    <w:p w:rsidR="0043439F" w:rsidRPr="00E94D50" w:rsidRDefault="0043439F" w:rsidP="0043439F">
      <w:pPr>
        <w:jc w:val="center"/>
        <w:rPr>
          <w:rFonts w:cs="Times New Roman"/>
          <w:b/>
          <w:sz w:val="32"/>
          <w:szCs w:val="32"/>
        </w:rPr>
      </w:pPr>
    </w:p>
    <w:p w:rsidR="0043439F" w:rsidRPr="006C420B" w:rsidRDefault="0043439F" w:rsidP="0043439F">
      <w:pPr>
        <w:jc w:val="center"/>
        <w:rPr>
          <w:rFonts w:cs="Times New Roman"/>
          <w:b/>
          <w:sz w:val="32"/>
          <w:szCs w:val="32"/>
        </w:rPr>
      </w:pPr>
      <w:r w:rsidRPr="006C420B">
        <w:rPr>
          <w:rFonts w:cs="Times New Roman"/>
          <w:b/>
          <w:sz w:val="32"/>
          <w:szCs w:val="32"/>
        </w:rPr>
        <w:t>Aimorés - MG</w:t>
      </w:r>
    </w:p>
    <w:p w:rsidR="000D3824" w:rsidRDefault="0043439F" w:rsidP="0043439F">
      <w:pPr>
        <w:jc w:val="center"/>
        <w:rPr>
          <w:rFonts w:cs="Times New Roman"/>
          <w:b/>
          <w:sz w:val="32"/>
          <w:szCs w:val="32"/>
        </w:rPr>
      </w:pPr>
      <w:r w:rsidRPr="006C420B">
        <w:rPr>
          <w:rFonts w:cs="Times New Roman"/>
          <w:b/>
          <w:sz w:val="32"/>
          <w:szCs w:val="32"/>
        </w:rPr>
        <w:t>2013</w:t>
      </w:r>
    </w:p>
    <w:p w:rsidR="000D3824" w:rsidRPr="00E90E6C" w:rsidRDefault="000D3824" w:rsidP="000D3824">
      <w:pPr>
        <w:pStyle w:val="SemEspaamento"/>
        <w:jc w:val="center"/>
        <w:rPr>
          <w:rFonts w:ascii="Times New Roman" w:hAnsi="Times New Roman" w:cs="Times New Roman"/>
          <w:b/>
          <w:sz w:val="38"/>
          <w:szCs w:val="38"/>
        </w:rPr>
      </w:pPr>
      <w:r w:rsidRPr="00E90E6C">
        <w:rPr>
          <w:rFonts w:ascii="Times New Roman" w:hAnsi="Times New Roman" w:cs="Times New Roman"/>
          <w:b/>
          <w:sz w:val="38"/>
          <w:szCs w:val="38"/>
        </w:rPr>
        <w:lastRenderedPageBreak/>
        <w:t>PREFEITURA MUNICIPAL DE AIMORÉS - MG</w:t>
      </w:r>
    </w:p>
    <w:p w:rsidR="000D3824" w:rsidRDefault="000D3824" w:rsidP="000D3824">
      <w:pPr>
        <w:rPr>
          <w:rFonts w:cs="Times New Roman"/>
          <w:b/>
          <w:sz w:val="28"/>
          <w:szCs w:val="40"/>
        </w:rPr>
      </w:pPr>
    </w:p>
    <w:p w:rsidR="000D3824" w:rsidRPr="004B3BC8" w:rsidRDefault="000D3824" w:rsidP="000D3824">
      <w:pPr>
        <w:rPr>
          <w:rFonts w:cs="Times New Roman"/>
          <w:b/>
          <w:sz w:val="28"/>
          <w:szCs w:val="40"/>
        </w:rPr>
      </w:pPr>
    </w:p>
    <w:p w:rsidR="000D3824" w:rsidRDefault="000D3824" w:rsidP="000D3824">
      <w:pPr>
        <w:jc w:val="center"/>
        <w:rPr>
          <w:rFonts w:cs="Times New Roman"/>
          <w:b/>
          <w:sz w:val="40"/>
          <w:szCs w:val="40"/>
        </w:rPr>
      </w:pPr>
      <w:r w:rsidRPr="00E94D50">
        <w:rPr>
          <w:rFonts w:cs="Times New Roman"/>
          <w:b/>
          <w:noProof/>
          <w:sz w:val="40"/>
          <w:szCs w:val="40"/>
          <w:lang w:eastAsia="pt-BR"/>
        </w:rPr>
        <w:drawing>
          <wp:inline distT="0" distB="0" distL="0" distR="0">
            <wp:extent cx="1746139" cy="2098779"/>
            <wp:effectExtent l="19050" t="0" r="6461" b="0"/>
            <wp:docPr id="1" name="Imagem 0"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8" cstate="print"/>
                    <a:stretch>
                      <a:fillRect/>
                    </a:stretch>
                  </pic:blipFill>
                  <pic:spPr>
                    <a:xfrm>
                      <a:off x="0" y="0"/>
                      <a:ext cx="1746629" cy="2099368"/>
                    </a:xfrm>
                    <a:prstGeom prst="rect">
                      <a:avLst/>
                    </a:prstGeom>
                  </pic:spPr>
                </pic:pic>
              </a:graphicData>
            </a:graphic>
          </wp:inline>
        </w:drawing>
      </w:r>
    </w:p>
    <w:p w:rsidR="000D3824" w:rsidRPr="00E94D50" w:rsidRDefault="000D3824" w:rsidP="000D3824">
      <w:pPr>
        <w:jc w:val="center"/>
        <w:rPr>
          <w:rFonts w:cs="Times New Roman"/>
          <w:b/>
          <w:sz w:val="40"/>
          <w:szCs w:val="40"/>
        </w:rPr>
      </w:pPr>
    </w:p>
    <w:p w:rsidR="000D3824" w:rsidRPr="000D3824" w:rsidRDefault="000D3824" w:rsidP="000D3824">
      <w:pPr>
        <w:pStyle w:val="Recuodecorpodetexto"/>
        <w:spacing w:line="360" w:lineRule="auto"/>
        <w:ind w:firstLine="0"/>
        <w:jc w:val="center"/>
        <w:rPr>
          <w:rFonts w:eastAsia="Arial Unicode MS"/>
          <w:b/>
          <w:sz w:val="40"/>
          <w:szCs w:val="26"/>
        </w:rPr>
      </w:pPr>
      <w:r w:rsidRPr="000D3824">
        <w:rPr>
          <w:rFonts w:eastAsia="Arial Unicode MS"/>
          <w:b/>
          <w:sz w:val="40"/>
          <w:szCs w:val="26"/>
        </w:rPr>
        <w:t>PLANO MUNICIPAL DE SANEAMENTO BÁSICO</w:t>
      </w:r>
    </w:p>
    <w:p w:rsidR="000D3824" w:rsidRDefault="000D3824" w:rsidP="000D3824">
      <w:pPr>
        <w:pStyle w:val="Recuodecorpodetexto"/>
        <w:ind w:firstLine="0"/>
        <w:jc w:val="center"/>
        <w:rPr>
          <w:rFonts w:eastAsia="Arial Unicode MS"/>
        </w:rPr>
      </w:pPr>
    </w:p>
    <w:p w:rsidR="00E90E6C" w:rsidRDefault="00E90E6C" w:rsidP="000D3824">
      <w:pPr>
        <w:pStyle w:val="Recuodecorpodetexto"/>
        <w:ind w:firstLine="0"/>
        <w:jc w:val="center"/>
        <w:rPr>
          <w:rFonts w:eastAsia="Arial Unicode MS"/>
        </w:rPr>
      </w:pPr>
    </w:p>
    <w:p w:rsidR="00E90E6C" w:rsidRPr="00D315F4" w:rsidRDefault="00E90E6C" w:rsidP="000D3824">
      <w:pPr>
        <w:pStyle w:val="Recuodecorpodetexto"/>
        <w:ind w:firstLine="0"/>
        <w:jc w:val="center"/>
        <w:rPr>
          <w:rFonts w:eastAsia="Arial Unicode MS"/>
        </w:rPr>
      </w:pPr>
    </w:p>
    <w:p w:rsidR="000D3824" w:rsidRDefault="000D3824" w:rsidP="000D3824">
      <w:pPr>
        <w:pStyle w:val="Recuodecorpodetexto"/>
        <w:ind w:firstLine="0"/>
        <w:jc w:val="center"/>
        <w:rPr>
          <w:rFonts w:eastAsia="Arial Unicode MS"/>
        </w:rPr>
      </w:pPr>
    </w:p>
    <w:p w:rsidR="000D3824" w:rsidRDefault="000D3824" w:rsidP="000D3824">
      <w:pPr>
        <w:pStyle w:val="Recuodecorpodetexto"/>
        <w:spacing w:line="360" w:lineRule="auto"/>
        <w:ind w:firstLine="0"/>
        <w:jc w:val="right"/>
        <w:rPr>
          <w:rFonts w:eastAsia="Arial Unicode MS"/>
          <w:b/>
          <w:sz w:val="28"/>
          <w:szCs w:val="28"/>
        </w:rPr>
      </w:pPr>
      <w:r w:rsidRPr="000D3824">
        <w:rPr>
          <w:rFonts w:eastAsia="Arial Unicode MS"/>
          <w:b/>
          <w:sz w:val="28"/>
          <w:szCs w:val="28"/>
        </w:rPr>
        <w:t>VOLUME I</w:t>
      </w:r>
    </w:p>
    <w:p w:rsidR="000D3824" w:rsidRDefault="00ED6421" w:rsidP="000D3824">
      <w:pPr>
        <w:pStyle w:val="Recuodecorpodetexto"/>
        <w:spacing w:line="360" w:lineRule="auto"/>
        <w:ind w:firstLine="0"/>
        <w:jc w:val="right"/>
        <w:rPr>
          <w:rFonts w:eastAsia="Arial Unicode MS"/>
          <w:b/>
          <w:sz w:val="28"/>
          <w:szCs w:val="28"/>
        </w:rPr>
      </w:pPr>
      <w:r>
        <w:rPr>
          <w:rFonts w:eastAsia="Arial Unicode MS"/>
          <w:b/>
          <w:sz w:val="28"/>
          <w:szCs w:val="28"/>
        </w:rPr>
        <w:t>PLANO MUNICIPAL DE SANEAME</w:t>
      </w:r>
      <w:r w:rsidR="000D3824">
        <w:rPr>
          <w:rFonts w:eastAsia="Arial Unicode MS"/>
          <w:b/>
          <w:sz w:val="28"/>
          <w:szCs w:val="28"/>
        </w:rPr>
        <w:t>NTO BÁSICO DE AIMORÉS</w:t>
      </w:r>
    </w:p>
    <w:p w:rsidR="000D3824" w:rsidRDefault="000D3824" w:rsidP="000D3824">
      <w:pPr>
        <w:pStyle w:val="Recuodecorpodetexto"/>
        <w:spacing w:line="360" w:lineRule="auto"/>
        <w:ind w:firstLine="0"/>
        <w:jc w:val="right"/>
        <w:rPr>
          <w:rFonts w:eastAsia="Arial Unicode MS"/>
          <w:b/>
          <w:sz w:val="28"/>
          <w:szCs w:val="28"/>
        </w:rPr>
      </w:pPr>
      <w:r>
        <w:rPr>
          <w:rFonts w:eastAsia="Arial Unicode MS"/>
          <w:b/>
          <w:sz w:val="28"/>
          <w:szCs w:val="28"/>
        </w:rPr>
        <w:t>RELATÓRIO DO DIAGNÓSTICO TÉCNICO-PARTICIPATIVO PRODUTO 04/11</w:t>
      </w:r>
    </w:p>
    <w:p w:rsidR="000D3824" w:rsidRPr="00D315F4" w:rsidRDefault="000D3824" w:rsidP="000D3824">
      <w:pPr>
        <w:pStyle w:val="Recuodecorpodetexto"/>
        <w:spacing w:line="360" w:lineRule="auto"/>
        <w:ind w:firstLine="0"/>
        <w:jc w:val="right"/>
        <w:rPr>
          <w:rFonts w:eastAsia="Arial Unicode MS"/>
          <w:b/>
          <w:sz w:val="28"/>
          <w:szCs w:val="28"/>
        </w:rPr>
      </w:pPr>
    </w:p>
    <w:p w:rsidR="000D3824" w:rsidRDefault="000D3824" w:rsidP="000D3824">
      <w:pPr>
        <w:pStyle w:val="Recuodecorpodetexto"/>
        <w:ind w:firstLine="0"/>
        <w:jc w:val="center"/>
        <w:rPr>
          <w:rFonts w:eastAsia="Arial Unicode MS"/>
          <w:b/>
        </w:rPr>
      </w:pPr>
    </w:p>
    <w:p w:rsidR="000D3824" w:rsidRPr="006C420B" w:rsidRDefault="000D3824" w:rsidP="000D3824">
      <w:pPr>
        <w:pStyle w:val="Recuodecorpodetexto"/>
        <w:ind w:firstLine="0"/>
        <w:jc w:val="right"/>
        <w:rPr>
          <w:rFonts w:eastAsia="Arial Unicode MS"/>
          <w:b/>
        </w:rPr>
      </w:pPr>
      <w:r w:rsidRPr="006C420B">
        <w:rPr>
          <w:rFonts w:eastAsia="Arial Unicode MS"/>
          <w:b/>
        </w:rPr>
        <w:t xml:space="preserve">Prefeitura Municipal de </w:t>
      </w:r>
      <w:r>
        <w:rPr>
          <w:rFonts w:eastAsia="Arial Unicode MS"/>
          <w:b/>
        </w:rPr>
        <w:t>Aimorés – PMA Contrato nº 031/13</w:t>
      </w:r>
    </w:p>
    <w:p w:rsidR="000D3824" w:rsidRDefault="000D3824" w:rsidP="000D3824">
      <w:pPr>
        <w:pStyle w:val="Recuodecorpodetexto"/>
        <w:ind w:firstLine="0"/>
        <w:jc w:val="right"/>
        <w:rPr>
          <w:rFonts w:eastAsia="Arial Unicode MS"/>
          <w:b/>
        </w:rPr>
      </w:pPr>
      <w:r w:rsidRPr="006C420B">
        <w:rPr>
          <w:rFonts w:eastAsia="Arial Unicode MS"/>
          <w:b/>
        </w:rPr>
        <w:t xml:space="preserve">Fundação </w:t>
      </w:r>
      <w:r>
        <w:rPr>
          <w:rFonts w:eastAsia="Arial Unicode MS"/>
          <w:b/>
        </w:rPr>
        <w:t>Nacional de Saúde – FUNASA Convênio nº 012/2011</w:t>
      </w:r>
    </w:p>
    <w:p w:rsidR="000D3824" w:rsidRDefault="000D3824" w:rsidP="000D3824">
      <w:pPr>
        <w:pStyle w:val="Recuodecorpodetexto"/>
        <w:ind w:firstLine="0"/>
        <w:jc w:val="right"/>
        <w:rPr>
          <w:rFonts w:eastAsia="Arial Unicode MS"/>
          <w:b/>
        </w:rPr>
      </w:pPr>
      <w:r>
        <w:rPr>
          <w:rFonts w:eastAsia="Arial Unicode MS"/>
          <w:b/>
        </w:rPr>
        <w:t>Convênio SICONV nº 759615/2011</w:t>
      </w:r>
    </w:p>
    <w:p w:rsidR="000D3824" w:rsidRPr="006C420B" w:rsidRDefault="000D3824" w:rsidP="000D3824">
      <w:pPr>
        <w:pStyle w:val="Recuodecorpodetexto"/>
        <w:ind w:firstLine="0"/>
        <w:jc w:val="right"/>
        <w:rPr>
          <w:rFonts w:eastAsia="Arial Unicode MS"/>
          <w:b/>
        </w:rPr>
      </w:pPr>
      <w:r>
        <w:rPr>
          <w:rFonts w:eastAsia="Arial Unicode MS"/>
          <w:b/>
        </w:rPr>
        <w:t>Proposta nº 061166/2011</w:t>
      </w:r>
    </w:p>
    <w:p w:rsidR="00A369F0" w:rsidRDefault="00A369F0" w:rsidP="00A369F0">
      <w:pPr>
        <w:spacing w:after="0"/>
        <w:jc w:val="center"/>
        <w:rPr>
          <w:rFonts w:cs="Times New Roman"/>
          <w:b/>
          <w:sz w:val="32"/>
          <w:szCs w:val="32"/>
        </w:rPr>
      </w:pPr>
    </w:p>
    <w:p w:rsidR="000D3824" w:rsidRPr="006C420B" w:rsidRDefault="000D3824" w:rsidP="00A369F0">
      <w:pPr>
        <w:spacing w:after="0"/>
        <w:jc w:val="center"/>
        <w:rPr>
          <w:rFonts w:cs="Times New Roman"/>
          <w:b/>
          <w:sz w:val="32"/>
          <w:szCs w:val="32"/>
        </w:rPr>
      </w:pPr>
      <w:r w:rsidRPr="006C420B">
        <w:rPr>
          <w:rFonts w:cs="Times New Roman"/>
          <w:b/>
          <w:sz w:val="32"/>
          <w:szCs w:val="32"/>
        </w:rPr>
        <w:t>Aimorés - MG</w:t>
      </w:r>
    </w:p>
    <w:p w:rsidR="0043439F" w:rsidRPr="00E94D50" w:rsidRDefault="000D3824" w:rsidP="00A369F0">
      <w:pPr>
        <w:spacing w:after="0"/>
        <w:jc w:val="center"/>
        <w:rPr>
          <w:rFonts w:cs="Times New Roman"/>
          <w:b/>
          <w:sz w:val="32"/>
          <w:szCs w:val="32"/>
        </w:rPr>
      </w:pPr>
      <w:r>
        <w:rPr>
          <w:rFonts w:cs="Times New Roman"/>
          <w:b/>
          <w:sz w:val="32"/>
          <w:szCs w:val="32"/>
        </w:rPr>
        <w:t xml:space="preserve">Novembro de </w:t>
      </w:r>
      <w:r w:rsidRPr="006C420B">
        <w:rPr>
          <w:rFonts w:cs="Times New Roman"/>
          <w:b/>
          <w:sz w:val="32"/>
          <w:szCs w:val="32"/>
        </w:rPr>
        <w:t>2013</w:t>
      </w:r>
      <w:r>
        <w:rPr>
          <w:rFonts w:cs="Times New Roman"/>
          <w:b/>
          <w:sz w:val="32"/>
          <w:szCs w:val="32"/>
        </w:rPr>
        <w:br w:type="page"/>
      </w:r>
      <w:r w:rsidR="0043439F" w:rsidRPr="00E94D50">
        <w:rPr>
          <w:rFonts w:cs="Times New Roman"/>
          <w:b/>
          <w:sz w:val="32"/>
          <w:szCs w:val="32"/>
        </w:rPr>
        <w:lastRenderedPageBreak/>
        <w:t>PREFEITURA DO MUNICÍPIO DE AIMORÉS</w:t>
      </w:r>
      <w:r>
        <w:rPr>
          <w:rFonts w:cs="Times New Roman"/>
          <w:b/>
          <w:sz w:val="32"/>
          <w:szCs w:val="32"/>
        </w:rPr>
        <w:t>-MG</w:t>
      </w:r>
    </w:p>
    <w:p w:rsidR="0043439F" w:rsidRPr="00E94D50" w:rsidRDefault="0043439F" w:rsidP="0043439F">
      <w:pPr>
        <w:jc w:val="center"/>
        <w:rPr>
          <w:rFonts w:cs="Times New Roman"/>
          <w:b/>
          <w:sz w:val="32"/>
          <w:szCs w:val="32"/>
        </w:rPr>
      </w:pPr>
    </w:p>
    <w:p w:rsidR="0043439F" w:rsidRPr="00E94D50" w:rsidRDefault="00B55826" w:rsidP="0043439F">
      <w:pPr>
        <w:jc w:val="center"/>
        <w:rPr>
          <w:rFonts w:cs="Times New Roman"/>
          <w:szCs w:val="32"/>
        </w:rPr>
      </w:pPr>
      <w:r w:rsidRPr="00E94D50">
        <w:rPr>
          <w:rFonts w:cs="Times New Roman"/>
          <w:szCs w:val="32"/>
        </w:rPr>
        <w:t xml:space="preserve">CNPJ: </w:t>
      </w:r>
      <w:r w:rsidR="0043439F" w:rsidRPr="00E94D50">
        <w:rPr>
          <w:rFonts w:cs="Times New Roman"/>
          <w:szCs w:val="32"/>
        </w:rPr>
        <w:t>18.348.094/0001-50</w:t>
      </w:r>
    </w:p>
    <w:p w:rsidR="0043439F" w:rsidRPr="00E94D50" w:rsidRDefault="0043439F" w:rsidP="0043439F">
      <w:pPr>
        <w:jc w:val="center"/>
        <w:rPr>
          <w:rFonts w:cs="Times New Roman"/>
          <w:szCs w:val="32"/>
        </w:rPr>
      </w:pPr>
      <w:r w:rsidRPr="00E94D50">
        <w:rPr>
          <w:rFonts w:cs="Times New Roman"/>
          <w:szCs w:val="32"/>
        </w:rPr>
        <w:t>Av. Raul Soares, nº 310, Centro, CEP 35.200-000</w:t>
      </w:r>
    </w:p>
    <w:p w:rsidR="0043439F" w:rsidRPr="00E94D50" w:rsidRDefault="0043439F" w:rsidP="0043439F">
      <w:pPr>
        <w:jc w:val="center"/>
        <w:rPr>
          <w:rFonts w:cs="Times New Roman"/>
          <w:szCs w:val="32"/>
        </w:rPr>
      </w:pPr>
      <w:r w:rsidRPr="00E94D50">
        <w:rPr>
          <w:rFonts w:cs="Times New Roman"/>
          <w:szCs w:val="32"/>
        </w:rPr>
        <w:t xml:space="preserve">Aimorés – MG </w:t>
      </w:r>
    </w:p>
    <w:p w:rsidR="0043439F" w:rsidRPr="00E94D50" w:rsidRDefault="0043439F" w:rsidP="0043439F">
      <w:pPr>
        <w:jc w:val="center"/>
        <w:rPr>
          <w:rFonts w:cs="Times New Roman"/>
          <w:szCs w:val="32"/>
        </w:rPr>
      </w:pPr>
      <w:r w:rsidRPr="00E94D50">
        <w:rPr>
          <w:rFonts w:cs="Times New Roman"/>
          <w:szCs w:val="32"/>
        </w:rPr>
        <w:t>Tel.: (33) 3267-1671</w:t>
      </w:r>
    </w:p>
    <w:p w:rsidR="0043439F" w:rsidRPr="00E94D50" w:rsidRDefault="0043439F" w:rsidP="0043439F">
      <w:pPr>
        <w:jc w:val="center"/>
        <w:rPr>
          <w:rFonts w:cs="Times New Roman"/>
          <w:szCs w:val="32"/>
        </w:rPr>
      </w:pPr>
      <w:r w:rsidRPr="00E94D50">
        <w:rPr>
          <w:rFonts w:cs="Times New Roman"/>
          <w:szCs w:val="32"/>
        </w:rPr>
        <w:t>Gestão 2013-2016</w:t>
      </w:r>
    </w:p>
    <w:p w:rsidR="0043439F" w:rsidRPr="00E94D50" w:rsidRDefault="0043439F" w:rsidP="0043439F">
      <w:pPr>
        <w:jc w:val="center"/>
        <w:rPr>
          <w:rFonts w:cs="Times New Roman"/>
          <w:szCs w:val="32"/>
        </w:rPr>
      </w:pPr>
    </w:p>
    <w:p w:rsidR="0043439F" w:rsidRPr="00E94D50" w:rsidRDefault="0043439F" w:rsidP="0043439F">
      <w:pPr>
        <w:jc w:val="center"/>
        <w:rPr>
          <w:rFonts w:cs="Times New Roman"/>
          <w:b/>
          <w:szCs w:val="32"/>
        </w:rPr>
      </w:pPr>
      <w:r w:rsidRPr="00E94D50">
        <w:rPr>
          <w:rFonts w:cs="Times New Roman"/>
          <w:b/>
          <w:szCs w:val="32"/>
        </w:rPr>
        <w:t>Alaerte da Silva</w:t>
      </w:r>
    </w:p>
    <w:p w:rsidR="0043439F" w:rsidRPr="00E94D50" w:rsidRDefault="0043439F" w:rsidP="0043439F">
      <w:pPr>
        <w:jc w:val="center"/>
        <w:rPr>
          <w:rFonts w:cs="Times New Roman"/>
          <w:szCs w:val="32"/>
        </w:rPr>
      </w:pPr>
      <w:r w:rsidRPr="00E94D50">
        <w:rPr>
          <w:rFonts w:cs="Times New Roman"/>
          <w:szCs w:val="32"/>
        </w:rPr>
        <w:t>Prefeito Municipal</w:t>
      </w:r>
    </w:p>
    <w:p w:rsidR="0043439F" w:rsidRPr="00E94D50" w:rsidRDefault="0043439F" w:rsidP="0043439F">
      <w:pPr>
        <w:jc w:val="center"/>
        <w:rPr>
          <w:rFonts w:cs="Times New Roman"/>
          <w:szCs w:val="32"/>
        </w:rPr>
      </w:pPr>
    </w:p>
    <w:p w:rsidR="0043439F" w:rsidRPr="00E94D50" w:rsidRDefault="0043439F" w:rsidP="0043439F">
      <w:pPr>
        <w:jc w:val="center"/>
        <w:rPr>
          <w:rFonts w:cs="Times New Roman"/>
          <w:b/>
          <w:szCs w:val="32"/>
        </w:rPr>
      </w:pPr>
      <w:r w:rsidRPr="00E94D50">
        <w:rPr>
          <w:rFonts w:cs="Times New Roman"/>
          <w:b/>
          <w:szCs w:val="32"/>
        </w:rPr>
        <w:t>Lamonier Araújo</w:t>
      </w:r>
    </w:p>
    <w:p w:rsidR="0043439F" w:rsidRPr="00E94D50" w:rsidRDefault="0043439F" w:rsidP="0043439F">
      <w:pPr>
        <w:jc w:val="center"/>
        <w:rPr>
          <w:rFonts w:cs="Times New Roman"/>
          <w:szCs w:val="32"/>
        </w:rPr>
      </w:pPr>
      <w:r w:rsidRPr="00E94D50">
        <w:rPr>
          <w:rFonts w:cs="Times New Roman"/>
          <w:szCs w:val="32"/>
        </w:rPr>
        <w:t>Vice-Prefeito Municipal</w:t>
      </w:r>
    </w:p>
    <w:p w:rsidR="0043439F" w:rsidRPr="00E94D50" w:rsidRDefault="0043439F" w:rsidP="0043439F">
      <w:pPr>
        <w:rPr>
          <w:rFonts w:cs="Times New Roman"/>
          <w:b/>
          <w:sz w:val="32"/>
          <w:szCs w:val="32"/>
        </w:rPr>
      </w:pPr>
      <w:r w:rsidRPr="00E94D50">
        <w:rPr>
          <w:rFonts w:cs="Times New Roman"/>
          <w:b/>
          <w:sz w:val="32"/>
          <w:szCs w:val="32"/>
        </w:rPr>
        <w:br w:type="page"/>
      </w:r>
    </w:p>
    <w:p w:rsidR="00AD48E4" w:rsidRPr="00E94D50" w:rsidRDefault="00AD48E4" w:rsidP="00AD48E4">
      <w:pPr>
        <w:jc w:val="center"/>
        <w:rPr>
          <w:rFonts w:cs="Times New Roman"/>
          <w:b/>
          <w:sz w:val="32"/>
          <w:szCs w:val="32"/>
        </w:rPr>
      </w:pPr>
      <w:r w:rsidRPr="00E94D50">
        <w:rPr>
          <w:rFonts w:cs="Times New Roman"/>
          <w:b/>
          <w:sz w:val="32"/>
          <w:szCs w:val="32"/>
        </w:rPr>
        <w:lastRenderedPageBreak/>
        <w:t>CONSULTORIA CONTRATADA</w:t>
      </w:r>
    </w:p>
    <w:p w:rsidR="00AD48E4" w:rsidRPr="00E94D50" w:rsidRDefault="00AD48E4" w:rsidP="00AD48E4">
      <w:pPr>
        <w:jc w:val="center"/>
        <w:rPr>
          <w:rFonts w:cs="Times New Roman"/>
          <w:b/>
          <w:sz w:val="32"/>
          <w:szCs w:val="32"/>
        </w:rPr>
      </w:pPr>
    </w:p>
    <w:p w:rsidR="00AD48E4" w:rsidRPr="00E94D50" w:rsidRDefault="00AD48E4" w:rsidP="00AD48E4">
      <w:pPr>
        <w:jc w:val="center"/>
        <w:rPr>
          <w:rFonts w:cs="Times New Roman"/>
          <w:b/>
          <w:sz w:val="32"/>
          <w:szCs w:val="32"/>
        </w:rPr>
      </w:pPr>
      <w:r>
        <w:rPr>
          <w:rFonts w:cs="Times New Roman"/>
          <w:b/>
          <w:noProof/>
          <w:sz w:val="32"/>
          <w:szCs w:val="32"/>
          <w:lang w:eastAsia="pt-BR"/>
        </w:rPr>
        <w:drawing>
          <wp:inline distT="0" distB="0" distL="0" distR="0">
            <wp:extent cx="917614" cy="1057275"/>
            <wp:effectExtent l="57150" t="19050" r="111086" b="85725"/>
            <wp:docPr id="14" name="Imagem 8" descr="Logo Fun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Funec.jpg"/>
                    <pic:cNvPicPr/>
                  </pic:nvPicPr>
                  <pic:blipFill>
                    <a:blip r:embed="rId9" cstate="print"/>
                    <a:stretch>
                      <a:fillRect/>
                    </a:stretch>
                  </pic:blipFill>
                  <pic:spPr>
                    <a:xfrm>
                      <a:off x="0" y="0"/>
                      <a:ext cx="917851" cy="1057548"/>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D48E4" w:rsidRPr="00E94D50" w:rsidRDefault="00AD48E4" w:rsidP="00AD48E4">
      <w:pPr>
        <w:jc w:val="center"/>
        <w:rPr>
          <w:rFonts w:cs="Times New Roman"/>
          <w:b/>
          <w:sz w:val="28"/>
          <w:szCs w:val="32"/>
        </w:rPr>
      </w:pPr>
      <w:r>
        <w:rPr>
          <w:rFonts w:cs="Times New Roman"/>
          <w:b/>
          <w:sz w:val="28"/>
          <w:szCs w:val="32"/>
        </w:rPr>
        <w:t xml:space="preserve">Fundação Educacional </w:t>
      </w:r>
      <w:r w:rsidRPr="00E94D50">
        <w:rPr>
          <w:rFonts w:cs="Times New Roman"/>
          <w:b/>
          <w:sz w:val="28"/>
          <w:szCs w:val="32"/>
        </w:rPr>
        <w:t>de Caratinga</w:t>
      </w:r>
    </w:p>
    <w:p w:rsidR="00AD48E4" w:rsidRPr="00E94D50" w:rsidRDefault="00AD48E4" w:rsidP="00AD48E4">
      <w:pPr>
        <w:jc w:val="center"/>
        <w:rPr>
          <w:rFonts w:cs="Times New Roman"/>
          <w:szCs w:val="32"/>
        </w:rPr>
      </w:pPr>
      <w:r w:rsidRPr="00E94D50">
        <w:rPr>
          <w:rFonts w:cs="Times New Roman"/>
          <w:szCs w:val="32"/>
        </w:rPr>
        <w:t>CNJP: 19.325.547/0001-95</w:t>
      </w:r>
    </w:p>
    <w:p w:rsidR="00AD48E4" w:rsidRPr="00E94D50" w:rsidRDefault="00AD48E4" w:rsidP="00AD48E4">
      <w:pPr>
        <w:jc w:val="center"/>
        <w:rPr>
          <w:rFonts w:cs="Times New Roman"/>
          <w:szCs w:val="32"/>
        </w:rPr>
      </w:pPr>
      <w:r w:rsidRPr="00E94D50">
        <w:rPr>
          <w:rFonts w:cs="Times New Roman"/>
          <w:szCs w:val="32"/>
        </w:rPr>
        <w:t>AV. Moacyr de Mattos, 89, Centro.</w:t>
      </w:r>
    </w:p>
    <w:p w:rsidR="00AD48E4" w:rsidRPr="00E94D50" w:rsidRDefault="00AD48E4" w:rsidP="00AD48E4">
      <w:pPr>
        <w:jc w:val="center"/>
        <w:rPr>
          <w:rFonts w:cs="Times New Roman"/>
          <w:szCs w:val="32"/>
        </w:rPr>
      </w:pPr>
      <w:r w:rsidRPr="00E94D50">
        <w:rPr>
          <w:rFonts w:cs="Times New Roman"/>
          <w:szCs w:val="32"/>
        </w:rPr>
        <w:t xml:space="preserve">Tel.: (33) 3322-7900 – CEP 35300- </w:t>
      </w:r>
      <w:r>
        <w:rPr>
          <w:rFonts w:cs="Times New Roman"/>
          <w:szCs w:val="32"/>
        </w:rPr>
        <w:t>047</w:t>
      </w:r>
      <w:r w:rsidRPr="00E94D50">
        <w:rPr>
          <w:rFonts w:cs="Times New Roman"/>
          <w:szCs w:val="32"/>
        </w:rPr>
        <w:t xml:space="preserve"> – Caratinga/MG</w:t>
      </w:r>
    </w:p>
    <w:p w:rsidR="00AD48E4" w:rsidRPr="00E94D50" w:rsidRDefault="00AD48E4" w:rsidP="00AD48E4">
      <w:pPr>
        <w:jc w:val="center"/>
        <w:rPr>
          <w:rFonts w:cs="Times New Roman"/>
          <w:szCs w:val="32"/>
        </w:rPr>
      </w:pPr>
      <w:r w:rsidRPr="00E94D50">
        <w:rPr>
          <w:rFonts w:cs="Times New Roman"/>
          <w:szCs w:val="32"/>
        </w:rPr>
        <w:t>Home: www.unec.edu.br E-mail: engenhariacoordenacao@funec.br</w:t>
      </w:r>
    </w:p>
    <w:p w:rsidR="00AD48E4" w:rsidRPr="00E94D50" w:rsidRDefault="00AD48E4" w:rsidP="00AD48E4">
      <w:pPr>
        <w:jc w:val="center"/>
        <w:rPr>
          <w:rFonts w:cs="Times New Roman"/>
          <w:szCs w:val="32"/>
        </w:rPr>
      </w:pPr>
    </w:p>
    <w:p w:rsidR="00AD48E4" w:rsidRPr="0054384B" w:rsidRDefault="00AD48E4" w:rsidP="00AD48E4">
      <w:pPr>
        <w:jc w:val="center"/>
        <w:rPr>
          <w:rFonts w:cs="Times New Roman"/>
          <w:b/>
          <w:szCs w:val="32"/>
        </w:rPr>
      </w:pPr>
      <w:r w:rsidRPr="0054384B">
        <w:rPr>
          <w:rFonts w:cs="Times New Roman"/>
          <w:b/>
          <w:szCs w:val="32"/>
        </w:rPr>
        <w:t>Equipe Técnica:</w:t>
      </w:r>
    </w:p>
    <w:p w:rsidR="00AD48E4" w:rsidRPr="00E94D50" w:rsidRDefault="00AD48E4" w:rsidP="00AD48E4">
      <w:pPr>
        <w:jc w:val="center"/>
        <w:rPr>
          <w:rFonts w:cs="Times New Roman"/>
          <w:b/>
          <w:szCs w:val="32"/>
        </w:rPr>
      </w:pPr>
    </w:p>
    <w:p w:rsidR="00AD48E4" w:rsidRPr="00E94D50" w:rsidRDefault="00AD48E4" w:rsidP="00AD48E4">
      <w:pPr>
        <w:jc w:val="center"/>
        <w:rPr>
          <w:rFonts w:cs="Times New Roman"/>
          <w:b/>
          <w:szCs w:val="32"/>
        </w:rPr>
        <w:sectPr w:rsidR="00AD48E4" w:rsidRPr="00E94D50" w:rsidSect="005B6AB6">
          <w:headerReference w:type="default" r:id="rId10"/>
          <w:footerReference w:type="default" r:id="rId11"/>
          <w:headerReference w:type="first" r:id="rId12"/>
          <w:footerReference w:type="first" r:id="rId13"/>
          <w:pgSz w:w="11906" w:h="16838"/>
          <w:pgMar w:top="1417" w:right="1701" w:bottom="1417" w:left="1701" w:header="708" w:footer="567" w:gutter="0"/>
          <w:cols w:space="708"/>
          <w:titlePg/>
          <w:docGrid w:linePitch="360"/>
        </w:sectPr>
      </w:pPr>
    </w:p>
    <w:p w:rsidR="002210B9" w:rsidRPr="00E94D50" w:rsidRDefault="002210B9" w:rsidP="002210B9">
      <w:pPr>
        <w:spacing w:after="0"/>
        <w:jc w:val="center"/>
        <w:rPr>
          <w:rFonts w:cs="Times New Roman"/>
          <w:b/>
          <w:szCs w:val="32"/>
        </w:rPr>
      </w:pPr>
      <w:r w:rsidRPr="00E94D50">
        <w:rPr>
          <w:rFonts w:cs="Times New Roman"/>
          <w:b/>
          <w:szCs w:val="32"/>
        </w:rPr>
        <w:lastRenderedPageBreak/>
        <w:t>Marcos Alves de Magalhães</w:t>
      </w:r>
    </w:p>
    <w:p w:rsidR="002210B9" w:rsidRPr="00E94D50" w:rsidRDefault="002210B9" w:rsidP="002210B9">
      <w:pPr>
        <w:spacing w:after="0"/>
        <w:jc w:val="center"/>
        <w:rPr>
          <w:rFonts w:cs="Times New Roman"/>
          <w:szCs w:val="32"/>
        </w:rPr>
      </w:pPr>
      <w:r w:rsidRPr="00E94D50">
        <w:rPr>
          <w:rFonts w:cs="Times New Roman"/>
          <w:szCs w:val="32"/>
        </w:rPr>
        <w:t>Engenheiro Agrônomo</w:t>
      </w:r>
    </w:p>
    <w:p w:rsidR="002210B9" w:rsidRPr="00E94D50" w:rsidRDefault="002210B9" w:rsidP="002210B9">
      <w:pPr>
        <w:spacing w:after="0"/>
        <w:jc w:val="center"/>
        <w:rPr>
          <w:rFonts w:cs="Times New Roman"/>
          <w:szCs w:val="32"/>
        </w:rPr>
      </w:pPr>
    </w:p>
    <w:p w:rsidR="002210B9" w:rsidRPr="00E94D50" w:rsidRDefault="002210B9" w:rsidP="002210B9">
      <w:pPr>
        <w:spacing w:after="0"/>
        <w:jc w:val="center"/>
        <w:rPr>
          <w:rFonts w:cs="Times New Roman"/>
          <w:b/>
          <w:szCs w:val="32"/>
        </w:rPr>
      </w:pPr>
      <w:r w:rsidRPr="00E94D50">
        <w:rPr>
          <w:rFonts w:cs="Times New Roman"/>
          <w:b/>
          <w:szCs w:val="32"/>
        </w:rPr>
        <w:t>Leopoldo C. Loreto Charmelo</w:t>
      </w:r>
    </w:p>
    <w:p w:rsidR="002210B9" w:rsidRPr="00E94D50" w:rsidRDefault="002210B9" w:rsidP="002210B9">
      <w:pPr>
        <w:spacing w:after="0"/>
        <w:jc w:val="center"/>
        <w:rPr>
          <w:rFonts w:cs="Times New Roman"/>
          <w:szCs w:val="32"/>
        </w:rPr>
      </w:pPr>
      <w:r w:rsidRPr="00E94D50">
        <w:rPr>
          <w:rFonts w:cs="Times New Roman"/>
          <w:szCs w:val="32"/>
        </w:rPr>
        <w:t xml:space="preserve">Engenheiro Agrônomo </w:t>
      </w:r>
    </w:p>
    <w:p w:rsidR="002210B9" w:rsidRPr="00E94D50" w:rsidRDefault="002210B9" w:rsidP="002210B9">
      <w:pPr>
        <w:spacing w:after="0"/>
        <w:jc w:val="center"/>
        <w:rPr>
          <w:rFonts w:cs="Times New Roman"/>
          <w:szCs w:val="32"/>
        </w:rPr>
      </w:pPr>
    </w:p>
    <w:p w:rsidR="002210B9" w:rsidRPr="00E94D50" w:rsidRDefault="002210B9" w:rsidP="002210B9">
      <w:pPr>
        <w:spacing w:after="0"/>
        <w:jc w:val="center"/>
        <w:rPr>
          <w:rFonts w:cs="Times New Roman"/>
          <w:b/>
          <w:szCs w:val="32"/>
        </w:rPr>
      </w:pPr>
      <w:r w:rsidRPr="00E94D50">
        <w:rPr>
          <w:rFonts w:cs="Times New Roman"/>
          <w:b/>
          <w:szCs w:val="32"/>
        </w:rPr>
        <w:t>Joaquim Felício Júnior</w:t>
      </w:r>
    </w:p>
    <w:p w:rsidR="002210B9" w:rsidRPr="00E94D50" w:rsidRDefault="002210B9" w:rsidP="002210B9">
      <w:pPr>
        <w:spacing w:after="0"/>
        <w:jc w:val="center"/>
        <w:rPr>
          <w:rFonts w:cs="Times New Roman"/>
          <w:szCs w:val="32"/>
        </w:rPr>
      </w:pPr>
      <w:r w:rsidRPr="00E94D50">
        <w:rPr>
          <w:rFonts w:cs="Times New Roman"/>
          <w:szCs w:val="32"/>
        </w:rPr>
        <w:t>Administrador de Empresas</w:t>
      </w:r>
    </w:p>
    <w:p w:rsidR="002210B9" w:rsidRPr="00E94D50" w:rsidRDefault="002210B9" w:rsidP="002210B9">
      <w:pPr>
        <w:spacing w:after="0"/>
        <w:jc w:val="center"/>
        <w:rPr>
          <w:rFonts w:cs="Times New Roman"/>
          <w:szCs w:val="32"/>
        </w:rPr>
      </w:pPr>
    </w:p>
    <w:p w:rsidR="002210B9" w:rsidRPr="00E94D50" w:rsidRDefault="002210B9" w:rsidP="002210B9">
      <w:pPr>
        <w:spacing w:after="0"/>
        <w:jc w:val="center"/>
        <w:rPr>
          <w:rFonts w:cs="Times New Roman"/>
          <w:b/>
          <w:szCs w:val="32"/>
        </w:rPr>
      </w:pPr>
      <w:r w:rsidRPr="00E94D50">
        <w:rPr>
          <w:rFonts w:cs="Times New Roman"/>
          <w:b/>
          <w:szCs w:val="32"/>
        </w:rPr>
        <w:t>Alessandro Saraiva Loreto</w:t>
      </w:r>
    </w:p>
    <w:p w:rsidR="002210B9" w:rsidRPr="00E94D50" w:rsidRDefault="002210B9" w:rsidP="002210B9">
      <w:pPr>
        <w:spacing w:after="0"/>
        <w:jc w:val="center"/>
        <w:rPr>
          <w:rFonts w:cs="Times New Roman"/>
          <w:szCs w:val="32"/>
        </w:rPr>
      </w:pPr>
      <w:r w:rsidRPr="00E94D50">
        <w:rPr>
          <w:rFonts w:cs="Times New Roman"/>
          <w:szCs w:val="32"/>
        </w:rPr>
        <w:t>Engenheiro Civil</w:t>
      </w:r>
    </w:p>
    <w:p w:rsidR="002210B9" w:rsidRPr="00E94D50" w:rsidRDefault="002210B9" w:rsidP="002210B9">
      <w:pPr>
        <w:spacing w:after="0"/>
        <w:jc w:val="center"/>
        <w:rPr>
          <w:rFonts w:cs="Times New Roman"/>
          <w:szCs w:val="32"/>
        </w:rPr>
      </w:pPr>
    </w:p>
    <w:p w:rsidR="002210B9" w:rsidRPr="00E94D50" w:rsidRDefault="002210B9" w:rsidP="002210B9">
      <w:pPr>
        <w:spacing w:after="0"/>
        <w:jc w:val="center"/>
        <w:rPr>
          <w:rFonts w:cs="Times New Roman"/>
          <w:b/>
          <w:szCs w:val="32"/>
        </w:rPr>
      </w:pPr>
      <w:r>
        <w:rPr>
          <w:rFonts w:cs="Times New Roman"/>
          <w:b/>
          <w:szCs w:val="32"/>
        </w:rPr>
        <w:t>Henrique Fonseca Genelhu Soares</w:t>
      </w:r>
    </w:p>
    <w:p w:rsidR="002210B9" w:rsidRPr="00E94D50" w:rsidRDefault="002210B9" w:rsidP="002210B9">
      <w:pPr>
        <w:spacing w:after="0"/>
        <w:jc w:val="center"/>
        <w:rPr>
          <w:rFonts w:cs="Times New Roman"/>
          <w:szCs w:val="32"/>
        </w:rPr>
      </w:pPr>
      <w:r>
        <w:rPr>
          <w:rFonts w:cs="Times New Roman"/>
          <w:szCs w:val="32"/>
        </w:rPr>
        <w:t xml:space="preserve">Sócio </w:t>
      </w:r>
      <w:r w:rsidRPr="00E94D50">
        <w:rPr>
          <w:rFonts w:cs="Times New Roman"/>
          <w:szCs w:val="32"/>
        </w:rPr>
        <w:t>economista</w:t>
      </w:r>
    </w:p>
    <w:p w:rsidR="002210B9" w:rsidRDefault="002210B9" w:rsidP="002210B9">
      <w:pPr>
        <w:spacing w:after="0"/>
        <w:jc w:val="center"/>
        <w:rPr>
          <w:rFonts w:cs="Times New Roman"/>
          <w:szCs w:val="32"/>
        </w:rPr>
      </w:pPr>
    </w:p>
    <w:p w:rsidR="002210B9" w:rsidRPr="00DB1D1D" w:rsidRDefault="002210B9" w:rsidP="002210B9">
      <w:pPr>
        <w:spacing w:after="0"/>
        <w:jc w:val="center"/>
        <w:rPr>
          <w:rFonts w:cs="Times New Roman"/>
          <w:b/>
          <w:szCs w:val="32"/>
        </w:rPr>
      </w:pPr>
      <w:r>
        <w:rPr>
          <w:rFonts w:cs="Times New Roman"/>
          <w:b/>
          <w:szCs w:val="32"/>
        </w:rPr>
        <w:t xml:space="preserve">Solange Silva </w:t>
      </w:r>
      <w:r w:rsidR="00885F7E">
        <w:rPr>
          <w:rFonts w:cs="Times New Roman"/>
          <w:b/>
          <w:szCs w:val="32"/>
        </w:rPr>
        <w:t>Araújo</w:t>
      </w:r>
      <w:r>
        <w:rPr>
          <w:rFonts w:cs="Times New Roman"/>
          <w:b/>
          <w:szCs w:val="32"/>
        </w:rPr>
        <w:t xml:space="preserve"> </w:t>
      </w:r>
    </w:p>
    <w:p w:rsidR="002210B9" w:rsidRDefault="002210B9" w:rsidP="002210B9">
      <w:pPr>
        <w:spacing w:after="0"/>
        <w:jc w:val="center"/>
        <w:rPr>
          <w:rFonts w:cs="Times New Roman"/>
          <w:szCs w:val="32"/>
        </w:rPr>
      </w:pPr>
      <w:r>
        <w:rPr>
          <w:rFonts w:cs="Times New Roman"/>
          <w:szCs w:val="32"/>
        </w:rPr>
        <w:t xml:space="preserve">Jornalista </w:t>
      </w:r>
    </w:p>
    <w:p w:rsidR="00347E31" w:rsidRPr="00E94D50" w:rsidRDefault="00347E31" w:rsidP="002210B9">
      <w:pPr>
        <w:spacing w:after="0"/>
        <w:jc w:val="center"/>
        <w:rPr>
          <w:rFonts w:cs="Times New Roman"/>
          <w:szCs w:val="32"/>
        </w:rPr>
      </w:pPr>
    </w:p>
    <w:p w:rsidR="00347E31" w:rsidRDefault="00347E31" w:rsidP="002210B9">
      <w:pPr>
        <w:spacing w:after="0"/>
        <w:jc w:val="center"/>
        <w:rPr>
          <w:rFonts w:cs="Times New Roman"/>
          <w:b/>
          <w:szCs w:val="32"/>
        </w:rPr>
      </w:pPr>
      <w:r>
        <w:rPr>
          <w:rFonts w:cs="Times New Roman"/>
          <w:b/>
          <w:szCs w:val="32"/>
        </w:rPr>
        <w:t>Fabiana Leite da Silva Loreto</w:t>
      </w:r>
    </w:p>
    <w:p w:rsidR="00347E31" w:rsidRDefault="006E79AA" w:rsidP="00347E31">
      <w:pPr>
        <w:spacing w:after="0"/>
        <w:jc w:val="center"/>
        <w:rPr>
          <w:rFonts w:cs="Times New Roman"/>
          <w:b/>
          <w:szCs w:val="32"/>
        </w:rPr>
      </w:pPr>
      <w:r>
        <w:rPr>
          <w:rFonts w:cs="Times New Roman"/>
          <w:b/>
          <w:szCs w:val="32"/>
        </w:rPr>
        <w:lastRenderedPageBreak/>
        <w:t>Florentino Maria Costa</w:t>
      </w:r>
    </w:p>
    <w:p w:rsidR="006E79AA" w:rsidRPr="006E79AA" w:rsidRDefault="006E79AA" w:rsidP="00347E31">
      <w:pPr>
        <w:spacing w:after="0"/>
        <w:jc w:val="center"/>
        <w:rPr>
          <w:rFonts w:cs="Times New Roman"/>
          <w:szCs w:val="32"/>
        </w:rPr>
      </w:pPr>
      <w:r w:rsidRPr="006E79AA">
        <w:rPr>
          <w:rFonts w:cs="Times New Roman"/>
          <w:szCs w:val="32"/>
        </w:rPr>
        <w:t>Engenheiro Civil</w:t>
      </w:r>
    </w:p>
    <w:p w:rsidR="00347E31" w:rsidRDefault="00347E31" w:rsidP="002210B9">
      <w:pPr>
        <w:spacing w:after="0"/>
        <w:jc w:val="center"/>
        <w:rPr>
          <w:rFonts w:cs="Times New Roman"/>
          <w:b/>
          <w:szCs w:val="32"/>
        </w:rPr>
      </w:pPr>
    </w:p>
    <w:p w:rsidR="002210B9" w:rsidRPr="00E94D50" w:rsidRDefault="002210B9" w:rsidP="002210B9">
      <w:pPr>
        <w:spacing w:after="0"/>
        <w:jc w:val="center"/>
        <w:rPr>
          <w:rFonts w:cs="Times New Roman"/>
          <w:b/>
          <w:szCs w:val="32"/>
        </w:rPr>
      </w:pPr>
      <w:r w:rsidRPr="00E94D50">
        <w:rPr>
          <w:rFonts w:cs="Times New Roman"/>
          <w:b/>
          <w:szCs w:val="32"/>
        </w:rPr>
        <w:t>Kleber Ramon Rodrigues</w:t>
      </w:r>
    </w:p>
    <w:p w:rsidR="002210B9" w:rsidRPr="00E94D50" w:rsidRDefault="002210B9" w:rsidP="002210B9">
      <w:pPr>
        <w:spacing w:after="0"/>
        <w:jc w:val="center"/>
        <w:rPr>
          <w:rFonts w:cs="Times New Roman"/>
          <w:szCs w:val="32"/>
        </w:rPr>
      </w:pPr>
      <w:r w:rsidRPr="00E94D50">
        <w:rPr>
          <w:rFonts w:cs="Times New Roman"/>
          <w:szCs w:val="32"/>
        </w:rPr>
        <w:t>Geógrafo</w:t>
      </w:r>
    </w:p>
    <w:p w:rsidR="002210B9" w:rsidRPr="00E94D50" w:rsidRDefault="002210B9" w:rsidP="002210B9">
      <w:pPr>
        <w:spacing w:after="0"/>
        <w:jc w:val="center"/>
        <w:rPr>
          <w:rFonts w:cs="Times New Roman"/>
          <w:szCs w:val="32"/>
        </w:rPr>
      </w:pPr>
    </w:p>
    <w:p w:rsidR="002210B9" w:rsidRPr="00E94D50" w:rsidRDefault="002210B9" w:rsidP="002210B9">
      <w:pPr>
        <w:spacing w:after="0"/>
        <w:jc w:val="center"/>
        <w:rPr>
          <w:rFonts w:cs="Times New Roman"/>
          <w:b/>
          <w:szCs w:val="32"/>
        </w:rPr>
      </w:pPr>
      <w:r w:rsidRPr="00E94D50">
        <w:rPr>
          <w:rFonts w:cs="Times New Roman"/>
          <w:b/>
          <w:szCs w:val="32"/>
        </w:rPr>
        <w:t>Ennio Lucca Souza Oliveira</w:t>
      </w:r>
    </w:p>
    <w:p w:rsidR="002210B9" w:rsidRPr="00E94D50" w:rsidRDefault="002210B9" w:rsidP="002210B9">
      <w:pPr>
        <w:spacing w:after="0"/>
        <w:jc w:val="center"/>
        <w:rPr>
          <w:rFonts w:cs="Times New Roman"/>
          <w:szCs w:val="32"/>
        </w:rPr>
      </w:pPr>
      <w:r w:rsidRPr="00E94D50">
        <w:rPr>
          <w:rFonts w:cs="Times New Roman"/>
          <w:szCs w:val="32"/>
        </w:rPr>
        <w:t>Bacharel em Direito</w:t>
      </w:r>
    </w:p>
    <w:p w:rsidR="002210B9" w:rsidRPr="00E94D50" w:rsidRDefault="002210B9" w:rsidP="002210B9">
      <w:pPr>
        <w:spacing w:after="0"/>
        <w:jc w:val="center"/>
        <w:rPr>
          <w:rFonts w:cs="Times New Roman"/>
          <w:szCs w:val="32"/>
        </w:rPr>
      </w:pPr>
    </w:p>
    <w:p w:rsidR="002210B9" w:rsidRPr="00E94D50" w:rsidRDefault="002210B9" w:rsidP="002210B9">
      <w:pPr>
        <w:spacing w:after="0"/>
        <w:jc w:val="center"/>
        <w:rPr>
          <w:rFonts w:cs="Times New Roman"/>
          <w:b/>
          <w:szCs w:val="32"/>
        </w:rPr>
      </w:pPr>
      <w:r w:rsidRPr="00E94D50">
        <w:rPr>
          <w:rFonts w:cs="Times New Roman"/>
          <w:b/>
          <w:szCs w:val="32"/>
        </w:rPr>
        <w:t>Alex Cardoso Pereira</w:t>
      </w:r>
    </w:p>
    <w:p w:rsidR="002210B9" w:rsidRPr="00E94D50" w:rsidRDefault="002210B9" w:rsidP="002210B9">
      <w:pPr>
        <w:spacing w:after="0"/>
        <w:jc w:val="center"/>
        <w:rPr>
          <w:rFonts w:cs="Times New Roman"/>
          <w:szCs w:val="32"/>
        </w:rPr>
      </w:pPr>
      <w:r w:rsidRPr="00E94D50">
        <w:rPr>
          <w:rFonts w:cs="Times New Roman"/>
          <w:szCs w:val="32"/>
        </w:rPr>
        <w:t>Engenheiro Ambiental e Sanitarista</w:t>
      </w:r>
    </w:p>
    <w:p w:rsidR="002210B9" w:rsidRPr="00E94D50" w:rsidRDefault="002210B9" w:rsidP="002210B9">
      <w:pPr>
        <w:spacing w:after="0"/>
        <w:jc w:val="center"/>
        <w:rPr>
          <w:rFonts w:cs="Times New Roman"/>
          <w:szCs w:val="32"/>
        </w:rPr>
      </w:pPr>
    </w:p>
    <w:p w:rsidR="002210B9" w:rsidRPr="00E94D50" w:rsidRDefault="002210B9" w:rsidP="002210B9">
      <w:pPr>
        <w:spacing w:after="0"/>
        <w:jc w:val="center"/>
        <w:rPr>
          <w:rFonts w:cs="Times New Roman"/>
          <w:b/>
          <w:szCs w:val="32"/>
        </w:rPr>
      </w:pPr>
      <w:r w:rsidRPr="00E94D50">
        <w:rPr>
          <w:rFonts w:cs="Times New Roman"/>
          <w:b/>
          <w:szCs w:val="32"/>
        </w:rPr>
        <w:t>Vinicius Gonçalves Pedrosa</w:t>
      </w:r>
    </w:p>
    <w:p w:rsidR="002210B9" w:rsidRDefault="002210B9" w:rsidP="002210B9">
      <w:pPr>
        <w:spacing w:after="0"/>
        <w:jc w:val="center"/>
        <w:rPr>
          <w:rFonts w:cs="Times New Roman"/>
          <w:szCs w:val="32"/>
        </w:rPr>
      </w:pPr>
      <w:r w:rsidRPr="00E94D50">
        <w:rPr>
          <w:rFonts w:cs="Times New Roman"/>
          <w:szCs w:val="32"/>
        </w:rPr>
        <w:t>Engenheiro Ambiental e Sanitarista</w:t>
      </w:r>
    </w:p>
    <w:p w:rsidR="002210B9" w:rsidRDefault="002210B9" w:rsidP="002210B9">
      <w:pPr>
        <w:spacing w:after="0"/>
        <w:jc w:val="center"/>
        <w:rPr>
          <w:rFonts w:cs="Times New Roman"/>
          <w:szCs w:val="32"/>
        </w:rPr>
      </w:pPr>
    </w:p>
    <w:p w:rsidR="002210B9" w:rsidRPr="00E94D50" w:rsidRDefault="002210B9" w:rsidP="002210B9">
      <w:pPr>
        <w:spacing w:after="0"/>
        <w:jc w:val="center"/>
        <w:rPr>
          <w:rFonts w:cs="Times New Roman"/>
          <w:b/>
          <w:szCs w:val="32"/>
        </w:rPr>
      </w:pPr>
      <w:r>
        <w:rPr>
          <w:rFonts w:cs="Times New Roman"/>
          <w:b/>
          <w:szCs w:val="32"/>
        </w:rPr>
        <w:t>Ana Alice Amorim de Oliveira</w:t>
      </w:r>
    </w:p>
    <w:p w:rsidR="002210B9" w:rsidRDefault="002210B9" w:rsidP="002210B9">
      <w:pPr>
        <w:spacing w:after="0"/>
        <w:jc w:val="center"/>
        <w:rPr>
          <w:rFonts w:cs="Times New Roman"/>
          <w:szCs w:val="32"/>
        </w:rPr>
      </w:pPr>
      <w:r>
        <w:rPr>
          <w:rFonts w:cs="Times New Roman"/>
          <w:szCs w:val="32"/>
        </w:rPr>
        <w:t>Estagiária do curso de Engenharia</w:t>
      </w:r>
      <w:r w:rsidRPr="00E94D50">
        <w:rPr>
          <w:rFonts w:cs="Times New Roman"/>
          <w:szCs w:val="32"/>
        </w:rPr>
        <w:t xml:space="preserve"> Ambiental e Sanitarista</w:t>
      </w:r>
    </w:p>
    <w:p w:rsidR="002210B9" w:rsidRDefault="002210B9" w:rsidP="002210B9">
      <w:pPr>
        <w:spacing w:after="0"/>
        <w:jc w:val="center"/>
        <w:rPr>
          <w:rFonts w:cs="Times New Roman"/>
          <w:szCs w:val="32"/>
        </w:rPr>
      </w:pPr>
    </w:p>
    <w:p w:rsidR="002210B9" w:rsidRPr="00E94D50" w:rsidRDefault="002210B9" w:rsidP="002210B9">
      <w:pPr>
        <w:spacing w:after="0"/>
        <w:jc w:val="center"/>
        <w:rPr>
          <w:rFonts w:cs="Times New Roman"/>
          <w:szCs w:val="32"/>
        </w:rPr>
        <w:sectPr w:rsidR="002210B9" w:rsidRPr="00E94D50" w:rsidSect="0038012F">
          <w:type w:val="continuous"/>
          <w:pgSz w:w="11906" w:h="16838"/>
          <w:pgMar w:top="1417" w:right="1701" w:bottom="1417" w:left="1701" w:header="708" w:footer="708" w:gutter="0"/>
          <w:pgNumType w:start="0"/>
          <w:cols w:num="2" w:space="708"/>
          <w:titlePg/>
          <w:docGrid w:linePitch="360"/>
        </w:sectPr>
      </w:pPr>
    </w:p>
    <w:p w:rsidR="00347E31" w:rsidRPr="00347E31" w:rsidRDefault="000D4533" w:rsidP="00347E31">
      <w:pPr>
        <w:spacing w:after="0"/>
        <w:jc w:val="center"/>
        <w:rPr>
          <w:rFonts w:cs="Times New Roman"/>
          <w:szCs w:val="32"/>
        </w:rPr>
      </w:pPr>
      <w:r>
        <w:rPr>
          <w:rFonts w:cs="Times New Roman"/>
          <w:szCs w:val="32"/>
        </w:rPr>
        <w:lastRenderedPageBreak/>
        <w:t>Geó</w:t>
      </w:r>
      <w:r w:rsidR="00347E31" w:rsidRPr="00347E31">
        <w:rPr>
          <w:rFonts w:cs="Times New Roman"/>
          <w:szCs w:val="32"/>
        </w:rPr>
        <w:t>grafa</w:t>
      </w:r>
    </w:p>
    <w:p w:rsidR="00AD48E4" w:rsidRDefault="00AD48E4" w:rsidP="00AD48E4">
      <w:pPr>
        <w:spacing w:after="0"/>
        <w:jc w:val="center"/>
        <w:rPr>
          <w:rFonts w:cs="Times New Roman"/>
          <w:szCs w:val="32"/>
        </w:rPr>
      </w:pPr>
    </w:p>
    <w:p w:rsidR="00AD48E4" w:rsidRDefault="00AD48E4" w:rsidP="00AD48E4">
      <w:pPr>
        <w:spacing w:after="0"/>
        <w:rPr>
          <w:rFonts w:cs="Times New Roman"/>
          <w:szCs w:val="32"/>
        </w:rPr>
      </w:pPr>
    </w:p>
    <w:p w:rsidR="00347E31" w:rsidRPr="00E94D50" w:rsidRDefault="00347E31" w:rsidP="00AD48E4">
      <w:pPr>
        <w:spacing w:after="0"/>
        <w:rPr>
          <w:rFonts w:cs="Times New Roman"/>
          <w:szCs w:val="32"/>
        </w:rPr>
        <w:sectPr w:rsidR="00347E31" w:rsidRPr="00E94D50" w:rsidSect="0038012F">
          <w:type w:val="continuous"/>
          <w:pgSz w:w="11906" w:h="16838"/>
          <w:pgMar w:top="1417" w:right="1701" w:bottom="1417" w:left="1701" w:header="708" w:footer="708" w:gutter="0"/>
          <w:pgNumType w:start="0"/>
          <w:cols w:num="2" w:space="708"/>
          <w:titlePg/>
          <w:docGrid w:linePitch="360"/>
        </w:sectPr>
      </w:pPr>
    </w:p>
    <w:p w:rsidR="0043439F" w:rsidRPr="00E94D50" w:rsidRDefault="0043439F" w:rsidP="00887394">
      <w:pPr>
        <w:pStyle w:val="TituloPrincipal"/>
        <w:rPr>
          <w:sz w:val="32"/>
        </w:rPr>
      </w:pPr>
      <w:r w:rsidRPr="00E90E6C">
        <w:lastRenderedPageBreak/>
        <w:t>SUMÁRIO</w:t>
      </w:r>
    </w:p>
    <w:p w:rsidR="00466071" w:rsidRDefault="00B16C6C">
      <w:pPr>
        <w:pStyle w:val="Sumrio1"/>
        <w:rPr>
          <w:rFonts w:asciiTheme="minorHAnsi" w:eastAsiaTheme="minorEastAsia" w:hAnsiTheme="minorHAnsi"/>
          <w:noProof/>
          <w:sz w:val="22"/>
          <w:lang w:eastAsia="pt-BR"/>
        </w:rPr>
      </w:pPr>
      <w:r w:rsidRPr="00D35B10">
        <w:fldChar w:fldCharType="begin"/>
      </w:r>
      <w:r w:rsidR="00437716" w:rsidRPr="00D35B10">
        <w:instrText xml:space="preserve"> TOC \h \z \t "Titulo;1;Subtítulo;2;Subtitulo 2;3;Subtitulo 3;4;Subtitulo 4;5" </w:instrText>
      </w:r>
      <w:r w:rsidRPr="00D35B10">
        <w:fldChar w:fldCharType="separate"/>
      </w:r>
      <w:hyperlink w:anchor="_Toc372789468" w:history="1">
        <w:r w:rsidR="00466071" w:rsidRPr="00282EF5">
          <w:rPr>
            <w:rStyle w:val="Hyperlink"/>
            <w:noProof/>
          </w:rPr>
          <w:t>APRESENTAÇÃO</w:t>
        </w:r>
        <w:r w:rsidR="00466071">
          <w:rPr>
            <w:noProof/>
            <w:webHidden/>
          </w:rPr>
          <w:tab/>
        </w:r>
        <w:r w:rsidR="00466071">
          <w:rPr>
            <w:noProof/>
            <w:webHidden/>
          </w:rPr>
          <w:fldChar w:fldCharType="begin"/>
        </w:r>
        <w:r w:rsidR="00466071">
          <w:rPr>
            <w:noProof/>
            <w:webHidden/>
          </w:rPr>
          <w:instrText xml:space="preserve"> PAGEREF _Toc372789468 \h </w:instrText>
        </w:r>
        <w:r w:rsidR="00466071">
          <w:rPr>
            <w:noProof/>
            <w:webHidden/>
          </w:rPr>
        </w:r>
        <w:r w:rsidR="00466071">
          <w:rPr>
            <w:noProof/>
            <w:webHidden/>
          </w:rPr>
          <w:fldChar w:fldCharType="separate"/>
        </w:r>
        <w:r w:rsidR="004F77E2">
          <w:rPr>
            <w:noProof/>
            <w:webHidden/>
          </w:rPr>
          <w:t>26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69" w:history="1">
        <w:r w:rsidR="00466071" w:rsidRPr="00282EF5">
          <w:rPr>
            <w:rStyle w:val="Hyperlink"/>
            <w:noProof/>
          </w:rPr>
          <w:t>1 INTRODUÇÃO</w:t>
        </w:r>
        <w:r w:rsidR="00466071">
          <w:rPr>
            <w:noProof/>
            <w:webHidden/>
          </w:rPr>
          <w:tab/>
        </w:r>
        <w:r w:rsidR="00466071">
          <w:rPr>
            <w:noProof/>
            <w:webHidden/>
          </w:rPr>
          <w:fldChar w:fldCharType="begin"/>
        </w:r>
        <w:r w:rsidR="00466071">
          <w:rPr>
            <w:noProof/>
            <w:webHidden/>
          </w:rPr>
          <w:instrText xml:space="preserve"> PAGEREF _Toc372789469 \h </w:instrText>
        </w:r>
        <w:r w:rsidR="00466071">
          <w:rPr>
            <w:noProof/>
            <w:webHidden/>
          </w:rPr>
        </w:r>
        <w:r w:rsidR="00466071">
          <w:rPr>
            <w:noProof/>
            <w:webHidden/>
          </w:rPr>
          <w:fldChar w:fldCharType="separate"/>
        </w:r>
        <w:r>
          <w:rPr>
            <w:noProof/>
            <w:webHidden/>
          </w:rPr>
          <w:t>27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70" w:history="1">
        <w:r w:rsidR="00466071" w:rsidRPr="00282EF5">
          <w:rPr>
            <w:rStyle w:val="Hyperlink"/>
            <w:noProof/>
          </w:rPr>
          <w:t>2 CONTEXTUALIZAÇÃO</w:t>
        </w:r>
        <w:r w:rsidR="00466071">
          <w:rPr>
            <w:noProof/>
            <w:webHidden/>
          </w:rPr>
          <w:tab/>
        </w:r>
        <w:r w:rsidR="00466071">
          <w:rPr>
            <w:noProof/>
            <w:webHidden/>
          </w:rPr>
          <w:fldChar w:fldCharType="begin"/>
        </w:r>
        <w:r w:rsidR="00466071">
          <w:rPr>
            <w:noProof/>
            <w:webHidden/>
          </w:rPr>
          <w:instrText xml:space="preserve"> PAGEREF _Toc372789470 \h </w:instrText>
        </w:r>
        <w:r w:rsidR="00466071">
          <w:rPr>
            <w:noProof/>
            <w:webHidden/>
          </w:rPr>
        </w:r>
        <w:r w:rsidR="00466071">
          <w:rPr>
            <w:noProof/>
            <w:webHidden/>
          </w:rPr>
          <w:fldChar w:fldCharType="separate"/>
        </w:r>
        <w:r>
          <w:rPr>
            <w:noProof/>
            <w:webHidden/>
          </w:rPr>
          <w:t>28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71" w:history="1">
        <w:r w:rsidR="00466071" w:rsidRPr="00282EF5">
          <w:rPr>
            <w:rStyle w:val="Hyperlink"/>
            <w:noProof/>
          </w:rPr>
          <w:t>3 OBJETIVOS</w:t>
        </w:r>
        <w:r w:rsidR="00466071">
          <w:rPr>
            <w:noProof/>
            <w:webHidden/>
          </w:rPr>
          <w:tab/>
        </w:r>
        <w:r w:rsidR="00466071">
          <w:rPr>
            <w:noProof/>
            <w:webHidden/>
          </w:rPr>
          <w:fldChar w:fldCharType="begin"/>
        </w:r>
        <w:r w:rsidR="00466071">
          <w:rPr>
            <w:noProof/>
            <w:webHidden/>
          </w:rPr>
          <w:instrText xml:space="preserve"> PAGEREF _Toc372789471 \h </w:instrText>
        </w:r>
        <w:r w:rsidR="00466071">
          <w:rPr>
            <w:noProof/>
            <w:webHidden/>
          </w:rPr>
        </w:r>
        <w:r w:rsidR="00466071">
          <w:rPr>
            <w:noProof/>
            <w:webHidden/>
          </w:rPr>
          <w:fldChar w:fldCharType="separate"/>
        </w:r>
        <w:r>
          <w:rPr>
            <w:noProof/>
            <w:webHidden/>
          </w:rPr>
          <w:t>29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72" w:history="1">
        <w:r w:rsidR="00466071" w:rsidRPr="00282EF5">
          <w:rPr>
            <w:rStyle w:val="Hyperlink"/>
            <w:noProof/>
          </w:rPr>
          <w:t>3.1 Objetivo Geral</w:t>
        </w:r>
        <w:r w:rsidR="00466071">
          <w:rPr>
            <w:noProof/>
            <w:webHidden/>
          </w:rPr>
          <w:tab/>
        </w:r>
        <w:r w:rsidR="00466071">
          <w:rPr>
            <w:noProof/>
            <w:webHidden/>
          </w:rPr>
          <w:fldChar w:fldCharType="begin"/>
        </w:r>
        <w:r w:rsidR="00466071">
          <w:rPr>
            <w:noProof/>
            <w:webHidden/>
          </w:rPr>
          <w:instrText xml:space="preserve"> PAGEREF _Toc372789472 \h </w:instrText>
        </w:r>
        <w:r w:rsidR="00466071">
          <w:rPr>
            <w:noProof/>
            <w:webHidden/>
          </w:rPr>
        </w:r>
        <w:r w:rsidR="00466071">
          <w:rPr>
            <w:noProof/>
            <w:webHidden/>
          </w:rPr>
          <w:fldChar w:fldCharType="separate"/>
        </w:r>
        <w:r>
          <w:rPr>
            <w:noProof/>
            <w:webHidden/>
          </w:rPr>
          <w:t>29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73" w:history="1">
        <w:r w:rsidR="00466071" w:rsidRPr="00282EF5">
          <w:rPr>
            <w:rStyle w:val="Hyperlink"/>
            <w:noProof/>
          </w:rPr>
          <w:t>3.2 Objetivos Específicos</w:t>
        </w:r>
        <w:r w:rsidR="00466071">
          <w:rPr>
            <w:noProof/>
            <w:webHidden/>
          </w:rPr>
          <w:tab/>
        </w:r>
        <w:r w:rsidR="00466071">
          <w:rPr>
            <w:noProof/>
            <w:webHidden/>
          </w:rPr>
          <w:fldChar w:fldCharType="begin"/>
        </w:r>
        <w:r w:rsidR="00466071">
          <w:rPr>
            <w:noProof/>
            <w:webHidden/>
          </w:rPr>
          <w:instrText xml:space="preserve"> PAGEREF _Toc372789473 \h </w:instrText>
        </w:r>
        <w:r w:rsidR="00466071">
          <w:rPr>
            <w:noProof/>
            <w:webHidden/>
          </w:rPr>
        </w:r>
        <w:r w:rsidR="00466071">
          <w:rPr>
            <w:noProof/>
            <w:webHidden/>
          </w:rPr>
          <w:fldChar w:fldCharType="separate"/>
        </w:r>
        <w:r>
          <w:rPr>
            <w:noProof/>
            <w:webHidden/>
          </w:rPr>
          <w:t>29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74" w:history="1">
        <w:r w:rsidR="00466071" w:rsidRPr="00282EF5">
          <w:rPr>
            <w:rStyle w:val="Hyperlink"/>
            <w:noProof/>
            <w:lang w:eastAsia="pt-BR"/>
          </w:rPr>
          <w:t>4 DIRETRIZES GERAIS ADOTADAS</w:t>
        </w:r>
        <w:r w:rsidR="00466071">
          <w:rPr>
            <w:noProof/>
            <w:webHidden/>
          </w:rPr>
          <w:tab/>
        </w:r>
        <w:r w:rsidR="00466071">
          <w:rPr>
            <w:noProof/>
            <w:webHidden/>
          </w:rPr>
          <w:fldChar w:fldCharType="begin"/>
        </w:r>
        <w:r w:rsidR="00466071">
          <w:rPr>
            <w:noProof/>
            <w:webHidden/>
          </w:rPr>
          <w:instrText xml:space="preserve"> PAGEREF _Toc372789474 \h </w:instrText>
        </w:r>
        <w:r w:rsidR="00466071">
          <w:rPr>
            <w:noProof/>
            <w:webHidden/>
          </w:rPr>
        </w:r>
        <w:r w:rsidR="00466071">
          <w:rPr>
            <w:noProof/>
            <w:webHidden/>
          </w:rPr>
          <w:fldChar w:fldCharType="separate"/>
        </w:r>
        <w:r>
          <w:rPr>
            <w:noProof/>
            <w:webHidden/>
          </w:rPr>
          <w:t>31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75" w:history="1">
        <w:r w:rsidR="00466071" w:rsidRPr="00282EF5">
          <w:rPr>
            <w:rStyle w:val="Hyperlink"/>
            <w:noProof/>
          </w:rPr>
          <w:t>5 METODOLOGIA GERAL</w:t>
        </w:r>
        <w:r w:rsidR="00466071">
          <w:rPr>
            <w:noProof/>
            <w:webHidden/>
          </w:rPr>
          <w:tab/>
        </w:r>
        <w:r w:rsidR="00466071">
          <w:rPr>
            <w:noProof/>
            <w:webHidden/>
          </w:rPr>
          <w:fldChar w:fldCharType="begin"/>
        </w:r>
        <w:r w:rsidR="00466071">
          <w:rPr>
            <w:noProof/>
            <w:webHidden/>
          </w:rPr>
          <w:instrText xml:space="preserve"> PAGEREF _Toc372789475 \h </w:instrText>
        </w:r>
        <w:r w:rsidR="00466071">
          <w:rPr>
            <w:noProof/>
            <w:webHidden/>
          </w:rPr>
        </w:r>
        <w:r w:rsidR="00466071">
          <w:rPr>
            <w:noProof/>
            <w:webHidden/>
          </w:rPr>
          <w:fldChar w:fldCharType="separate"/>
        </w:r>
        <w:r>
          <w:rPr>
            <w:noProof/>
            <w:webHidden/>
          </w:rPr>
          <w:t>32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76" w:history="1">
        <w:r w:rsidR="00466071" w:rsidRPr="00282EF5">
          <w:rPr>
            <w:rStyle w:val="Hyperlink"/>
            <w:noProof/>
          </w:rPr>
          <w:t>6. CARACTERIZAÇÃO GERAL</w:t>
        </w:r>
        <w:r w:rsidR="00466071">
          <w:rPr>
            <w:noProof/>
            <w:webHidden/>
          </w:rPr>
          <w:tab/>
        </w:r>
        <w:r w:rsidR="00466071">
          <w:rPr>
            <w:noProof/>
            <w:webHidden/>
          </w:rPr>
          <w:fldChar w:fldCharType="begin"/>
        </w:r>
        <w:r w:rsidR="00466071">
          <w:rPr>
            <w:noProof/>
            <w:webHidden/>
          </w:rPr>
          <w:instrText xml:space="preserve"> PAGEREF _Toc372789476 \h </w:instrText>
        </w:r>
        <w:r w:rsidR="00466071">
          <w:rPr>
            <w:noProof/>
            <w:webHidden/>
          </w:rPr>
        </w:r>
        <w:r w:rsidR="00466071">
          <w:rPr>
            <w:noProof/>
            <w:webHidden/>
          </w:rPr>
          <w:fldChar w:fldCharType="separate"/>
        </w:r>
        <w:r>
          <w:rPr>
            <w:noProof/>
            <w:webHidden/>
          </w:rPr>
          <w:t>36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77" w:history="1">
        <w:r w:rsidR="00466071" w:rsidRPr="00282EF5">
          <w:rPr>
            <w:rStyle w:val="Hyperlink"/>
            <w:noProof/>
          </w:rPr>
          <w:t>6.1 Inserção no Contexto Regional</w:t>
        </w:r>
        <w:r w:rsidR="00466071">
          <w:rPr>
            <w:noProof/>
            <w:webHidden/>
          </w:rPr>
          <w:tab/>
        </w:r>
        <w:r w:rsidR="00466071">
          <w:rPr>
            <w:noProof/>
            <w:webHidden/>
          </w:rPr>
          <w:fldChar w:fldCharType="begin"/>
        </w:r>
        <w:r w:rsidR="00466071">
          <w:rPr>
            <w:noProof/>
            <w:webHidden/>
          </w:rPr>
          <w:instrText xml:space="preserve"> PAGEREF _Toc372789477 \h </w:instrText>
        </w:r>
        <w:r w:rsidR="00466071">
          <w:rPr>
            <w:noProof/>
            <w:webHidden/>
          </w:rPr>
        </w:r>
        <w:r w:rsidR="00466071">
          <w:rPr>
            <w:noProof/>
            <w:webHidden/>
          </w:rPr>
          <w:fldChar w:fldCharType="separate"/>
        </w:r>
        <w:r>
          <w:rPr>
            <w:noProof/>
            <w:webHidden/>
          </w:rPr>
          <w:t>36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78" w:history="1">
        <w:r w:rsidR="00466071" w:rsidRPr="00282EF5">
          <w:rPr>
            <w:rStyle w:val="Hyperlink"/>
            <w:noProof/>
          </w:rPr>
          <w:t>6.2 População</w:t>
        </w:r>
        <w:r w:rsidR="00466071">
          <w:rPr>
            <w:noProof/>
            <w:webHidden/>
          </w:rPr>
          <w:tab/>
        </w:r>
        <w:r w:rsidR="00466071">
          <w:rPr>
            <w:noProof/>
            <w:webHidden/>
          </w:rPr>
          <w:fldChar w:fldCharType="begin"/>
        </w:r>
        <w:r w:rsidR="00466071">
          <w:rPr>
            <w:noProof/>
            <w:webHidden/>
          </w:rPr>
          <w:instrText xml:space="preserve"> PAGEREF _Toc372789478 \h </w:instrText>
        </w:r>
        <w:r w:rsidR="00466071">
          <w:rPr>
            <w:noProof/>
            <w:webHidden/>
          </w:rPr>
        </w:r>
        <w:r w:rsidR="00466071">
          <w:rPr>
            <w:noProof/>
            <w:webHidden/>
          </w:rPr>
          <w:fldChar w:fldCharType="separate"/>
        </w:r>
        <w:r>
          <w:rPr>
            <w:noProof/>
            <w:webHidden/>
          </w:rPr>
          <w:t>40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79" w:history="1">
        <w:r w:rsidR="00466071" w:rsidRPr="00282EF5">
          <w:rPr>
            <w:rStyle w:val="Hyperlink"/>
            <w:noProof/>
          </w:rPr>
          <w:t>6.3 Estrutura Etária</w:t>
        </w:r>
        <w:r w:rsidR="00466071">
          <w:rPr>
            <w:noProof/>
            <w:webHidden/>
          </w:rPr>
          <w:tab/>
        </w:r>
        <w:r w:rsidR="00466071">
          <w:rPr>
            <w:noProof/>
            <w:webHidden/>
          </w:rPr>
          <w:fldChar w:fldCharType="begin"/>
        </w:r>
        <w:r w:rsidR="00466071">
          <w:rPr>
            <w:noProof/>
            <w:webHidden/>
          </w:rPr>
          <w:instrText xml:space="preserve"> PAGEREF _Toc372789479 \h </w:instrText>
        </w:r>
        <w:r w:rsidR="00466071">
          <w:rPr>
            <w:noProof/>
            <w:webHidden/>
          </w:rPr>
        </w:r>
        <w:r w:rsidR="00466071">
          <w:rPr>
            <w:noProof/>
            <w:webHidden/>
          </w:rPr>
          <w:fldChar w:fldCharType="separate"/>
        </w:r>
        <w:r>
          <w:rPr>
            <w:noProof/>
            <w:webHidden/>
          </w:rPr>
          <w:t>45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80" w:history="1">
        <w:r w:rsidR="00466071" w:rsidRPr="00282EF5">
          <w:rPr>
            <w:rStyle w:val="Hyperlink"/>
            <w:noProof/>
          </w:rPr>
          <w:t>6.4 Histórico</w:t>
        </w:r>
        <w:r w:rsidR="00466071">
          <w:rPr>
            <w:noProof/>
            <w:webHidden/>
          </w:rPr>
          <w:tab/>
        </w:r>
        <w:r w:rsidR="00466071">
          <w:rPr>
            <w:noProof/>
            <w:webHidden/>
          </w:rPr>
          <w:fldChar w:fldCharType="begin"/>
        </w:r>
        <w:r w:rsidR="00466071">
          <w:rPr>
            <w:noProof/>
            <w:webHidden/>
          </w:rPr>
          <w:instrText xml:space="preserve"> PAGEREF _Toc372789480 \h </w:instrText>
        </w:r>
        <w:r w:rsidR="00466071">
          <w:rPr>
            <w:noProof/>
            <w:webHidden/>
          </w:rPr>
        </w:r>
        <w:r w:rsidR="00466071">
          <w:rPr>
            <w:noProof/>
            <w:webHidden/>
          </w:rPr>
          <w:fldChar w:fldCharType="separate"/>
        </w:r>
        <w:r>
          <w:rPr>
            <w:noProof/>
            <w:webHidden/>
          </w:rPr>
          <w:t>47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81" w:history="1">
        <w:r w:rsidR="00466071" w:rsidRPr="00282EF5">
          <w:rPr>
            <w:rStyle w:val="Hyperlink"/>
            <w:noProof/>
          </w:rPr>
          <w:t>7 ASPECTOS FISIOGRÁFICOS DO MUNICÍPIO DE AIMORÉS</w:t>
        </w:r>
        <w:r w:rsidR="00466071">
          <w:rPr>
            <w:noProof/>
            <w:webHidden/>
          </w:rPr>
          <w:tab/>
        </w:r>
        <w:r w:rsidR="00466071">
          <w:rPr>
            <w:noProof/>
            <w:webHidden/>
          </w:rPr>
          <w:fldChar w:fldCharType="begin"/>
        </w:r>
        <w:r w:rsidR="00466071">
          <w:rPr>
            <w:noProof/>
            <w:webHidden/>
          </w:rPr>
          <w:instrText xml:space="preserve"> PAGEREF _Toc372789481 \h </w:instrText>
        </w:r>
        <w:r w:rsidR="00466071">
          <w:rPr>
            <w:noProof/>
            <w:webHidden/>
          </w:rPr>
        </w:r>
        <w:r w:rsidR="00466071">
          <w:rPr>
            <w:noProof/>
            <w:webHidden/>
          </w:rPr>
          <w:fldChar w:fldCharType="separate"/>
        </w:r>
        <w:r>
          <w:rPr>
            <w:noProof/>
            <w:webHidden/>
          </w:rPr>
          <w:t>50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82" w:history="1">
        <w:r w:rsidR="00466071" w:rsidRPr="00282EF5">
          <w:rPr>
            <w:rStyle w:val="Hyperlink"/>
            <w:noProof/>
          </w:rPr>
          <w:t>7.1 Clima</w:t>
        </w:r>
        <w:r w:rsidR="00466071">
          <w:rPr>
            <w:noProof/>
            <w:webHidden/>
          </w:rPr>
          <w:tab/>
        </w:r>
        <w:r w:rsidR="00466071">
          <w:rPr>
            <w:noProof/>
            <w:webHidden/>
          </w:rPr>
          <w:fldChar w:fldCharType="begin"/>
        </w:r>
        <w:r w:rsidR="00466071">
          <w:rPr>
            <w:noProof/>
            <w:webHidden/>
          </w:rPr>
          <w:instrText xml:space="preserve"> PAGEREF _Toc372789482 \h </w:instrText>
        </w:r>
        <w:r w:rsidR="00466071">
          <w:rPr>
            <w:noProof/>
            <w:webHidden/>
          </w:rPr>
        </w:r>
        <w:r w:rsidR="00466071">
          <w:rPr>
            <w:noProof/>
            <w:webHidden/>
          </w:rPr>
          <w:fldChar w:fldCharType="separate"/>
        </w:r>
        <w:r>
          <w:rPr>
            <w:noProof/>
            <w:webHidden/>
          </w:rPr>
          <w:t>50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83" w:history="1">
        <w:r w:rsidR="00466071" w:rsidRPr="00282EF5">
          <w:rPr>
            <w:rStyle w:val="Hyperlink"/>
            <w:noProof/>
          </w:rPr>
          <w:t>7.2 Geologia</w:t>
        </w:r>
        <w:r w:rsidR="00466071">
          <w:rPr>
            <w:noProof/>
            <w:webHidden/>
          </w:rPr>
          <w:tab/>
        </w:r>
        <w:r w:rsidR="00466071">
          <w:rPr>
            <w:noProof/>
            <w:webHidden/>
          </w:rPr>
          <w:fldChar w:fldCharType="begin"/>
        </w:r>
        <w:r w:rsidR="00466071">
          <w:rPr>
            <w:noProof/>
            <w:webHidden/>
          </w:rPr>
          <w:instrText xml:space="preserve"> PAGEREF _Toc372789483 \h </w:instrText>
        </w:r>
        <w:r w:rsidR="00466071">
          <w:rPr>
            <w:noProof/>
            <w:webHidden/>
          </w:rPr>
        </w:r>
        <w:r w:rsidR="00466071">
          <w:rPr>
            <w:noProof/>
            <w:webHidden/>
          </w:rPr>
          <w:fldChar w:fldCharType="separate"/>
        </w:r>
        <w:r>
          <w:rPr>
            <w:noProof/>
            <w:webHidden/>
          </w:rPr>
          <w:t>52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84" w:history="1">
        <w:r w:rsidR="00466071" w:rsidRPr="00282EF5">
          <w:rPr>
            <w:rStyle w:val="Hyperlink"/>
            <w:noProof/>
          </w:rPr>
          <w:t>7.2.1 Descrição da geologia do Município de Aimorés</w:t>
        </w:r>
        <w:r w:rsidR="00466071">
          <w:rPr>
            <w:noProof/>
            <w:webHidden/>
          </w:rPr>
          <w:tab/>
        </w:r>
        <w:r w:rsidR="00466071">
          <w:rPr>
            <w:noProof/>
            <w:webHidden/>
          </w:rPr>
          <w:fldChar w:fldCharType="begin"/>
        </w:r>
        <w:r w:rsidR="00466071">
          <w:rPr>
            <w:noProof/>
            <w:webHidden/>
          </w:rPr>
          <w:instrText xml:space="preserve"> PAGEREF _Toc372789484 \h </w:instrText>
        </w:r>
        <w:r w:rsidR="00466071">
          <w:rPr>
            <w:noProof/>
            <w:webHidden/>
          </w:rPr>
        </w:r>
        <w:r w:rsidR="00466071">
          <w:rPr>
            <w:noProof/>
            <w:webHidden/>
          </w:rPr>
          <w:fldChar w:fldCharType="separate"/>
        </w:r>
        <w:r>
          <w:rPr>
            <w:noProof/>
            <w:webHidden/>
          </w:rPr>
          <w:t>52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85" w:history="1">
        <w:r w:rsidR="00466071" w:rsidRPr="00282EF5">
          <w:rPr>
            <w:rStyle w:val="Hyperlink"/>
            <w:noProof/>
          </w:rPr>
          <w:t>7.3 Geomorfologia</w:t>
        </w:r>
        <w:r w:rsidR="00466071">
          <w:rPr>
            <w:noProof/>
            <w:webHidden/>
          </w:rPr>
          <w:tab/>
        </w:r>
        <w:r w:rsidR="00466071">
          <w:rPr>
            <w:noProof/>
            <w:webHidden/>
          </w:rPr>
          <w:fldChar w:fldCharType="begin"/>
        </w:r>
        <w:r w:rsidR="00466071">
          <w:rPr>
            <w:noProof/>
            <w:webHidden/>
          </w:rPr>
          <w:instrText xml:space="preserve"> PAGEREF _Toc372789485 \h </w:instrText>
        </w:r>
        <w:r w:rsidR="00466071">
          <w:rPr>
            <w:noProof/>
            <w:webHidden/>
          </w:rPr>
        </w:r>
        <w:r w:rsidR="00466071">
          <w:rPr>
            <w:noProof/>
            <w:webHidden/>
          </w:rPr>
          <w:fldChar w:fldCharType="separate"/>
        </w:r>
        <w:r>
          <w:rPr>
            <w:noProof/>
            <w:webHidden/>
          </w:rPr>
          <w:t>54</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86" w:history="1">
        <w:r w:rsidR="00466071" w:rsidRPr="00282EF5">
          <w:rPr>
            <w:rStyle w:val="Hyperlink"/>
            <w:noProof/>
          </w:rPr>
          <w:t>7.4 Pedologia.</w:t>
        </w:r>
        <w:r w:rsidR="00466071">
          <w:rPr>
            <w:noProof/>
            <w:webHidden/>
          </w:rPr>
          <w:tab/>
        </w:r>
        <w:r w:rsidR="00466071">
          <w:rPr>
            <w:noProof/>
            <w:webHidden/>
          </w:rPr>
          <w:fldChar w:fldCharType="begin"/>
        </w:r>
        <w:r w:rsidR="00466071">
          <w:rPr>
            <w:noProof/>
            <w:webHidden/>
          </w:rPr>
          <w:instrText xml:space="preserve"> PAGEREF _Toc372789486 \h </w:instrText>
        </w:r>
        <w:r w:rsidR="00466071">
          <w:rPr>
            <w:noProof/>
            <w:webHidden/>
          </w:rPr>
        </w:r>
        <w:r w:rsidR="00466071">
          <w:rPr>
            <w:noProof/>
            <w:webHidden/>
          </w:rPr>
          <w:fldChar w:fldCharType="separate"/>
        </w:r>
        <w:r>
          <w:rPr>
            <w:noProof/>
            <w:webHidden/>
          </w:rPr>
          <w:t>58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87" w:history="1">
        <w:r w:rsidR="00466071" w:rsidRPr="00282EF5">
          <w:rPr>
            <w:rStyle w:val="Hyperlink"/>
            <w:noProof/>
          </w:rPr>
          <w:t>7.4.1 Classes de Solos que abrangem o Município de Aimorés</w:t>
        </w:r>
        <w:r w:rsidR="00466071">
          <w:rPr>
            <w:noProof/>
            <w:webHidden/>
          </w:rPr>
          <w:tab/>
        </w:r>
        <w:r w:rsidR="00466071">
          <w:rPr>
            <w:noProof/>
            <w:webHidden/>
          </w:rPr>
          <w:fldChar w:fldCharType="begin"/>
        </w:r>
        <w:r w:rsidR="00466071">
          <w:rPr>
            <w:noProof/>
            <w:webHidden/>
          </w:rPr>
          <w:instrText xml:space="preserve"> PAGEREF _Toc372789487 \h </w:instrText>
        </w:r>
        <w:r w:rsidR="00466071">
          <w:rPr>
            <w:noProof/>
            <w:webHidden/>
          </w:rPr>
        </w:r>
        <w:r w:rsidR="00466071">
          <w:rPr>
            <w:noProof/>
            <w:webHidden/>
          </w:rPr>
          <w:fldChar w:fldCharType="separate"/>
        </w:r>
        <w:r>
          <w:rPr>
            <w:noProof/>
            <w:webHidden/>
          </w:rPr>
          <w:t>58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88" w:history="1">
        <w:r w:rsidR="00466071" w:rsidRPr="00282EF5">
          <w:rPr>
            <w:rStyle w:val="Hyperlink"/>
            <w:noProof/>
          </w:rPr>
          <w:t>7.5 Vegetação</w:t>
        </w:r>
        <w:r w:rsidR="00466071">
          <w:rPr>
            <w:noProof/>
            <w:webHidden/>
          </w:rPr>
          <w:tab/>
        </w:r>
        <w:r w:rsidR="00466071">
          <w:rPr>
            <w:noProof/>
            <w:webHidden/>
          </w:rPr>
          <w:fldChar w:fldCharType="begin"/>
        </w:r>
        <w:r w:rsidR="00466071">
          <w:rPr>
            <w:noProof/>
            <w:webHidden/>
          </w:rPr>
          <w:instrText xml:space="preserve"> PAGEREF _Toc372789488 \h </w:instrText>
        </w:r>
        <w:r w:rsidR="00466071">
          <w:rPr>
            <w:noProof/>
            <w:webHidden/>
          </w:rPr>
        </w:r>
        <w:r w:rsidR="00466071">
          <w:rPr>
            <w:noProof/>
            <w:webHidden/>
          </w:rPr>
          <w:fldChar w:fldCharType="separate"/>
        </w:r>
        <w:r>
          <w:rPr>
            <w:noProof/>
            <w:webHidden/>
          </w:rPr>
          <w:t>67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89" w:history="1">
        <w:r w:rsidR="00466071" w:rsidRPr="00282EF5">
          <w:rPr>
            <w:rStyle w:val="Hyperlink"/>
            <w:noProof/>
          </w:rPr>
          <w:t>7.6 Hidrografia</w:t>
        </w:r>
        <w:r w:rsidR="00466071">
          <w:rPr>
            <w:noProof/>
            <w:webHidden/>
          </w:rPr>
          <w:tab/>
        </w:r>
        <w:r w:rsidR="00466071">
          <w:rPr>
            <w:noProof/>
            <w:webHidden/>
          </w:rPr>
          <w:fldChar w:fldCharType="begin"/>
        </w:r>
        <w:r w:rsidR="00466071">
          <w:rPr>
            <w:noProof/>
            <w:webHidden/>
          </w:rPr>
          <w:instrText xml:space="preserve"> PAGEREF _Toc372789489 \h </w:instrText>
        </w:r>
        <w:r w:rsidR="00466071">
          <w:rPr>
            <w:noProof/>
            <w:webHidden/>
          </w:rPr>
        </w:r>
        <w:r w:rsidR="00466071">
          <w:rPr>
            <w:noProof/>
            <w:webHidden/>
          </w:rPr>
          <w:fldChar w:fldCharType="separate"/>
        </w:r>
        <w:r>
          <w:rPr>
            <w:noProof/>
            <w:webHidden/>
          </w:rPr>
          <w:t>69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90" w:history="1">
        <w:r w:rsidR="00466071" w:rsidRPr="00282EF5">
          <w:rPr>
            <w:rStyle w:val="Hyperlink"/>
            <w:noProof/>
          </w:rPr>
          <w:t>7.7 Unidades de Conservação</w:t>
        </w:r>
        <w:r w:rsidR="00466071">
          <w:rPr>
            <w:noProof/>
            <w:webHidden/>
          </w:rPr>
          <w:tab/>
        </w:r>
        <w:r w:rsidR="00466071">
          <w:rPr>
            <w:noProof/>
            <w:webHidden/>
          </w:rPr>
          <w:fldChar w:fldCharType="begin"/>
        </w:r>
        <w:r w:rsidR="00466071">
          <w:rPr>
            <w:noProof/>
            <w:webHidden/>
          </w:rPr>
          <w:instrText xml:space="preserve"> PAGEREF _Toc372789490 \h </w:instrText>
        </w:r>
        <w:r w:rsidR="00466071">
          <w:rPr>
            <w:noProof/>
            <w:webHidden/>
          </w:rPr>
        </w:r>
        <w:r w:rsidR="00466071">
          <w:rPr>
            <w:noProof/>
            <w:webHidden/>
          </w:rPr>
          <w:fldChar w:fldCharType="separate"/>
        </w:r>
        <w:r>
          <w:rPr>
            <w:noProof/>
            <w:webHidden/>
          </w:rPr>
          <w:t>72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91" w:history="1">
        <w:r w:rsidR="00466071" w:rsidRPr="00282EF5">
          <w:rPr>
            <w:rStyle w:val="Hyperlink"/>
            <w:noProof/>
          </w:rPr>
          <w:t>8 CENÁRIO DEMOGRÁFICO, ECONÔMICO E SOCIOCULTURAL</w:t>
        </w:r>
        <w:r w:rsidR="00466071">
          <w:rPr>
            <w:noProof/>
            <w:webHidden/>
          </w:rPr>
          <w:tab/>
        </w:r>
        <w:r w:rsidR="00466071">
          <w:rPr>
            <w:noProof/>
            <w:webHidden/>
          </w:rPr>
          <w:fldChar w:fldCharType="begin"/>
        </w:r>
        <w:r w:rsidR="00466071">
          <w:rPr>
            <w:noProof/>
            <w:webHidden/>
          </w:rPr>
          <w:instrText xml:space="preserve"> PAGEREF _Toc372789491 \h </w:instrText>
        </w:r>
        <w:r w:rsidR="00466071">
          <w:rPr>
            <w:noProof/>
            <w:webHidden/>
          </w:rPr>
        </w:r>
        <w:r w:rsidR="00466071">
          <w:rPr>
            <w:noProof/>
            <w:webHidden/>
          </w:rPr>
          <w:fldChar w:fldCharType="separate"/>
        </w:r>
        <w:r>
          <w:rPr>
            <w:noProof/>
            <w:webHidden/>
          </w:rPr>
          <w:t>74</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92" w:history="1">
        <w:r w:rsidR="00466071" w:rsidRPr="00282EF5">
          <w:rPr>
            <w:rStyle w:val="Hyperlink"/>
            <w:noProof/>
          </w:rPr>
          <w:t>8.1 Introdução</w:t>
        </w:r>
        <w:r w:rsidR="00466071">
          <w:rPr>
            <w:noProof/>
            <w:webHidden/>
          </w:rPr>
          <w:tab/>
        </w:r>
        <w:r w:rsidR="00466071">
          <w:rPr>
            <w:noProof/>
            <w:webHidden/>
          </w:rPr>
          <w:fldChar w:fldCharType="begin"/>
        </w:r>
        <w:r w:rsidR="00466071">
          <w:rPr>
            <w:noProof/>
            <w:webHidden/>
          </w:rPr>
          <w:instrText xml:space="preserve"> PAGEREF _Toc372789492 \h </w:instrText>
        </w:r>
        <w:r w:rsidR="00466071">
          <w:rPr>
            <w:noProof/>
            <w:webHidden/>
          </w:rPr>
        </w:r>
        <w:r w:rsidR="00466071">
          <w:rPr>
            <w:noProof/>
            <w:webHidden/>
          </w:rPr>
          <w:fldChar w:fldCharType="separate"/>
        </w:r>
        <w:r>
          <w:rPr>
            <w:noProof/>
            <w:webHidden/>
          </w:rPr>
          <w:t>74</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93" w:history="1">
        <w:r w:rsidR="00466071" w:rsidRPr="00282EF5">
          <w:rPr>
            <w:rStyle w:val="Hyperlink"/>
            <w:noProof/>
          </w:rPr>
          <w:t>8.2 Metodologia</w:t>
        </w:r>
        <w:r w:rsidR="00466071">
          <w:rPr>
            <w:noProof/>
            <w:webHidden/>
          </w:rPr>
          <w:tab/>
        </w:r>
        <w:r w:rsidR="00466071">
          <w:rPr>
            <w:noProof/>
            <w:webHidden/>
          </w:rPr>
          <w:fldChar w:fldCharType="begin"/>
        </w:r>
        <w:r w:rsidR="00466071">
          <w:rPr>
            <w:noProof/>
            <w:webHidden/>
          </w:rPr>
          <w:instrText xml:space="preserve"> PAGEREF _Toc372789493 \h </w:instrText>
        </w:r>
        <w:r w:rsidR="00466071">
          <w:rPr>
            <w:noProof/>
            <w:webHidden/>
          </w:rPr>
        </w:r>
        <w:r w:rsidR="00466071">
          <w:rPr>
            <w:noProof/>
            <w:webHidden/>
          </w:rPr>
          <w:fldChar w:fldCharType="separate"/>
        </w:r>
        <w:r>
          <w:rPr>
            <w:noProof/>
            <w:webHidden/>
          </w:rPr>
          <w:t>78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94" w:history="1">
        <w:r w:rsidR="00466071" w:rsidRPr="00282EF5">
          <w:rPr>
            <w:rStyle w:val="Hyperlink"/>
            <w:noProof/>
          </w:rPr>
          <w:t>8.3 Aspectos Demográficos, Econômicos e Socioculturais</w:t>
        </w:r>
        <w:r w:rsidR="00466071">
          <w:rPr>
            <w:noProof/>
            <w:webHidden/>
          </w:rPr>
          <w:tab/>
        </w:r>
        <w:r w:rsidR="00466071">
          <w:rPr>
            <w:noProof/>
            <w:webHidden/>
          </w:rPr>
          <w:fldChar w:fldCharType="begin"/>
        </w:r>
        <w:r w:rsidR="00466071">
          <w:rPr>
            <w:noProof/>
            <w:webHidden/>
          </w:rPr>
          <w:instrText xml:space="preserve"> PAGEREF _Toc372789494 \h </w:instrText>
        </w:r>
        <w:r w:rsidR="00466071">
          <w:rPr>
            <w:noProof/>
            <w:webHidden/>
          </w:rPr>
        </w:r>
        <w:r w:rsidR="00466071">
          <w:rPr>
            <w:noProof/>
            <w:webHidden/>
          </w:rPr>
          <w:fldChar w:fldCharType="separate"/>
        </w:r>
        <w:r>
          <w:rPr>
            <w:noProof/>
            <w:webHidden/>
          </w:rPr>
          <w:t>79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95" w:history="1">
        <w:r w:rsidR="00466071" w:rsidRPr="00282EF5">
          <w:rPr>
            <w:rStyle w:val="Hyperlink"/>
            <w:noProof/>
          </w:rPr>
          <w:t>8.3.1 Aspectos Demográficos</w:t>
        </w:r>
        <w:r w:rsidR="00466071">
          <w:rPr>
            <w:noProof/>
            <w:webHidden/>
          </w:rPr>
          <w:tab/>
        </w:r>
        <w:r w:rsidR="00466071">
          <w:rPr>
            <w:noProof/>
            <w:webHidden/>
          </w:rPr>
          <w:fldChar w:fldCharType="begin"/>
        </w:r>
        <w:r w:rsidR="00466071">
          <w:rPr>
            <w:noProof/>
            <w:webHidden/>
          </w:rPr>
          <w:instrText xml:space="preserve"> PAGEREF _Toc372789495 \h </w:instrText>
        </w:r>
        <w:r w:rsidR="00466071">
          <w:rPr>
            <w:noProof/>
            <w:webHidden/>
          </w:rPr>
        </w:r>
        <w:r w:rsidR="00466071">
          <w:rPr>
            <w:noProof/>
            <w:webHidden/>
          </w:rPr>
          <w:fldChar w:fldCharType="separate"/>
        </w:r>
        <w:r>
          <w:rPr>
            <w:noProof/>
            <w:webHidden/>
          </w:rPr>
          <w:t>79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96" w:history="1">
        <w:r w:rsidR="00466071" w:rsidRPr="00282EF5">
          <w:rPr>
            <w:rStyle w:val="Hyperlink"/>
            <w:noProof/>
          </w:rPr>
          <w:t xml:space="preserve">8.3.2 Condições do </w:t>
        </w:r>
        <w:r w:rsidR="00466071" w:rsidRPr="00282EF5">
          <w:rPr>
            <w:rStyle w:val="Hyperlink"/>
            <w:i/>
            <w:noProof/>
          </w:rPr>
          <w:t>Habitat</w:t>
        </w:r>
        <w:r w:rsidR="00466071" w:rsidRPr="00282EF5">
          <w:rPr>
            <w:rStyle w:val="Hyperlink"/>
            <w:noProof/>
          </w:rPr>
          <w:t xml:space="preserve"> Familiar e Infraestruturas Disponíveis</w:t>
        </w:r>
        <w:r w:rsidR="00466071">
          <w:rPr>
            <w:noProof/>
            <w:webHidden/>
          </w:rPr>
          <w:tab/>
        </w:r>
        <w:r w:rsidR="00466071">
          <w:rPr>
            <w:noProof/>
            <w:webHidden/>
          </w:rPr>
          <w:fldChar w:fldCharType="begin"/>
        </w:r>
        <w:r w:rsidR="00466071">
          <w:rPr>
            <w:noProof/>
            <w:webHidden/>
          </w:rPr>
          <w:instrText xml:space="preserve"> PAGEREF _Toc372789496 \h </w:instrText>
        </w:r>
        <w:r w:rsidR="00466071">
          <w:rPr>
            <w:noProof/>
            <w:webHidden/>
          </w:rPr>
        </w:r>
        <w:r w:rsidR="00466071">
          <w:rPr>
            <w:noProof/>
            <w:webHidden/>
          </w:rPr>
          <w:fldChar w:fldCharType="separate"/>
        </w:r>
        <w:r>
          <w:rPr>
            <w:noProof/>
            <w:webHidden/>
          </w:rPr>
          <w:t>82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97" w:history="1">
        <w:r w:rsidR="00466071" w:rsidRPr="00282EF5">
          <w:rPr>
            <w:rStyle w:val="Hyperlink"/>
            <w:noProof/>
          </w:rPr>
          <w:t>8.3.3 Produção, Emprego, Renda, Pobreza e Desigualdade</w:t>
        </w:r>
        <w:r w:rsidR="00466071">
          <w:rPr>
            <w:noProof/>
            <w:webHidden/>
          </w:rPr>
          <w:tab/>
        </w:r>
        <w:r w:rsidR="00466071">
          <w:rPr>
            <w:noProof/>
            <w:webHidden/>
          </w:rPr>
          <w:fldChar w:fldCharType="begin"/>
        </w:r>
        <w:r w:rsidR="00466071">
          <w:rPr>
            <w:noProof/>
            <w:webHidden/>
          </w:rPr>
          <w:instrText xml:space="preserve"> PAGEREF _Toc372789497 \h </w:instrText>
        </w:r>
        <w:r w:rsidR="00466071">
          <w:rPr>
            <w:noProof/>
            <w:webHidden/>
          </w:rPr>
        </w:r>
        <w:r w:rsidR="00466071">
          <w:rPr>
            <w:noProof/>
            <w:webHidden/>
          </w:rPr>
          <w:fldChar w:fldCharType="separate"/>
        </w:r>
        <w:r>
          <w:rPr>
            <w:noProof/>
            <w:webHidden/>
          </w:rPr>
          <w:t>86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98" w:history="1">
        <w:r w:rsidR="00466071" w:rsidRPr="00282EF5">
          <w:rPr>
            <w:rStyle w:val="Hyperlink"/>
            <w:noProof/>
          </w:rPr>
          <w:t>8.3.4 Acesso ao Conhecimento/Educação</w:t>
        </w:r>
        <w:r w:rsidR="00466071">
          <w:rPr>
            <w:noProof/>
            <w:webHidden/>
          </w:rPr>
          <w:tab/>
        </w:r>
        <w:r w:rsidR="00466071">
          <w:rPr>
            <w:noProof/>
            <w:webHidden/>
          </w:rPr>
          <w:fldChar w:fldCharType="begin"/>
        </w:r>
        <w:r w:rsidR="00466071">
          <w:rPr>
            <w:noProof/>
            <w:webHidden/>
          </w:rPr>
          <w:instrText xml:space="preserve"> PAGEREF _Toc372789498 \h </w:instrText>
        </w:r>
        <w:r w:rsidR="00466071">
          <w:rPr>
            <w:noProof/>
            <w:webHidden/>
          </w:rPr>
        </w:r>
        <w:r w:rsidR="00466071">
          <w:rPr>
            <w:noProof/>
            <w:webHidden/>
          </w:rPr>
          <w:fldChar w:fldCharType="separate"/>
        </w:r>
        <w:r>
          <w:rPr>
            <w:noProof/>
            <w:webHidden/>
          </w:rPr>
          <w:t>90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499" w:history="1">
        <w:r w:rsidR="00466071" w:rsidRPr="00282EF5">
          <w:rPr>
            <w:rStyle w:val="Hyperlink"/>
            <w:noProof/>
          </w:rPr>
          <w:t>8.3.5 Situação e Indicadores de Saúde</w:t>
        </w:r>
        <w:r w:rsidR="00466071">
          <w:rPr>
            <w:noProof/>
            <w:webHidden/>
          </w:rPr>
          <w:tab/>
        </w:r>
        <w:r w:rsidR="00466071">
          <w:rPr>
            <w:noProof/>
            <w:webHidden/>
          </w:rPr>
          <w:fldChar w:fldCharType="begin"/>
        </w:r>
        <w:r w:rsidR="00466071">
          <w:rPr>
            <w:noProof/>
            <w:webHidden/>
          </w:rPr>
          <w:instrText xml:space="preserve"> PAGEREF _Toc372789499 \h </w:instrText>
        </w:r>
        <w:r w:rsidR="00466071">
          <w:rPr>
            <w:noProof/>
            <w:webHidden/>
          </w:rPr>
        </w:r>
        <w:r w:rsidR="00466071">
          <w:rPr>
            <w:noProof/>
            <w:webHidden/>
          </w:rPr>
          <w:fldChar w:fldCharType="separate"/>
        </w:r>
        <w:r>
          <w:rPr>
            <w:noProof/>
            <w:webHidden/>
          </w:rPr>
          <w:t>96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00" w:history="1">
        <w:r w:rsidR="00466071" w:rsidRPr="00282EF5">
          <w:rPr>
            <w:rStyle w:val="Hyperlink"/>
            <w:noProof/>
          </w:rPr>
          <w:t>8.3.6 Vulnerabilidade e Assistência Social</w:t>
        </w:r>
        <w:r w:rsidR="00466071">
          <w:rPr>
            <w:noProof/>
            <w:webHidden/>
          </w:rPr>
          <w:tab/>
        </w:r>
        <w:r w:rsidR="00466071">
          <w:rPr>
            <w:noProof/>
            <w:webHidden/>
          </w:rPr>
          <w:fldChar w:fldCharType="begin"/>
        </w:r>
        <w:r w:rsidR="00466071">
          <w:rPr>
            <w:noProof/>
            <w:webHidden/>
          </w:rPr>
          <w:instrText xml:space="preserve"> PAGEREF _Toc372789500 \h </w:instrText>
        </w:r>
        <w:r w:rsidR="00466071">
          <w:rPr>
            <w:noProof/>
            <w:webHidden/>
          </w:rPr>
        </w:r>
        <w:r w:rsidR="00466071">
          <w:rPr>
            <w:noProof/>
            <w:webHidden/>
          </w:rPr>
          <w:fldChar w:fldCharType="separate"/>
        </w:r>
        <w:r>
          <w:rPr>
            <w:noProof/>
            <w:webHidden/>
          </w:rPr>
          <w:t>101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01" w:history="1">
        <w:r w:rsidR="00466071" w:rsidRPr="00282EF5">
          <w:rPr>
            <w:rStyle w:val="Hyperlink"/>
            <w:noProof/>
          </w:rPr>
          <w:t>8.3.7 Índice de Desenvolvimento Humano – IDH</w:t>
        </w:r>
        <w:r w:rsidR="00466071">
          <w:rPr>
            <w:noProof/>
            <w:webHidden/>
          </w:rPr>
          <w:tab/>
        </w:r>
        <w:r w:rsidR="00466071">
          <w:rPr>
            <w:noProof/>
            <w:webHidden/>
          </w:rPr>
          <w:fldChar w:fldCharType="begin"/>
        </w:r>
        <w:r w:rsidR="00466071">
          <w:rPr>
            <w:noProof/>
            <w:webHidden/>
          </w:rPr>
          <w:instrText xml:space="preserve"> PAGEREF _Toc372789501 \h </w:instrText>
        </w:r>
        <w:r w:rsidR="00466071">
          <w:rPr>
            <w:noProof/>
            <w:webHidden/>
          </w:rPr>
        </w:r>
        <w:r w:rsidR="00466071">
          <w:rPr>
            <w:noProof/>
            <w:webHidden/>
          </w:rPr>
          <w:fldChar w:fldCharType="separate"/>
        </w:r>
        <w:r>
          <w:rPr>
            <w:noProof/>
            <w:webHidden/>
          </w:rPr>
          <w:t>104</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02" w:history="1">
        <w:r w:rsidR="00466071" w:rsidRPr="00282EF5">
          <w:rPr>
            <w:rStyle w:val="Hyperlink"/>
            <w:noProof/>
          </w:rPr>
          <w:t>8.3.8 Estado da Cultura, Esporte, Turismo e Lazer</w:t>
        </w:r>
        <w:r w:rsidR="00466071">
          <w:rPr>
            <w:noProof/>
            <w:webHidden/>
          </w:rPr>
          <w:tab/>
        </w:r>
        <w:r w:rsidR="00466071">
          <w:rPr>
            <w:noProof/>
            <w:webHidden/>
          </w:rPr>
          <w:fldChar w:fldCharType="begin"/>
        </w:r>
        <w:r w:rsidR="00466071">
          <w:rPr>
            <w:noProof/>
            <w:webHidden/>
          </w:rPr>
          <w:instrText xml:space="preserve"> PAGEREF _Toc372789502 \h </w:instrText>
        </w:r>
        <w:r w:rsidR="00466071">
          <w:rPr>
            <w:noProof/>
            <w:webHidden/>
          </w:rPr>
        </w:r>
        <w:r w:rsidR="00466071">
          <w:rPr>
            <w:noProof/>
            <w:webHidden/>
          </w:rPr>
          <w:fldChar w:fldCharType="separate"/>
        </w:r>
        <w:r>
          <w:rPr>
            <w:noProof/>
            <w:webHidden/>
          </w:rPr>
          <w:t>107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03" w:history="1">
        <w:r w:rsidR="00466071" w:rsidRPr="00282EF5">
          <w:rPr>
            <w:rStyle w:val="Hyperlink"/>
            <w:noProof/>
          </w:rPr>
          <w:t>8.3.9 Dimensionamento da Segurança Pública</w:t>
        </w:r>
        <w:r w:rsidR="00466071">
          <w:rPr>
            <w:noProof/>
            <w:webHidden/>
          </w:rPr>
          <w:tab/>
        </w:r>
        <w:r w:rsidR="00466071">
          <w:rPr>
            <w:noProof/>
            <w:webHidden/>
          </w:rPr>
          <w:fldChar w:fldCharType="begin"/>
        </w:r>
        <w:r w:rsidR="00466071">
          <w:rPr>
            <w:noProof/>
            <w:webHidden/>
          </w:rPr>
          <w:instrText xml:space="preserve"> PAGEREF _Toc372789503 \h </w:instrText>
        </w:r>
        <w:r w:rsidR="00466071">
          <w:rPr>
            <w:noProof/>
            <w:webHidden/>
          </w:rPr>
        </w:r>
        <w:r w:rsidR="00466071">
          <w:rPr>
            <w:noProof/>
            <w:webHidden/>
          </w:rPr>
          <w:fldChar w:fldCharType="separate"/>
        </w:r>
        <w:r>
          <w:rPr>
            <w:noProof/>
            <w:webHidden/>
          </w:rPr>
          <w:t>110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04" w:history="1">
        <w:r w:rsidR="00466071" w:rsidRPr="00282EF5">
          <w:rPr>
            <w:rStyle w:val="Hyperlink"/>
            <w:noProof/>
          </w:rPr>
          <w:t>8.3.10 Situação das Finanças Públicas e o Índice de Responsabilidade Social</w:t>
        </w:r>
        <w:r w:rsidR="00466071">
          <w:rPr>
            <w:noProof/>
            <w:webHidden/>
          </w:rPr>
          <w:tab/>
        </w:r>
        <w:r w:rsidR="00466071">
          <w:rPr>
            <w:noProof/>
            <w:webHidden/>
          </w:rPr>
          <w:fldChar w:fldCharType="begin"/>
        </w:r>
        <w:r w:rsidR="00466071">
          <w:rPr>
            <w:noProof/>
            <w:webHidden/>
          </w:rPr>
          <w:instrText xml:space="preserve"> PAGEREF _Toc372789504 \h </w:instrText>
        </w:r>
        <w:r w:rsidR="00466071">
          <w:rPr>
            <w:noProof/>
            <w:webHidden/>
          </w:rPr>
        </w:r>
        <w:r w:rsidR="00466071">
          <w:rPr>
            <w:noProof/>
            <w:webHidden/>
          </w:rPr>
          <w:fldChar w:fldCharType="separate"/>
        </w:r>
        <w:r>
          <w:rPr>
            <w:noProof/>
            <w:webHidden/>
          </w:rPr>
          <w:t>112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05" w:history="1">
        <w:r w:rsidR="00466071" w:rsidRPr="00282EF5">
          <w:rPr>
            <w:rStyle w:val="Hyperlink"/>
            <w:noProof/>
          </w:rPr>
          <w:t>8.4 Considerações Finais</w:t>
        </w:r>
        <w:r w:rsidR="00466071">
          <w:rPr>
            <w:noProof/>
            <w:webHidden/>
          </w:rPr>
          <w:tab/>
        </w:r>
        <w:r w:rsidR="00466071">
          <w:rPr>
            <w:noProof/>
            <w:webHidden/>
          </w:rPr>
          <w:fldChar w:fldCharType="begin"/>
        </w:r>
        <w:r w:rsidR="00466071">
          <w:rPr>
            <w:noProof/>
            <w:webHidden/>
          </w:rPr>
          <w:instrText xml:space="preserve"> PAGEREF _Toc372789505 \h </w:instrText>
        </w:r>
        <w:r w:rsidR="00466071">
          <w:rPr>
            <w:noProof/>
            <w:webHidden/>
          </w:rPr>
        </w:r>
        <w:r w:rsidR="00466071">
          <w:rPr>
            <w:noProof/>
            <w:webHidden/>
          </w:rPr>
          <w:fldChar w:fldCharType="separate"/>
        </w:r>
        <w:r>
          <w:rPr>
            <w:noProof/>
            <w:webHidden/>
          </w:rPr>
          <w:t>115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06" w:history="1">
        <w:r w:rsidR="00466071" w:rsidRPr="00282EF5">
          <w:rPr>
            <w:rStyle w:val="Hyperlink"/>
            <w:noProof/>
          </w:rPr>
          <w:t>9 FUNDAMENTAÇÃO LEGAL</w:t>
        </w:r>
        <w:r w:rsidR="00466071">
          <w:rPr>
            <w:noProof/>
            <w:webHidden/>
          </w:rPr>
          <w:tab/>
        </w:r>
        <w:r w:rsidR="00466071">
          <w:rPr>
            <w:noProof/>
            <w:webHidden/>
          </w:rPr>
          <w:fldChar w:fldCharType="begin"/>
        </w:r>
        <w:r w:rsidR="00466071">
          <w:rPr>
            <w:noProof/>
            <w:webHidden/>
          </w:rPr>
          <w:instrText xml:space="preserve"> PAGEREF _Toc372789506 \h </w:instrText>
        </w:r>
        <w:r w:rsidR="00466071">
          <w:rPr>
            <w:noProof/>
            <w:webHidden/>
          </w:rPr>
        </w:r>
        <w:r w:rsidR="00466071">
          <w:rPr>
            <w:noProof/>
            <w:webHidden/>
          </w:rPr>
          <w:fldChar w:fldCharType="separate"/>
        </w:r>
        <w:r>
          <w:rPr>
            <w:noProof/>
            <w:webHidden/>
          </w:rPr>
          <w:t>118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07" w:history="1">
        <w:r w:rsidR="00466071" w:rsidRPr="00282EF5">
          <w:rPr>
            <w:rStyle w:val="Hyperlink"/>
            <w:noProof/>
          </w:rPr>
          <w:t>9.1 Princípios</w:t>
        </w:r>
        <w:r w:rsidR="00466071">
          <w:rPr>
            <w:noProof/>
            <w:webHidden/>
          </w:rPr>
          <w:tab/>
        </w:r>
        <w:r w:rsidR="00466071">
          <w:rPr>
            <w:noProof/>
            <w:webHidden/>
          </w:rPr>
          <w:fldChar w:fldCharType="begin"/>
        </w:r>
        <w:r w:rsidR="00466071">
          <w:rPr>
            <w:noProof/>
            <w:webHidden/>
          </w:rPr>
          <w:instrText xml:space="preserve"> PAGEREF _Toc372789507 \h </w:instrText>
        </w:r>
        <w:r w:rsidR="00466071">
          <w:rPr>
            <w:noProof/>
            <w:webHidden/>
          </w:rPr>
        </w:r>
        <w:r w:rsidR="00466071">
          <w:rPr>
            <w:noProof/>
            <w:webHidden/>
          </w:rPr>
          <w:fldChar w:fldCharType="separate"/>
        </w:r>
        <w:r>
          <w:rPr>
            <w:noProof/>
            <w:webHidden/>
          </w:rPr>
          <w:t>118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08" w:history="1">
        <w:r w:rsidR="00466071" w:rsidRPr="00282EF5">
          <w:rPr>
            <w:rStyle w:val="Hyperlink"/>
            <w:noProof/>
          </w:rPr>
          <w:t>9.2 Compilação da Legislação Vigente</w:t>
        </w:r>
        <w:r w:rsidR="00466071">
          <w:rPr>
            <w:noProof/>
            <w:webHidden/>
          </w:rPr>
          <w:tab/>
        </w:r>
        <w:r w:rsidR="00466071">
          <w:rPr>
            <w:noProof/>
            <w:webHidden/>
          </w:rPr>
          <w:fldChar w:fldCharType="begin"/>
        </w:r>
        <w:r w:rsidR="00466071">
          <w:rPr>
            <w:noProof/>
            <w:webHidden/>
          </w:rPr>
          <w:instrText xml:space="preserve"> PAGEREF _Toc372789508 \h </w:instrText>
        </w:r>
        <w:r w:rsidR="00466071">
          <w:rPr>
            <w:noProof/>
            <w:webHidden/>
          </w:rPr>
        </w:r>
        <w:r w:rsidR="00466071">
          <w:rPr>
            <w:noProof/>
            <w:webHidden/>
          </w:rPr>
          <w:fldChar w:fldCharType="separate"/>
        </w:r>
        <w:r>
          <w:rPr>
            <w:noProof/>
            <w:webHidden/>
          </w:rPr>
          <w:t>119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09" w:history="1">
        <w:r w:rsidR="00466071" w:rsidRPr="00282EF5">
          <w:rPr>
            <w:rStyle w:val="Hyperlink"/>
            <w:noProof/>
          </w:rPr>
          <w:t>9.2.1 Legislação Federal</w:t>
        </w:r>
        <w:r w:rsidR="00466071">
          <w:rPr>
            <w:noProof/>
            <w:webHidden/>
          </w:rPr>
          <w:tab/>
        </w:r>
        <w:r w:rsidR="00466071">
          <w:rPr>
            <w:noProof/>
            <w:webHidden/>
          </w:rPr>
          <w:fldChar w:fldCharType="begin"/>
        </w:r>
        <w:r w:rsidR="00466071">
          <w:rPr>
            <w:noProof/>
            <w:webHidden/>
          </w:rPr>
          <w:instrText xml:space="preserve"> PAGEREF _Toc372789509 \h </w:instrText>
        </w:r>
        <w:r w:rsidR="00466071">
          <w:rPr>
            <w:noProof/>
            <w:webHidden/>
          </w:rPr>
        </w:r>
        <w:r w:rsidR="00466071">
          <w:rPr>
            <w:noProof/>
            <w:webHidden/>
          </w:rPr>
          <w:fldChar w:fldCharType="separate"/>
        </w:r>
        <w:r>
          <w:rPr>
            <w:noProof/>
            <w:webHidden/>
          </w:rPr>
          <w:t>119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10" w:history="1">
        <w:r w:rsidR="00466071" w:rsidRPr="00282EF5">
          <w:rPr>
            <w:rStyle w:val="Hyperlink"/>
            <w:noProof/>
          </w:rPr>
          <w:t>9.2.2 Legislação Estadual</w:t>
        </w:r>
        <w:r w:rsidR="00466071">
          <w:rPr>
            <w:noProof/>
            <w:webHidden/>
          </w:rPr>
          <w:tab/>
        </w:r>
        <w:r w:rsidR="00466071">
          <w:rPr>
            <w:noProof/>
            <w:webHidden/>
          </w:rPr>
          <w:fldChar w:fldCharType="begin"/>
        </w:r>
        <w:r w:rsidR="00466071">
          <w:rPr>
            <w:noProof/>
            <w:webHidden/>
          </w:rPr>
          <w:instrText xml:space="preserve"> PAGEREF _Toc372789510 \h </w:instrText>
        </w:r>
        <w:r w:rsidR="00466071">
          <w:rPr>
            <w:noProof/>
            <w:webHidden/>
          </w:rPr>
        </w:r>
        <w:r w:rsidR="00466071">
          <w:rPr>
            <w:noProof/>
            <w:webHidden/>
          </w:rPr>
          <w:fldChar w:fldCharType="separate"/>
        </w:r>
        <w:r>
          <w:rPr>
            <w:noProof/>
            <w:webHidden/>
          </w:rPr>
          <w:t>128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11" w:history="1">
        <w:r w:rsidR="00466071" w:rsidRPr="00282EF5">
          <w:rPr>
            <w:rStyle w:val="Hyperlink"/>
            <w:noProof/>
          </w:rPr>
          <w:t>9.2.3 Legislação Municipal</w:t>
        </w:r>
        <w:r w:rsidR="00466071">
          <w:rPr>
            <w:noProof/>
            <w:webHidden/>
          </w:rPr>
          <w:tab/>
        </w:r>
        <w:r w:rsidR="00466071">
          <w:rPr>
            <w:noProof/>
            <w:webHidden/>
          </w:rPr>
          <w:fldChar w:fldCharType="begin"/>
        </w:r>
        <w:r w:rsidR="00466071">
          <w:rPr>
            <w:noProof/>
            <w:webHidden/>
          </w:rPr>
          <w:instrText xml:space="preserve"> PAGEREF _Toc372789511 \h </w:instrText>
        </w:r>
        <w:r w:rsidR="00466071">
          <w:rPr>
            <w:noProof/>
            <w:webHidden/>
          </w:rPr>
        </w:r>
        <w:r w:rsidR="00466071">
          <w:rPr>
            <w:noProof/>
            <w:webHidden/>
          </w:rPr>
          <w:fldChar w:fldCharType="separate"/>
        </w:r>
        <w:r>
          <w:rPr>
            <w:noProof/>
            <w:webHidden/>
          </w:rPr>
          <w:t>137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12" w:history="1">
        <w:r w:rsidR="00466071" w:rsidRPr="00282EF5">
          <w:rPr>
            <w:rStyle w:val="Hyperlink"/>
            <w:noProof/>
          </w:rPr>
          <w:t>10 ASPECTOS DOS SERVIÇOS PÚBLICOS</w:t>
        </w:r>
        <w:r w:rsidR="00466071">
          <w:rPr>
            <w:noProof/>
            <w:webHidden/>
          </w:rPr>
          <w:tab/>
        </w:r>
        <w:r w:rsidR="00466071">
          <w:rPr>
            <w:noProof/>
            <w:webHidden/>
          </w:rPr>
          <w:fldChar w:fldCharType="begin"/>
        </w:r>
        <w:r w:rsidR="00466071">
          <w:rPr>
            <w:noProof/>
            <w:webHidden/>
          </w:rPr>
          <w:instrText xml:space="preserve"> PAGEREF _Toc372789512 \h </w:instrText>
        </w:r>
        <w:r w:rsidR="00466071">
          <w:rPr>
            <w:noProof/>
            <w:webHidden/>
          </w:rPr>
        </w:r>
        <w:r w:rsidR="00466071">
          <w:rPr>
            <w:noProof/>
            <w:webHidden/>
          </w:rPr>
          <w:fldChar w:fldCharType="separate"/>
        </w:r>
        <w:r>
          <w:rPr>
            <w:noProof/>
            <w:webHidden/>
          </w:rPr>
          <w:t>140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13" w:history="1">
        <w:r w:rsidR="00466071" w:rsidRPr="00282EF5">
          <w:rPr>
            <w:rStyle w:val="Hyperlink"/>
            <w:noProof/>
          </w:rPr>
          <w:t>10.1 Saneamento Básico</w:t>
        </w:r>
        <w:r w:rsidR="00466071">
          <w:rPr>
            <w:noProof/>
            <w:webHidden/>
          </w:rPr>
          <w:tab/>
        </w:r>
        <w:r w:rsidR="00466071">
          <w:rPr>
            <w:noProof/>
            <w:webHidden/>
          </w:rPr>
          <w:fldChar w:fldCharType="begin"/>
        </w:r>
        <w:r w:rsidR="00466071">
          <w:rPr>
            <w:noProof/>
            <w:webHidden/>
          </w:rPr>
          <w:instrText xml:space="preserve"> PAGEREF _Toc372789513 \h </w:instrText>
        </w:r>
        <w:r w:rsidR="00466071">
          <w:rPr>
            <w:noProof/>
            <w:webHidden/>
          </w:rPr>
        </w:r>
        <w:r w:rsidR="00466071">
          <w:rPr>
            <w:noProof/>
            <w:webHidden/>
          </w:rPr>
          <w:fldChar w:fldCharType="separate"/>
        </w:r>
        <w:r>
          <w:rPr>
            <w:noProof/>
            <w:webHidden/>
          </w:rPr>
          <w:t>140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14" w:history="1">
        <w:r w:rsidR="00466071" w:rsidRPr="00282EF5">
          <w:rPr>
            <w:rStyle w:val="Hyperlink"/>
            <w:noProof/>
          </w:rPr>
          <w:t>10.2 Abastecimento de Água</w:t>
        </w:r>
        <w:r w:rsidR="00466071">
          <w:rPr>
            <w:noProof/>
            <w:webHidden/>
          </w:rPr>
          <w:tab/>
        </w:r>
        <w:r w:rsidR="00466071">
          <w:rPr>
            <w:noProof/>
            <w:webHidden/>
          </w:rPr>
          <w:fldChar w:fldCharType="begin"/>
        </w:r>
        <w:r w:rsidR="00466071">
          <w:rPr>
            <w:noProof/>
            <w:webHidden/>
          </w:rPr>
          <w:instrText xml:space="preserve"> PAGEREF _Toc372789514 \h </w:instrText>
        </w:r>
        <w:r w:rsidR="00466071">
          <w:rPr>
            <w:noProof/>
            <w:webHidden/>
          </w:rPr>
        </w:r>
        <w:r w:rsidR="00466071">
          <w:rPr>
            <w:noProof/>
            <w:webHidden/>
          </w:rPr>
          <w:fldChar w:fldCharType="separate"/>
        </w:r>
        <w:r>
          <w:rPr>
            <w:noProof/>
            <w:webHidden/>
          </w:rPr>
          <w:t>140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15" w:history="1">
        <w:r w:rsidR="00466071" w:rsidRPr="00282EF5">
          <w:rPr>
            <w:rStyle w:val="Hyperlink"/>
            <w:noProof/>
          </w:rPr>
          <w:t>10.3 Esgotamento Sanitário</w:t>
        </w:r>
        <w:r w:rsidR="00466071">
          <w:rPr>
            <w:noProof/>
            <w:webHidden/>
          </w:rPr>
          <w:tab/>
        </w:r>
        <w:r w:rsidR="00466071">
          <w:rPr>
            <w:noProof/>
            <w:webHidden/>
          </w:rPr>
          <w:fldChar w:fldCharType="begin"/>
        </w:r>
        <w:r w:rsidR="00466071">
          <w:rPr>
            <w:noProof/>
            <w:webHidden/>
          </w:rPr>
          <w:instrText xml:space="preserve"> PAGEREF _Toc372789515 \h </w:instrText>
        </w:r>
        <w:r w:rsidR="00466071">
          <w:rPr>
            <w:noProof/>
            <w:webHidden/>
          </w:rPr>
        </w:r>
        <w:r w:rsidR="00466071">
          <w:rPr>
            <w:noProof/>
            <w:webHidden/>
          </w:rPr>
          <w:fldChar w:fldCharType="separate"/>
        </w:r>
        <w:r>
          <w:rPr>
            <w:noProof/>
            <w:webHidden/>
          </w:rPr>
          <w:t>141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16" w:history="1">
        <w:r w:rsidR="00466071" w:rsidRPr="00282EF5">
          <w:rPr>
            <w:rStyle w:val="Hyperlink"/>
            <w:noProof/>
          </w:rPr>
          <w:t>10.4 Destinação dos Resíduos Sólidos</w:t>
        </w:r>
        <w:r w:rsidR="00466071">
          <w:rPr>
            <w:noProof/>
            <w:webHidden/>
          </w:rPr>
          <w:tab/>
        </w:r>
        <w:r w:rsidR="00466071">
          <w:rPr>
            <w:noProof/>
            <w:webHidden/>
          </w:rPr>
          <w:fldChar w:fldCharType="begin"/>
        </w:r>
        <w:r w:rsidR="00466071">
          <w:rPr>
            <w:noProof/>
            <w:webHidden/>
          </w:rPr>
          <w:instrText xml:space="preserve"> PAGEREF _Toc372789516 \h </w:instrText>
        </w:r>
        <w:r w:rsidR="00466071">
          <w:rPr>
            <w:noProof/>
            <w:webHidden/>
          </w:rPr>
        </w:r>
        <w:r w:rsidR="00466071">
          <w:rPr>
            <w:noProof/>
            <w:webHidden/>
          </w:rPr>
          <w:fldChar w:fldCharType="separate"/>
        </w:r>
        <w:r>
          <w:rPr>
            <w:noProof/>
            <w:webHidden/>
          </w:rPr>
          <w:t>142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17" w:history="1">
        <w:r w:rsidR="00466071" w:rsidRPr="00282EF5">
          <w:rPr>
            <w:rStyle w:val="Hyperlink"/>
            <w:noProof/>
          </w:rPr>
          <w:t>10.5 Drenagem e Manejo das Águas Pluviais</w:t>
        </w:r>
        <w:r w:rsidR="00466071">
          <w:rPr>
            <w:noProof/>
            <w:webHidden/>
          </w:rPr>
          <w:tab/>
        </w:r>
        <w:r w:rsidR="00466071">
          <w:rPr>
            <w:noProof/>
            <w:webHidden/>
          </w:rPr>
          <w:fldChar w:fldCharType="begin"/>
        </w:r>
        <w:r w:rsidR="00466071">
          <w:rPr>
            <w:noProof/>
            <w:webHidden/>
          </w:rPr>
          <w:instrText xml:space="preserve"> PAGEREF _Toc372789517 \h </w:instrText>
        </w:r>
        <w:r w:rsidR="00466071">
          <w:rPr>
            <w:noProof/>
            <w:webHidden/>
          </w:rPr>
        </w:r>
        <w:r w:rsidR="00466071">
          <w:rPr>
            <w:noProof/>
            <w:webHidden/>
          </w:rPr>
          <w:fldChar w:fldCharType="separate"/>
        </w:r>
        <w:r>
          <w:rPr>
            <w:noProof/>
            <w:webHidden/>
          </w:rPr>
          <w:t>143</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18" w:history="1">
        <w:r w:rsidR="00466071" w:rsidRPr="00282EF5">
          <w:rPr>
            <w:rStyle w:val="Hyperlink"/>
            <w:noProof/>
          </w:rPr>
          <w:t>10.6 Diretrizes</w:t>
        </w:r>
        <w:r w:rsidR="00466071">
          <w:rPr>
            <w:noProof/>
            <w:webHidden/>
          </w:rPr>
          <w:tab/>
        </w:r>
        <w:r w:rsidR="00466071">
          <w:rPr>
            <w:noProof/>
            <w:webHidden/>
          </w:rPr>
          <w:fldChar w:fldCharType="begin"/>
        </w:r>
        <w:r w:rsidR="00466071">
          <w:rPr>
            <w:noProof/>
            <w:webHidden/>
          </w:rPr>
          <w:instrText xml:space="preserve"> PAGEREF _Toc372789518 \h </w:instrText>
        </w:r>
        <w:r w:rsidR="00466071">
          <w:rPr>
            <w:noProof/>
            <w:webHidden/>
          </w:rPr>
        </w:r>
        <w:r w:rsidR="00466071">
          <w:rPr>
            <w:noProof/>
            <w:webHidden/>
          </w:rPr>
          <w:fldChar w:fldCharType="separate"/>
        </w:r>
        <w:r>
          <w:rPr>
            <w:noProof/>
            <w:webHidden/>
          </w:rPr>
          <w:t>145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19" w:history="1">
        <w:r w:rsidR="00466071" w:rsidRPr="00282EF5">
          <w:rPr>
            <w:rStyle w:val="Hyperlink"/>
            <w:noProof/>
          </w:rPr>
          <w:t>10.6.1 Diretrizes Gerais (DG):</w:t>
        </w:r>
        <w:r w:rsidR="00466071">
          <w:rPr>
            <w:noProof/>
            <w:webHidden/>
          </w:rPr>
          <w:tab/>
        </w:r>
        <w:r w:rsidR="00466071">
          <w:rPr>
            <w:noProof/>
            <w:webHidden/>
          </w:rPr>
          <w:fldChar w:fldCharType="begin"/>
        </w:r>
        <w:r w:rsidR="00466071">
          <w:rPr>
            <w:noProof/>
            <w:webHidden/>
          </w:rPr>
          <w:instrText xml:space="preserve"> PAGEREF _Toc372789519 \h </w:instrText>
        </w:r>
        <w:r w:rsidR="00466071">
          <w:rPr>
            <w:noProof/>
            <w:webHidden/>
          </w:rPr>
        </w:r>
        <w:r w:rsidR="00466071">
          <w:rPr>
            <w:noProof/>
            <w:webHidden/>
          </w:rPr>
          <w:fldChar w:fldCharType="separate"/>
        </w:r>
        <w:r>
          <w:rPr>
            <w:noProof/>
            <w:webHidden/>
          </w:rPr>
          <w:t>145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20" w:history="1">
        <w:r w:rsidR="00466071" w:rsidRPr="00282EF5">
          <w:rPr>
            <w:rStyle w:val="Hyperlink"/>
            <w:noProof/>
          </w:rPr>
          <w:t>10.6.2 Diretrizes do Abastecimento de Água (DA):</w:t>
        </w:r>
        <w:r w:rsidR="00466071">
          <w:rPr>
            <w:noProof/>
            <w:webHidden/>
          </w:rPr>
          <w:tab/>
        </w:r>
        <w:r w:rsidR="00466071">
          <w:rPr>
            <w:noProof/>
            <w:webHidden/>
          </w:rPr>
          <w:fldChar w:fldCharType="begin"/>
        </w:r>
        <w:r w:rsidR="00466071">
          <w:rPr>
            <w:noProof/>
            <w:webHidden/>
          </w:rPr>
          <w:instrText xml:space="preserve"> PAGEREF _Toc372789520 \h </w:instrText>
        </w:r>
        <w:r w:rsidR="00466071">
          <w:rPr>
            <w:noProof/>
            <w:webHidden/>
          </w:rPr>
        </w:r>
        <w:r w:rsidR="00466071">
          <w:rPr>
            <w:noProof/>
            <w:webHidden/>
          </w:rPr>
          <w:fldChar w:fldCharType="separate"/>
        </w:r>
        <w:r>
          <w:rPr>
            <w:noProof/>
            <w:webHidden/>
          </w:rPr>
          <w:t>146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21" w:history="1">
        <w:r w:rsidR="00466071" w:rsidRPr="00282EF5">
          <w:rPr>
            <w:rStyle w:val="Hyperlink"/>
            <w:noProof/>
          </w:rPr>
          <w:t>10.6.3 Diretrizes do Esgotamento Sanitário (DE):</w:t>
        </w:r>
        <w:r w:rsidR="00466071">
          <w:rPr>
            <w:noProof/>
            <w:webHidden/>
          </w:rPr>
          <w:tab/>
        </w:r>
        <w:r w:rsidR="00466071">
          <w:rPr>
            <w:noProof/>
            <w:webHidden/>
          </w:rPr>
          <w:fldChar w:fldCharType="begin"/>
        </w:r>
        <w:r w:rsidR="00466071">
          <w:rPr>
            <w:noProof/>
            <w:webHidden/>
          </w:rPr>
          <w:instrText xml:space="preserve"> PAGEREF _Toc372789521 \h </w:instrText>
        </w:r>
        <w:r w:rsidR="00466071">
          <w:rPr>
            <w:noProof/>
            <w:webHidden/>
          </w:rPr>
        </w:r>
        <w:r w:rsidR="00466071">
          <w:rPr>
            <w:noProof/>
            <w:webHidden/>
          </w:rPr>
          <w:fldChar w:fldCharType="separate"/>
        </w:r>
        <w:r>
          <w:rPr>
            <w:noProof/>
            <w:webHidden/>
          </w:rPr>
          <w:t>147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22" w:history="1">
        <w:r w:rsidR="00466071" w:rsidRPr="00282EF5">
          <w:rPr>
            <w:rStyle w:val="Hyperlink"/>
            <w:noProof/>
          </w:rPr>
          <w:t>10.6.4 Diretrizes da Limpeza Urbana e Manejo dos Resíduos Sólidos (DR):</w:t>
        </w:r>
        <w:r w:rsidR="00466071">
          <w:rPr>
            <w:noProof/>
            <w:webHidden/>
          </w:rPr>
          <w:tab/>
        </w:r>
        <w:r w:rsidR="00466071">
          <w:rPr>
            <w:noProof/>
            <w:webHidden/>
          </w:rPr>
          <w:fldChar w:fldCharType="begin"/>
        </w:r>
        <w:r w:rsidR="00466071">
          <w:rPr>
            <w:noProof/>
            <w:webHidden/>
          </w:rPr>
          <w:instrText xml:space="preserve"> PAGEREF _Toc372789522 \h </w:instrText>
        </w:r>
        <w:r w:rsidR="00466071">
          <w:rPr>
            <w:noProof/>
            <w:webHidden/>
          </w:rPr>
        </w:r>
        <w:r w:rsidR="00466071">
          <w:rPr>
            <w:noProof/>
            <w:webHidden/>
          </w:rPr>
          <w:fldChar w:fldCharType="separate"/>
        </w:r>
        <w:r>
          <w:rPr>
            <w:noProof/>
            <w:webHidden/>
          </w:rPr>
          <w:t>147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23" w:history="1">
        <w:r w:rsidR="00466071" w:rsidRPr="00282EF5">
          <w:rPr>
            <w:rStyle w:val="Hyperlink"/>
            <w:noProof/>
          </w:rPr>
          <w:t>10.6.5 Diretrizes da Drenagem e Manejo de Águas Pluviais (DD):</w:t>
        </w:r>
        <w:r w:rsidR="00466071">
          <w:rPr>
            <w:noProof/>
            <w:webHidden/>
          </w:rPr>
          <w:tab/>
        </w:r>
        <w:r w:rsidR="00466071">
          <w:rPr>
            <w:noProof/>
            <w:webHidden/>
          </w:rPr>
          <w:fldChar w:fldCharType="begin"/>
        </w:r>
        <w:r w:rsidR="00466071">
          <w:rPr>
            <w:noProof/>
            <w:webHidden/>
          </w:rPr>
          <w:instrText xml:space="preserve"> PAGEREF _Toc372789523 \h </w:instrText>
        </w:r>
        <w:r w:rsidR="00466071">
          <w:rPr>
            <w:noProof/>
            <w:webHidden/>
          </w:rPr>
        </w:r>
        <w:r w:rsidR="00466071">
          <w:rPr>
            <w:noProof/>
            <w:webHidden/>
          </w:rPr>
          <w:fldChar w:fldCharType="separate"/>
        </w:r>
        <w:r>
          <w:rPr>
            <w:noProof/>
            <w:webHidden/>
          </w:rPr>
          <w:t>148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24" w:history="1">
        <w:r w:rsidR="00466071" w:rsidRPr="00282EF5">
          <w:rPr>
            <w:rStyle w:val="Hyperlink"/>
            <w:noProof/>
          </w:rPr>
          <w:t>11 ABASTECIMENTO DE ÁGUA</w:t>
        </w:r>
        <w:r w:rsidR="00466071">
          <w:rPr>
            <w:noProof/>
            <w:webHidden/>
          </w:rPr>
          <w:tab/>
        </w:r>
        <w:r w:rsidR="00466071">
          <w:rPr>
            <w:noProof/>
            <w:webHidden/>
          </w:rPr>
          <w:fldChar w:fldCharType="begin"/>
        </w:r>
        <w:r w:rsidR="00466071">
          <w:rPr>
            <w:noProof/>
            <w:webHidden/>
          </w:rPr>
          <w:instrText xml:space="preserve"> PAGEREF _Toc372789524 \h </w:instrText>
        </w:r>
        <w:r w:rsidR="00466071">
          <w:rPr>
            <w:noProof/>
            <w:webHidden/>
          </w:rPr>
        </w:r>
        <w:r w:rsidR="00466071">
          <w:rPr>
            <w:noProof/>
            <w:webHidden/>
          </w:rPr>
          <w:fldChar w:fldCharType="separate"/>
        </w:r>
        <w:r>
          <w:rPr>
            <w:noProof/>
            <w:webHidden/>
          </w:rPr>
          <w:t>149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25" w:history="1">
        <w:r w:rsidR="00466071" w:rsidRPr="00282EF5">
          <w:rPr>
            <w:rStyle w:val="Hyperlink"/>
            <w:noProof/>
          </w:rPr>
          <w:t>11.1 Configuração do Sistema de Abastecimento de Água (SAA)</w:t>
        </w:r>
        <w:r w:rsidR="00466071">
          <w:rPr>
            <w:noProof/>
            <w:webHidden/>
          </w:rPr>
          <w:tab/>
        </w:r>
        <w:r w:rsidR="00466071">
          <w:rPr>
            <w:noProof/>
            <w:webHidden/>
          </w:rPr>
          <w:fldChar w:fldCharType="begin"/>
        </w:r>
        <w:r w:rsidR="00466071">
          <w:rPr>
            <w:noProof/>
            <w:webHidden/>
          </w:rPr>
          <w:instrText xml:space="preserve"> PAGEREF _Toc372789525 \h </w:instrText>
        </w:r>
        <w:r w:rsidR="00466071">
          <w:rPr>
            <w:noProof/>
            <w:webHidden/>
          </w:rPr>
        </w:r>
        <w:r w:rsidR="00466071">
          <w:rPr>
            <w:noProof/>
            <w:webHidden/>
          </w:rPr>
          <w:fldChar w:fldCharType="separate"/>
        </w:r>
        <w:r>
          <w:rPr>
            <w:noProof/>
            <w:webHidden/>
          </w:rPr>
          <w:t>149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26" w:history="1">
        <w:r w:rsidR="00466071" w:rsidRPr="00282EF5">
          <w:rPr>
            <w:rStyle w:val="Hyperlink"/>
            <w:noProof/>
          </w:rPr>
          <w:t>11.2 Captação</w:t>
        </w:r>
        <w:r w:rsidR="00466071">
          <w:rPr>
            <w:noProof/>
            <w:webHidden/>
          </w:rPr>
          <w:tab/>
        </w:r>
        <w:r w:rsidR="00466071">
          <w:rPr>
            <w:noProof/>
            <w:webHidden/>
          </w:rPr>
          <w:fldChar w:fldCharType="begin"/>
        </w:r>
        <w:r w:rsidR="00466071">
          <w:rPr>
            <w:noProof/>
            <w:webHidden/>
          </w:rPr>
          <w:instrText xml:space="preserve"> PAGEREF _Toc372789526 \h </w:instrText>
        </w:r>
        <w:r w:rsidR="00466071">
          <w:rPr>
            <w:noProof/>
            <w:webHidden/>
          </w:rPr>
        </w:r>
        <w:r w:rsidR="00466071">
          <w:rPr>
            <w:noProof/>
            <w:webHidden/>
          </w:rPr>
          <w:fldChar w:fldCharType="separate"/>
        </w:r>
        <w:r>
          <w:rPr>
            <w:noProof/>
            <w:webHidden/>
          </w:rPr>
          <w:t>151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27" w:history="1">
        <w:r w:rsidR="00466071" w:rsidRPr="00282EF5">
          <w:rPr>
            <w:rStyle w:val="Hyperlink"/>
            <w:noProof/>
          </w:rPr>
          <w:t>11.3 Outorga</w:t>
        </w:r>
        <w:r w:rsidR="00466071">
          <w:rPr>
            <w:noProof/>
            <w:webHidden/>
          </w:rPr>
          <w:tab/>
        </w:r>
        <w:r w:rsidR="00466071">
          <w:rPr>
            <w:noProof/>
            <w:webHidden/>
          </w:rPr>
          <w:fldChar w:fldCharType="begin"/>
        </w:r>
        <w:r w:rsidR="00466071">
          <w:rPr>
            <w:noProof/>
            <w:webHidden/>
          </w:rPr>
          <w:instrText xml:space="preserve"> PAGEREF _Toc372789527 \h </w:instrText>
        </w:r>
        <w:r w:rsidR="00466071">
          <w:rPr>
            <w:noProof/>
            <w:webHidden/>
          </w:rPr>
        </w:r>
        <w:r w:rsidR="00466071">
          <w:rPr>
            <w:noProof/>
            <w:webHidden/>
          </w:rPr>
          <w:fldChar w:fldCharType="separate"/>
        </w:r>
        <w:r>
          <w:rPr>
            <w:noProof/>
            <w:webHidden/>
          </w:rPr>
          <w:t>153</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28" w:history="1">
        <w:r w:rsidR="00466071" w:rsidRPr="00282EF5">
          <w:rPr>
            <w:rStyle w:val="Hyperlink"/>
            <w:noProof/>
          </w:rPr>
          <w:t>11.4 Balanço consumos versus demandas de abastecimento de água pelo município</w:t>
        </w:r>
        <w:r w:rsidR="00466071">
          <w:rPr>
            <w:noProof/>
            <w:webHidden/>
          </w:rPr>
          <w:tab/>
        </w:r>
        <w:r w:rsidR="00466071">
          <w:rPr>
            <w:noProof/>
            <w:webHidden/>
          </w:rPr>
          <w:fldChar w:fldCharType="begin"/>
        </w:r>
        <w:r w:rsidR="00466071">
          <w:rPr>
            <w:noProof/>
            <w:webHidden/>
          </w:rPr>
          <w:instrText xml:space="preserve"> PAGEREF _Toc372789528 \h </w:instrText>
        </w:r>
        <w:r w:rsidR="00466071">
          <w:rPr>
            <w:noProof/>
            <w:webHidden/>
          </w:rPr>
        </w:r>
        <w:r w:rsidR="00466071">
          <w:rPr>
            <w:noProof/>
            <w:webHidden/>
          </w:rPr>
          <w:fldChar w:fldCharType="separate"/>
        </w:r>
        <w:r>
          <w:rPr>
            <w:noProof/>
            <w:webHidden/>
          </w:rPr>
          <w:t>155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29" w:history="1">
        <w:r w:rsidR="00466071" w:rsidRPr="00282EF5">
          <w:rPr>
            <w:rStyle w:val="Hyperlink"/>
            <w:noProof/>
          </w:rPr>
          <w:t>11.5 Avaliação da situação atual do Sistema de Abastecimento de Água do Município</w:t>
        </w:r>
        <w:r w:rsidR="00466071">
          <w:rPr>
            <w:noProof/>
            <w:webHidden/>
          </w:rPr>
          <w:tab/>
        </w:r>
        <w:r w:rsidR="00466071">
          <w:rPr>
            <w:noProof/>
            <w:webHidden/>
          </w:rPr>
          <w:fldChar w:fldCharType="begin"/>
        </w:r>
        <w:r w:rsidR="00466071">
          <w:rPr>
            <w:noProof/>
            <w:webHidden/>
          </w:rPr>
          <w:instrText xml:space="preserve"> PAGEREF _Toc372789529 \h </w:instrText>
        </w:r>
        <w:r w:rsidR="00466071">
          <w:rPr>
            <w:noProof/>
            <w:webHidden/>
          </w:rPr>
        </w:r>
        <w:r w:rsidR="00466071">
          <w:rPr>
            <w:noProof/>
            <w:webHidden/>
          </w:rPr>
          <w:fldChar w:fldCharType="separate"/>
        </w:r>
        <w:r>
          <w:rPr>
            <w:noProof/>
            <w:webHidden/>
          </w:rPr>
          <w:t>157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30" w:history="1">
        <w:r w:rsidR="00466071" w:rsidRPr="00282EF5">
          <w:rPr>
            <w:rStyle w:val="Hyperlink"/>
            <w:noProof/>
          </w:rPr>
          <w:t>11.6 Tratamento e Distribuição</w:t>
        </w:r>
        <w:r w:rsidR="00466071">
          <w:rPr>
            <w:noProof/>
            <w:webHidden/>
          </w:rPr>
          <w:tab/>
        </w:r>
        <w:r w:rsidR="00466071">
          <w:rPr>
            <w:noProof/>
            <w:webHidden/>
          </w:rPr>
          <w:fldChar w:fldCharType="begin"/>
        </w:r>
        <w:r w:rsidR="00466071">
          <w:rPr>
            <w:noProof/>
            <w:webHidden/>
          </w:rPr>
          <w:instrText xml:space="preserve"> PAGEREF _Toc372789530 \h </w:instrText>
        </w:r>
        <w:r w:rsidR="00466071">
          <w:rPr>
            <w:noProof/>
            <w:webHidden/>
          </w:rPr>
        </w:r>
        <w:r w:rsidR="00466071">
          <w:rPr>
            <w:noProof/>
            <w:webHidden/>
          </w:rPr>
          <w:fldChar w:fldCharType="separate"/>
        </w:r>
        <w:r>
          <w:rPr>
            <w:noProof/>
            <w:webHidden/>
          </w:rPr>
          <w:t>159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31" w:history="1">
        <w:r w:rsidR="00466071" w:rsidRPr="00282EF5">
          <w:rPr>
            <w:rStyle w:val="Hyperlink"/>
            <w:noProof/>
          </w:rPr>
          <w:t>11.7 Principais Sistemas de Abastecimento de Água do Município</w:t>
        </w:r>
        <w:r w:rsidR="00466071">
          <w:rPr>
            <w:noProof/>
            <w:webHidden/>
          </w:rPr>
          <w:tab/>
        </w:r>
        <w:r w:rsidR="00466071">
          <w:rPr>
            <w:noProof/>
            <w:webHidden/>
          </w:rPr>
          <w:fldChar w:fldCharType="begin"/>
        </w:r>
        <w:r w:rsidR="00466071">
          <w:rPr>
            <w:noProof/>
            <w:webHidden/>
          </w:rPr>
          <w:instrText xml:space="preserve"> PAGEREF _Toc372789531 \h </w:instrText>
        </w:r>
        <w:r w:rsidR="00466071">
          <w:rPr>
            <w:noProof/>
            <w:webHidden/>
          </w:rPr>
        </w:r>
        <w:r w:rsidR="00466071">
          <w:rPr>
            <w:noProof/>
            <w:webHidden/>
          </w:rPr>
          <w:fldChar w:fldCharType="separate"/>
        </w:r>
        <w:r>
          <w:rPr>
            <w:noProof/>
            <w:webHidden/>
          </w:rPr>
          <w:t>161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32" w:history="1">
        <w:r w:rsidR="00466071" w:rsidRPr="00282EF5">
          <w:rPr>
            <w:rStyle w:val="Hyperlink"/>
            <w:noProof/>
          </w:rPr>
          <w:t>11.7.1 Sistema Aimorés</w:t>
        </w:r>
        <w:r w:rsidR="00466071">
          <w:rPr>
            <w:noProof/>
            <w:webHidden/>
          </w:rPr>
          <w:tab/>
        </w:r>
        <w:r w:rsidR="00466071">
          <w:rPr>
            <w:noProof/>
            <w:webHidden/>
          </w:rPr>
          <w:fldChar w:fldCharType="begin"/>
        </w:r>
        <w:r w:rsidR="00466071">
          <w:rPr>
            <w:noProof/>
            <w:webHidden/>
          </w:rPr>
          <w:instrText xml:space="preserve"> PAGEREF _Toc372789532 \h </w:instrText>
        </w:r>
        <w:r w:rsidR="00466071">
          <w:rPr>
            <w:noProof/>
            <w:webHidden/>
          </w:rPr>
        </w:r>
        <w:r w:rsidR="00466071">
          <w:rPr>
            <w:noProof/>
            <w:webHidden/>
          </w:rPr>
          <w:fldChar w:fldCharType="separate"/>
        </w:r>
        <w:r>
          <w:rPr>
            <w:noProof/>
            <w:webHidden/>
          </w:rPr>
          <w:t>161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33" w:history="1">
        <w:r w:rsidR="00466071" w:rsidRPr="00282EF5">
          <w:rPr>
            <w:rStyle w:val="Hyperlink"/>
            <w:noProof/>
          </w:rPr>
          <w:t>11.7.2 Sistemas de Abastecimento de Água dos Distritos e Povoados</w:t>
        </w:r>
        <w:r w:rsidR="00466071">
          <w:rPr>
            <w:noProof/>
            <w:webHidden/>
          </w:rPr>
          <w:tab/>
        </w:r>
        <w:r w:rsidR="00466071">
          <w:rPr>
            <w:noProof/>
            <w:webHidden/>
          </w:rPr>
          <w:fldChar w:fldCharType="begin"/>
        </w:r>
        <w:r w:rsidR="00466071">
          <w:rPr>
            <w:noProof/>
            <w:webHidden/>
          </w:rPr>
          <w:instrText xml:space="preserve"> PAGEREF _Toc372789533 \h </w:instrText>
        </w:r>
        <w:r w:rsidR="00466071">
          <w:rPr>
            <w:noProof/>
            <w:webHidden/>
          </w:rPr>
        </w:r>
        <w:r w:rsidR="00466071">
          <w:rPr>
            <w:noProof/>
            <w:webHidden/>
          </w:rPr>
          <w:fldChar w:fldCharType="separate"/>
        </w:r>
        <w:r>
          <w:rPr>
            <w:noProof/>
            <w:webHidden/>
          </w:rPr>
          <w:t>170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34" w:history="1">
        <w:r w:rsidR="00466071" w:rsidRPr="00282EF5">
          <w:rPr>
            <w:rStyle w:val="Hyperlink"/>
            <w:noProof/>
          </w:rPr>
          <w:t>11.7.3 Sistema Mundo Novo de Minas</w:t>
        </w:r>
        <w:r w:rsidR="00466071">
          <w:rPr>
            <w:noProof/>
            <w:webHidden/>
          </w:rPr>
          <w:tab/>
        </w:r>
        <w:r w:rsidR="00466071">
          <w:rPr>
            <w:noProof/>
            <w:webHidden/>
          </w:rPr>
          <w:fldChar w:fldCharType="begin"/>
        </w:r>
        <w:r w:rsidR="00466071">
          <w:rPr>
            <w:noProof/>
            <w:webHidden/>
          </w:rPr>
          <w:instrText xml:space="preserve"> PAGEREF _Toc372789534 \h </w:instrText>
        </w:r>
        <w:r w:rsidR="00466071">
          <w:rPr>
            <w:noProof/>
            <w:webHidden/>
          </w:rPr>
        </w:r>
        <w:r w:rsidR="00466071">
          <w:rPr>
            <w:noProof/>
            <w:webHidden/>
          </w:rPr>
          <w:fldChar w:fldCharType="separate"/>
        </w:r>
        <w:r>
          <w:rPr>
            <w:noProof/>
            <w:webHidden/>
          </w:rPr>
          <w:t>170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35" w:history="1">
        <w:r w:rsidR="00466071" w:rsidRPr="00282EF5">
          <w:rPr>
            <w:rStyle w:val="Hyperlink"/>
            <w:noProof/>
          </w:rPr>
          <w:t>11.7.4 Sistema Conceição do Capim</w:t>
        </w:r>
        <w:r w:rsidR="00466071">
          <w:rPr>
            <w:noProof/>
            <w:webHidden/>
          </w:rPr>
          <w:tab/>
        </w:r>
        <w:r w:rsidR="00466071">
          <w:rPr>
            <w:noProof/>
            <w:webHidden/>
          </w:rPr>
          <w:fldChar w:fldCharType="begin"/>
        </w:r>
        <w:r w:rsidR="00466071">
          <w:rPr>
            <w:noProof/>
            <w:webHidden/>
          </w:rPr>
          <w:instrText xml:space="preserve"> PAGEREF _Toc372789535 \h </w:instrText>
        </w:r>
        <w:r w:rsidR="00466071">
          <w:rPr>
            <w:noProof/>
            <w:webHidden/>
          </w:rPr>
        </w:r>
        <w:r w:rsidR="00466071">
          <w:rPr>
            <w:noProof/>
            <w:webHidden/>
          </w:rPr>
          <w:fldChar w:fldCharType="separate"/>
        </w:r>
        <w:r>
          <w:rPr>
            <w:noProof/>
            <w:webHidden/>
          </w:rPr>
          <w:t>172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36" w:history="1">
        <w:r w:rsidR="00466071" w:rsidRPr="00282EF5">
          <w:rPr>
            <w:rStyle w:val="Hyperlink"/>
            <w:noProof/>
          </w:rPr>
          <w:t>11.7.5 Sistema Penha do Capim</w:t>
        </w:r>
        <w:r w:rsidR="00466071">
          <w:rPr>
            <w:noProof/>
            <w:webHidden/>
          </w:rPr>
          <w:tab/>
        </w:r>
        <w:r w:rsidR="00466071">
          <w:rPr>
            <w:noProof/>
            <w:webHidden/>
          </w:rPr>
          <w:fldChar w:fldCharType="begin"/>
        </w:r>
        <w:r w:rsidR="00466071">
          <w:rPr>
            <w:noProof/>
            <w:webHidden/>
          </w:rPr>
          <w:instrText xml:space="preserve"> PAGEREF _Toc372789536 \h </w:instrText>
        </w:r>
        <w:r w:rsidR="00466071">
          <w:rPr>
            <w:noProof/>
            <w:webHidden/>
          </w:rPr>
        </w:r>
        <w:r w:rsidR="00466071">
          <w:rPr>
            <w:noProof/>
            <w:webHidden/>
          </w:rPr>
          <w:fldChar w:fldCharType="separate"/>
        </w:r>
        <w:r>
          <w:rPr>
            <w:noProof/>
            <w:webHidden/>
          </w:rPr>
          <w:t>177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37" w:history="1">
        <w:r w:rsidR="00466071" w:rsidRPr="00282EF5">
          <w:rPr>
            <w:rStyle w:val="Hyperlink"/>
            <w:noProof/>
          </w:rPr>
          <w:t>11.7.6  Sistema São Sebastião da Vala</w:t>
        </w:r>
        <w:r w:rsidR="00466071">
          <w:rPr>
            <w:noProof/>
            <w:webHidden/>
          </w:rPr>
          <w:tab/>
        </w:r>
        <w:r w:rsidR="00466071">
          <w:rPr>
            <w:noProof/>
            <w:webHidden/>
          </w:rPr>
          <w:fldChar w:fldCharType="begin"/>
        </w:r>
        <w:r w:rsidR="00466071">
          <w:rPr>
            <w:noProof/>
            <w:webHidden/>
          </w:rPr>
          <w:instrText xml:space="preserve"> PAGEREF _Toc372789537 \h </w:instrText>
        </w:r>
        <w:r w:rsidR="00466071">
          <w:rPr>
            <w:noProof/>
            <w:webHidden/>
          </w:rPr>
        </w:r>
        <w:r w:rsidR="00466071">
          <w:rPr>
            <w:noProof/>
            <w:webHidden/>
          </w:rPr>
          <w:fldChar w:fldCharType="separate"/>
        </w:r>
        <w:r>
          <w:rPr>
            <w:noProof/>
            <w:webHidden/>
          </w:rPr>
          <w:t>185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38" w:history="1">
        <w:r w:rsidR="00466071" w:rsidRPr="00282EF5">
          <w:rPr>
            <w:rStyle w:val="Hyperlink"/>
            <w:noProof/>
          </w:rPr>
          <w:t>11.7.7 Sistema Tabaúna</w:t>
        </w:r>
        <w:r w:rsidR="00466071">
          <w:rPr>
            <w:noProof/>
            <w:webHidden/>
          </w:rPr>
          <w:tab/>
        </w:r>
        <w:r w:rsidR="00466071">
          <w:rPr>
            <w:noProof/>
            <w:webHidden/>
          </w:rPr>
          <w:fldChar w:fldCharType="begin"/>
        </w:r>
        <w:r w:rsidR="00466071">
          <w:rPr>
            <w:noProof/>
            <w:webHidden/>
          </w:rPr>
          <w:instrText xml:space="preserve"> PAGEREF _Toc372789538 \h </w:instrText>
        </w:r>
        <w:r w:rsidR="00466071">
          <w:rPr>
            <w:noProof/>
            <w:webHidden/>
          </w:rPr>
        </w:r>
        <w:r w:rsidR="00466071">
          <w:rPr>
            <w:noProof/>
            <w:webHidden/>
          </w:rPr>
          <w:fldChar w:fldCharType="separate"/>
        </w:r>
        <w:r>
          <w:rPr>
            <w:noProof/>
            <w:webHidden/>
          </w:rPr>
          <w:t>190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39" w:history="1">
        <w:r w:rsidR="00466071" w:rsidRPr="00282EF5">
          <w:rPr>
            <w:rStyle w:val="Hyperlink"/>
            <w:noProof/>
          </w:rPr>
          <w:t>11.7.8 Sistema Santo Antônio do Rio Doce</w:t>
        </w:r>
        <w:r w:rsidR="00466071">
          <w:rPr>
            <w:noProof/>
            <w:webHidden/>
          </w:rPr>
          <w:tab/>
        </w:r>
        <w:r w:rsidR="00466071">
          <w:rPr>
            <w:noProof/>
            <w:webHidden/>
          </w:rPr>
          <w:fldChar w:fldCharType="begin"/>
        </w:r>
        <w:r w:rsidR="00466071">
          <w:rPr>
            <w:noProof/>
            <w:webHidden/>
          </w:rPr>
          <w:instrText xml:space="preserve"> PAGEREF _Toc372789539 \h </w:instrText>
        </w:r>
        <w:r w:rsidR="00466071">
          <w:rPr>
            <w:noProof/>
            <w:webHidden/>
          </w:rPr>
        </w:r>
        <w:r w:rsidR="00466071">
          <w:rPr>
            <w:noProof/>
            <w:webHidden/>
          </w:rPr>
          <w:fldChar w:fldCharType="separate"/>
        </w:r>
        <w:r>
          <w:rPr>
            <w:noProof/>
            <w:webHidden/>
          </w:rPr>
          <w:t>195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40" w:history="1">
        <w:r w:rsidR="00466071" w:rsidRPr="00282EF5">
          <w:rPr>
            <w:rStyle w:val="Hyperlink"/>
            <w:noProof/>
          </w:rPr>
          <w:t>11.7.9 Sistema Expedicionário Alicio</w:t>
        </w:r>
        <w:r w:rsidR="00466071">
          <w:rPr>
            <w:noProof/>
            <w:webHidden/>
          </w:rPr>
          <w:tab/>
        </w:r>
        <w:r w:rsidR="00466071">
          <w:rPr>
            <w:noProof/>
            <w:webHidden/>
          </w:rPr>
          <w:fldChar w:fldCharType="begin"/>
        </w:r>
        <w:r w:rsidR="00466071">
          <w:rPr>
            <w:noProof/>
            <w:webHidden/>
          </w:rPr>
          <w:instrText xml:space="preserve"> PAGEREF _Toc372789540 \h </w:instrText>
        </w:r>
        <w:r w:rsidR="00466071">
          <w:rPr>
            <w:noProof/>
            <w:webHidden/>
          </w:rPr>
        </w:r>
        <w:r w:rsidR="00466071">
          <w:rPr>
            <w:noProof/>
            <w:webHidden/>
          </w:rPr>
          <w:fldChar w:fldCharType="separate"/>
        </w:r>
        <w:r>
          <w:rPr>
            <w:noProof/>
            <w:webHidden/>
          </w:rPr>
          <w:t>201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41" w:history="1">
        <w:r w:rsidR="00466071" w:rsidRPr="00282EF5">
          <w:rPr>
            <w:rStyle w:val="Hyperlink"/>
            <w:noProof/>
          </w:rPr>
          <w:t>11.7.10 Sistema Alto Capim</w:t>
        </w:r>
        <w:r w:rsidR="00466071">
          <w:rPr>
            <w:noProof/>
            <w:webHidden/>
          </w:rPr>
          <w:tab/>
        </w:r>
        <w:r w:rsidR="00466071">
          <w:rPr>
            <w:noProof/>
            <w:webHidden/>
          </w:rPr>
          <w:fldChar w:fldCharType="begin"/>
        </w:r>
        <w:r w:rsidR="00466071">
          <w:rPr>
            <w:noProof/>
            <w:webHidden/>
          </w:rPr>
          <w:instrText xml:space="preserve"> PAGEREF _Toc372789541 \h </w:instrText>
        </w:r>
        <w:r w:rsidR="00466071">
          <w:rPr>
            <w:noProof/>
            <w:webHidden/>
          </w:rPr>
        </w:r>
        <w:r w:rsidR="00466071">
          <w:rPr>
            <w:noProof/>
            <w:webHidden/>
          </w:rPr>
          <w:fldChar w:fldCharType="separate"/>
        </w:r>
        <w:r>
          <w:rPr>
            <w:noProof/>
            <w:webHidden/>
          </w:rPr>
          <w:t>207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42" w:history="1">
        <w:r w:rsidR="00466071" w:rsidRPr="00282EF5">
          <w:rPr>
            <w:rStyle w:val="Hyperlink"/>
            <w:noProof/>
          </w:rPr>
          <w:t>11.7.11 Sistema São João do Capim</w:t>
        </w:r>
        <w:r w:rsidR="00466071">
          <w:rPr>
            <w:noProof/>
            <w:webHidden/>
          </w:rPr>
          <w:tab/>
        </w:r>
        <w:r w:rsidR="00466071">
          <w:rPr>
            <w:noProof/>
            <w:webHidden/>
          </w:rPr>
          <w:fldChar w:fldCharType="begin"/>
        </w:r>
        <w:r w:rsidR="00466071">
          <w:rPr>
            <w:noProof/>
            <w:webHidden/>
          </w:rPr>
          <w:instrText xml:space="preserve"> PAGEREF _Toc372789542 \h </w:instrText>
        </w:r>
        <w:r w:rsidR="00466071">
          <w:rPr>
            <w:noProof/>
            <w:webHidden/>
          </w:rPr>
        </w:r>
        <w:r w:rsidR="00466071">
          <w:rPr>
            <w:noProof/>
            <w:webHidden/>
          </w:rPr>
          <w:fldChar w:fldCharType="separate"/>
        </w:r>
        <w:r>
          <w:rPr>
            <w:noProof/>
            <w:webHidden/>
          </w:rPr>
          <w:t>208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43" w:history="1">
        <w:r w:rsidR="00466071" w:rsidRPr="00282EF5">
          <w:rPr>
            <w:rStyle w:val="Hyperlink"/>
            <w:noProof/>
          </w:rPr>
          <w:t>11.7.12 Sistema São José do Limoeiro</w:t>
        </w:r>
        <w:r w:rsidR="00466071">
          <w:rPr>
            <w:noProof/>
            <w:webHidden/>
          </w:rPr>
          <w:tab/>
        </w:r>
        <w:r w:rsidR="00466071">
          <w:rPr>
            <w:noProof/>
            <w:webHidden/>
          </w:rPr>
          <w:fldChar w:fldCharType="begin"/>
        </w:r>
        <w:r w:rsidR="00466071">
          <w:rPr>
            <w:noProof/>
            <w:webHidden/>
          </w:rPr>
          <w:instrText xml:space="preserve"> PAGEREF _Toc372789543 \h </w:instrText>
        </w:r>
        <w:r w:rsidR="00466071">
          <w:rPr>
            <w:noProof/>
            <w:webHidden/>
          </w:rPr>
        </w:r>
        <w:r w:rsidR="00466071">
          <w:rPr>
            <w:noProof/>
            <w:webHidden/>
          </w:rPr>
          <w:fldChar w:fldCharType="separate"/>
        </w:r>
        <w:r>
          <w:rPr>
            <w:noProof/>
            <w:webHidden/>
          </w:rPr>
          <w:t>211</w:t>
        </w:r>
        <w:r w:rsidR="00466071">
          <w:rPr>
            <w:noProof/>
            <w:webHidden/>
          </w:rPr>
          <w:fldChar w:fldCharType="end"/>
        </w:r>
      </w:hyperlink>
    </w:p>
    <w:p w:rsidR="00466071" w:rsidRDefault="004F77E2">
      <w:pPr>
        <w:pStyle w:val="Sumrio1"/>
        <w:rPr>
          <w:noProof/>
        </w:rPr>
      </w:pPr>
      <w:hyperlink w:anchor="_Toc372789544" w:history="1">
        <w:r w:rsidR="00466071" w:rsidRPr="00282EF5">
          <w:rPr>
            <w:rStyle w:val="Hyperlink"/>
            <w:noProof/>
          </w:rPr>
          <w:t>11.7.13 Sistema Santa Terezinha</w:t>
        </w:r>
        <w:r w:rsidR="00466071">
          <w:rPr>
            <w:noProof/>
            <w:webHidden/>
          </w:rPr>
          <w:tab/>
        </w:r>
        <w:r w:rsidR="00466071">
          <w:rPr>
            <w:noProof/>
            <w:webHidden/>
          </w:rPr>
          <w:fldChar w:fldCharType="begin"/>
        </w:r>
        <w:r w:rsidR="00466071">
          <w:rPr>
            <w:noProof/>
            <w:webHidden/>
          </w:rPr>
          <w:instrText xml:space="preserve"> PAGEREF _Toc372789544 \h </w:instrText>
        </w:r>
        <w:r w:rsidR="00466071">
          <w:rPr>
            <w:noProof/>
            <w:webHidden/>
          </w:rPr>
        </w:r>
        <w:r w:rsidR="00466071">
          <w:rPr>
            <w:noProof/>
            <w:webHidden/>
          </w:rPr>
          <w:fldChar w:fldCharType="separate"/>
        </w:r>
        <w:r>
          <w:rPr>
            <w:noProof/>
            <w:webHidden/>
          </w:rPr>
          <w:t>213</w:t>
        </w:r>
        <w:r w:rsidR="00466071">
          <w:rPr>
            <w:noProof/>
            <w:webHidden/>
          </w:rPr>
          <w:fldChar w:fldCharType="end"/>
        </w:r>
      </w:hyperlink>
    </w:p>
    <w:p w:rsidR="00E64A13" w:rsidRDefault="004F77E2" w:rsidP="00E64A13">
      <w:pPr>
        <w:pStyle w:val="Sumrio1"/>
        <w:rPr>
          <w:rFonts w:asciiTheme="minorHAnsi" w:eastAsiaTheme="minorEastAsia" w:hAnsiTheme="minorHAnsi"/>
          <w:noProof/>
          <w:sz w:val="22"/>
          <w:lang w:eastAsia="pt-BR"/>
        </w:rPr>
      </w:pPr>
      <w:hyperlink w:anchor="_Toc372789545" w:history="1">
        <w:r w:rsidR="00E64A13" w:rsidRPr="00282EF5">
          <w:rPr>
            <w:rStyle w:val="Hyperlink"/>
            <w:noProof/>
          </w:rPr>
          <w:t xml:space="preserve">11.8 </w:t>
        </w:r>
        <w:r w:rsidR="00302A16">
          <w:rPr>
            <w:rStyle w:val="Hyperlink"/>
            <w:noProof/>
          </w:rPr>
          <w:t>Comunicação Social</w:t>
        </w:r>
        <w:r w:rsidR="00E64A13">
          <w:rPr>
            <w:noProof/>
            <w:webHidden/>
          </w:rPr>
          <w:tab/>
        </w:r>
        <w:r w:rsidR="00E64A13">
          <w:rPr>
            <w:noProof/>
            <w:webHidden/>
          </w:rPr>
          <w:fldChar w:fldCharType="begin"/>
        </w:r>
        <w:r w:rsidR="00E64A13">
          <w:rPr>
            <w:noProof/>
            <w:webHidden/>
          </w:rPr>
          <w:instrText xml:space="preserve"> PAGEREF _Toc372789545 \h </w:instrText>
        </w:r>
        <w:r w:rsidR="00E64A13">
          <w:rPr>
            <w:noProof/>
            <w:webHidden/>
          </w:rPr>
        </w:r>
        <w:r w:rsidR="00E64A13">
          <w:rPr>
            <w:noProof/>
            <w:webHidden/>
          </w:rPr>
          <w:fldChar w:fldCharType="separate"/>
        </w:r>
        <w:r>
          <w:rPr>
            <w:noProof/>
            <w:webHidden/>
          </w:rPr>
          <w:t>215</w:t>
        </w:r>
        <w:r w:rsidR="00E64A13">
          <w:rPr>
            <w:noProof/>
            <w:webHidden/>
          </w:rPr>
          <w:fldChar w:fldCharType="end"/>
        </w:r>
      </w:hyperlink>
    </w:p>
    <w:p w:rsidR="00E64A13" w:rsidRDefault="004F77E2" w:rsidP="00E64A13">
      <w:pPr>
        <w:pStyle w:val="Sumrio1"/>
        <w:rPr>
          <w:rFonts w:asciiTheme="minorHAnsi" w:eastAsiaTheme="minorEastAsia" w:hAnsiTheme="minorHAnsi"/>
          <w:noProof/>
          <w:sz w:val="22"/>
          <w:lang w:eastAsia="pt-BR"/>
        </w:rPr>
      </w:pPr>
      <w:hyperlink w:anchor="_Toc372789546" w:history="1">
        <w:r w:rsidR="00E64A13" w:rsidRPr="00282EF5">
          <w:rPr>
            <w:rStyle w:val="Hyperlink"/>
            <w:noProof/>
          </w:rPr>
          <w:t xml:space="preserve">11.8.1 </w:t>
        </w:r>
        <w:r w:rsidR="00302A16">
          <w:rPr>
            <w:rStyle w:val="Hyperlink"/>
            <w:noProof/>
          </w:rPr>
          <w:t>Mobilização Comunitária</w:t>
        </w:r>
        <w:r w:rsidR="00E64A13">
          <w:rPr>
            <w:noProof/>
            <w:webHidden/>
          </w:rPr>
          <w:tab/>
        </w:r>
        <w:r w:rsidR="00E64A13">
          <w:rPr>
            <w:noProof/>
            <w:webHidden/>
          </w:rPr>
          <w:fldChar w:fldCharType="begin"/>
        </w:r>
        <w:r w:rsidR="00E64A13">
          <w:rPr>
            <w:noProof/>
            <w:webHidden/>
          </w:rPr>
          <w:instrText xml:space="preserve"> PAGEREF _Toc372789546 \h </w:instrText>
        </w:r>
        <w:r w:rsidR="00E64A13">
          <w:rPr>
            <w:noProof/>
            <w:webHidden/>
          </w:rPr>
        </w:r>
        <w:r w:rsidR="00E64A13">
          <w:rPr>
            <w:noProof/>
            <w:webHidden/>
          </w:rPr>
          <w:fldChar w:fldCharType="separate"/>
        </w:r>
        <w:r>
          <w:rPr>
            <w:noProof/>
            <w:webHidden/>
          </w:rPr>
          <w:t>222</w:t>
        </w:r>
        <w:r w:rsidR="00E64A13">
          <w:rPr>
            <w:noProof/>
            <w:webHidden/>
          </w:rPr>
          <w:fldChar w:fldCharType="end"/>
        </w:r>
      </w:hyperlink>
    </w:p>
    <w:p w:rsidR="00E64A13" w:rsidRDefault="004F77E2" w:rsidP="00E64A13">
      <w:pPr>
        <w:pStyle w:val="Sumrio1"/>
        <w:rPr>
          <w:rFonts w:asciiTheme="minorHAnsi" w:eastAsiaTheme="minorEastAsia" w:hAnsiTheme="minorHAnsi"/>
          <w:noProof/>
          <w:sz w:val="22"/>
          <w:lang w:eastAsia="pt-BR"/>
        </w:rPr>
      </w:pPr>
      <w:hyperlink w:anchor="_Toc372789547" w:history="1">
        <w:r w:rsidR="00E64A13" w:rsidRPr="00282EF5">
          <w:rPr>
            <w:rStyle w:val="Hyperlink"/>
            <w:noProof/>
          </w:rPr>
          <w:t xml:space="preserve">11.8.2 </w:t>
        </w:r>
        <w:r w:rsidR="00302A16" w:rsidRPr="00302A16">
          <w:rPr>
            <w:rStyle w:val="Hyperlink"/>
            <w:noProof/>
          </w:rPr>
          <w:t>Alguns problemas levantados pela comunidade durante a realização das audiências públicas do PMSB</w:t>
        </w:r>
        <w:r w:rsidR="00E64A13">
          <w:rPr>
            <w:noProof/>
            <w:webHidden/>
          </w:rPr>
          <w:tab/>
        </w:r>
        <w:r w:rsidR="00E64A13">
          <w:rPr>
            <w:noProof/>
            <w:webHidden/>
          </w:rPr>
          <w:fldChar w:fldCharType="begin"/>
        </w:r>
        <w:r w:rsidR="00E64A13">
          <w:rPr>
            <w:noProof/>
            <w:webHidden/>
          </w:rPr>
          <w:instrText xml:space="preserve"> PAGEREF _Toc372789547 \h </w:instrText>
        </w:r>
        <w:r w:rsidR="00E64A13">
          <w:rPr>
            <w:noProof/>
            <w:webHidden/>
          </w:rPr>
        </w:r>
        <w:r w:rsidR="00E64A13">
          <w:rPr>
            <w:noProof/>
            <w:webHidden/>
          </w:rPr>
          <w:fldChar w:fldCharType="separate"/>
        </w:r>
        <w:r>
          <w:rPr>
            <w:noProof/>
            <w:webHidden/>
          </w:rPr>
          <w:t>222</w:t>
        </w:r>
        <w:r w:rsidR="00E64A13">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45" w:history="1">
        <w:r w:rsidR="00466071" w:rsidRPr="00282EF5">
          <w:rPr>
            <w:rStyle w:val="Hyperlink"/>
            <w:noProof/>
          </w:rPr>
          <w:t>11.</w:t>
        </w:r>
        <w:r w:rsidR="00E64A13">
          <w:rPr>
            <w:rStyle w:val="Hyperlink"/>
            <w:noProof/>
          </w:rPr>
          <w:t>9</w:t>
        </w:r>
        <w:r w:rsidR="00466071" w:rsidRPr="00282EF5">
          <w:rPr>
            <w:rStyle w:val="Hyperlink"/>
            <w:noProof/>
          </w:rPr>
          <w:t xml:space="preserve"> Prestador do Serviço</w:t>
        </w:r>
        <w:r w:rsidR="00466071">
          <w:rPr>
            <w:noProof/>
            <w:webHidden/>
          </w:rPr>
          <w:tab/>
        </w:r>
        <w:r w:rsidR="00466071">
          <w:rPr>
            <w:noProof/>
            <w:webHidden/>
          </w:rPr>
          <w:fldChar w:fldCharType="begin"/>
        </w:r>
        <w:r w:rsidR="00466071">
          <w:rPr>
            <w:noProof/>
            <w:webHidden/>
          </w:rPr>
          <w:instrText xml:space="preserve"> PAGEREF _Toc372789545 \h </w:instrText>
        </w:r>
        <w:r w:rsidR="00466071">
          <w:rPr>
            <w:noProof/>
            <w:webHidden/>
          </w:rPr>
        </w:r>
        <w:r w:rsidR="00466071">
          <w:rPr>
            <w:noProof/>
            <w:webHidden/>
          </w:rPr>
          <w:fldChar w:fldCharType="separate"/>
        </w:r>
        <w:r>
          <w:rPr>
            <w:noProof/>
            <w:webHidden/>
          </w:rPr>
          <w:t>215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46" w:history="1">
        <w:r w:rsidR="00466071" w:rsidRPr="00282EF5">
          <w:rPr>
            <w:rStyle w:val="Hyperlink"/>
            <w:noProof/>
          </w:rPr>
          <w:t>11.</w:t>
        </w:r>
        <w:r w:rsidR="00E64A13">
          <w:rPr>
            <w:rStyle w:val="Hyperlink"/>
            <w:noProof/>
          </w:rPr>
          <w:t>9</w:t>
        </w:r>
        <w:r w:rsidR="00466071" w:rsidRPr="00282EF5">
          <w:rPr>
            <w:rStyle w:val="Hyperlink"/>
            <w:noProof/>
          </w:rPr>
          <w:t>.1 Reclamações e Solicitações</w:t>
        </w:r>
        <w:r w:rsidR="00466071">
          <w:rPr>
            <w:noProof/>
            <w:webHidden/>
          </w:rPr>
          <w:tab/>
        </w:r>
        <w:r w:rsidR="00466071">
          <w:rPr>
            <w:noProof/>
            <w:webHidden/>
          </w:rPr>
          <w:fldChar w:fldCharType="begin"/>
        </w:r>
        <w:r w:rsidR="00466071">
          <w:rPr>
            <w:noProof/>
            <w:webHidden/>
          </w:rPr>
          <w:instrText xml:space="preserve"> PAGEREF _Toc372789546 \h </w:instrText>
        </w:r>
        <w:r w:rsidR="00466071">
          <w:rPr>
            <w:noProof/>
            <w:webHidden/>
          </w:rPr>
        </w:r>
        <w:r w:rsidR="00466071">
          <w:rPr>
            <w:noProof/>
            <w:webHidden/>
          </w:rPr>
          <w:fldChar w:fldCharType="separate"/>
        </w:r>
        <w:r>
          <w:rPr>
            <w:noProof/>
            <w:webHidden/>
          </w:rPr>
          <w:t>222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47" w:history="1">
        <w:r w:rsidR="00466071" w:rsidRPr="00282EF5">
          <w:rPr>
            <w:rStyle w:val="Hyperlink"/>
            <w:noProof/>
          </w:rPr>
          <w:t>11.</w:t>
        </w:r>
        <w:r w:rsidR="00E64A13">
          <w:rPr>
            <w:rStyle w:val="Hyperlink"/>
            <w:noProof/>
          </w:rPr>
          <w:t>9</w:t>
        </w:r>
        <w:r w:rsidR="00466071" w:rsidRPr="00282EF5">
          <w:rPr>
            <w:rStyle w:val="Hyperlink"/>
            <w:noProof/>
          </w:rPr>
          <w:t>.2 Empregados</w:t>
        </w:r>
        <w:r w:rsidR="00466071">
          <w:rPr>
            <w:noProof/>
            <w:webHidden/>
          </w:rPr>
          <w:tab/>
        </w:r>
        <w:r w:rsidR="00466071">
          <w:rPr>
            <w:noProof/>
            <w:webHidden/>
          </w:rPr>
          <w:fldChar w:fldCharType="begin"/>
        </w:r>
        <w:r w:rsidR="00466071">
          <w:rPr>
            <w:noProof/>
            <w:webHidden/>
          </w:rPr>
          <w:instrText xml:space="preserve"> PAGEREF _Toc372789547 \h </w:instrText>
        </w:r>
        <w:r w:rsidR="00466071">
          <w:rPr>
            <w:noProof/>
            <w:webHidden/>
          </w:rPr>
        </w:r>
        <w:r w:rsidR="00466071">
          <w:rPr>
            <w:noProof/>
            <w:webHidden/>
          </w:rPr>
          <w:fldChar w:fldCharType="separate"/>
        </w:r>
        <w:r>
          <w:rPr>
            <w:noProof/>
            <w:webHidden/>
          </w:rPr>
          <w:t>222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48" w:history="1">
        <w:r w:rsidR="00466071" w:rsidRPr="00282EF5">
          <w:rPr>
            <w:rStyle w:val="Hyperlink"/>
            <w:noProof/>
          </w:rPr>
          <w:t>11.</w:t>
        </w:r>
        <w:r w:rsidR="00E64A13">
          <w:rPr>
            <w:rStyle w:val="Hyperlink"/>
            <w:noProof/>
          </w:rPr>
          <w:t>9</w:t>
        </w:r>
        <w:r w:rsidR="00466071" w:rsidRPr="00282EF5">
          <w:rPr>
            <w:rStyle w:val="Hyperlink"/>
            <w:noProof/>
          </w:rPr>
          <w:t>.3 Consumo, Ligações, Economias e Volume</w:t>
        </w:r>
        <w:r w:rsidR="00466071">
          <w:rPr>
            <w:noProof/>
            <w:webHidden/>
          </w:rPr>
          <w:tab/>
        </w:r>
        <w:r w:rsidR="00466071">
          <w:rPr>
            <w:noProof/>
            <w:webHidden/>
          </w:rPr>
          <w:fldChar w:fldCharType="begin"/>
        </w:r>
        <w:r w:rsidR="00466071">
          <w:rPr>
            <w:noProof/>
            <w:webHidden/>
          </w:rPr>
          <w:instrText xml:space="preserve"> PAGEREF _Toc372789548 \h </w:instrText>
        </w:r>
        <w:r w:rsidR="00466071">
          <w:rPr>
            <w:noProof/>
            <w:webHidden/>
          </w:rPr>
        </w:r>
        <w:r w:rsidR="00466071">
          <w:rPr>
            <w:noProof/>
            <w:webHidden/>
          </w:rPr>
          <w:fldChar w:fldCharType="separate"/>
        </w:r>
        <w:r>
          <w:rPr>
            <w:noProof/>
            <w:webHidden/>
          </w:rPr>
          <w:t>223</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49" w:history="1">
        <w:r w:rsidR="00466071" w:rsidRPr="00282EF5">
          <w:rPr>
            <w:rStyle w:val="Hyperlink"/>
            <w:noProof/>
          </w:rPr>
          <w:t>11.</w:t>
        </w:r>
        <w:r w:rsidR="00E64A13">
          <w:rPr>
            <w:rStyle w:val="Hyperlink"/>
            <w:noProof/>
          </w:rPr>
          <w:t>9</w:t>
        </w:r>
        <w:r w:rsidR="00466071" w:rsidRPr="00282EF5">
          <w:rPr>
            <w:rStyle w:val="Hyperlink"/>
            <w:noProof/>
          </w:rPr>
          <w:t>.4 Financeiro</w:t>
        </w:r>
        <w:r w:rsidR="00466071">
          <w:rPr>
            <w:noProof/>
            <w:webHidden/>
          </w:rPr>
          <w:tab/>
        </w:r>
        <w:r w:rsidR="00466071">
          <w:rPr>
            <w:noProof/>
            <w:webHidden/>
          </w:rPr>
          <w:fldChar w:fldCharType="begin"/>
        </w:r>
        <w:r w:rsidR="00466071">
          <w:rPr>
            <w:noProof/>
            <w:webHidden/>
          </w:rPr>
          <w:instrText xml:space="preserve"> PAGEREF _Toc372789549 \h </w:instrText>
        </w:r>
        <w:r w:rsidR="00466071">
          <w:rPr>
            <w:noProof/>
            <w:webHidden/>
          </w:rPr>
        </w:r>
        <w:r w:rsidR="00466071">
          <w:rPr>
            <w:noProof/>
            <w:webHidden/>
          </w:rPr>
          <w:fldChar w:fldCharType="separate"/>
        </w:r>
        <w:r>
          <w:rPr>
            <w:noProof/>
            <w:webHidden/>
          </w:rPr>
          <w:t>225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50" w:history="1">
        <w:r w:rsidR="00466071" w:rsidRPr="00282EF5">
          <w:rPr>
            <w:rStyle w:val="Hyperlink"/>
            <w:noProof/>
          </w:rPr>
          <w:t>11.</w:t>
        </w:r>
        <w:r w:rsidR="00E64A13">
          <w:rPr>
            <w:rStyle w:val="Hyperlink"/>
            <w:noProof/>
          </w:rPr>
          <w:t>9</w:t>
        </w:r>
        <w:r w:rsidR="00466071" w:rsidRPr="00282EF5">
          <w:rPr>
            <w:rStyle w:val="Hyperlink"/>
            <w:noProof/>
          </w:rPr>
          <w:t>.5 Tarifas</w:t>
        </w:r>
        <w:r w:rsidR="00466071">
          <w:rPr>
            <w:noProof/>
            <w:webHidden/>
          </w:rPr>
          <w:tab/>
        </w:r>
        <w:r w:rsidR="00466071">
          <w:rPr>
            <w:noProof/>
            <w:webHidden/>
          </w:rPr>
          <w:fldChar w:fldCharType="begin"/>
        </w:r>
        <w:r w:rsidR="00466071">
          <w:rPr>
            <w:noProof/>
            <w:webHidden/>
          </w:rPr>
          <w:instrText xml:space="preserve"> PAGEREF _Toc372789550 \h </w:instrText>
        </w:r>
        <w:r w:rsidR="00466071">
          <w:rPr>
            <w:noProof/>
            <w:webHidden/>
          </w:rPr>
        </w:r>
        <w:r w:rsidR="00466071">
          <w:rPr>
            <w:noProof/>
            <w:webHidden/>
          </w:rPr>
          <w:fldChar w:fldCharType="separate"/>
        </w:r>
        <w:r>
          <w:rPr>
            <w:noProof/>
            <w:webHidden/>
          </w:rPr>
          <w:t>228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51" w:history="1">
        <w:r w:rsidR="00466071" w:rsidRPr="00282EF5">
          <w:rPr>
            <w:rStyle w:val="Hyperlink"/>
            <w:noProof/>
          </w:rPr>
          <w:t>11.</w:t>
        </w:r>
        <w:r w:rsidR="00E64A13">
          <w:rPr>
            <w:rStyle w:val="Hyperlink"/>
            <w:noProof/>
          </w:rPr>
          <w:t>9</w:t>
        </w:r>
        <w:r w:rsidR="00466071" w:rsidRPr="00282EF5">
          <w:rPr>
            <w:rStyle w:val="Hyperlink"/>
            <w:noProof/>
          </w:rPr>
          <w:t>.6 Qualidade de Água</w:t>
        </w:r>
        <w:r w:rsidR="00466071">
          <w:rPr>
            <w:noProof/>
            <w:webHidden/>
          </w:rPr>
          <w:tab/>
        </w:r>
        <w:r w:rsidR="00466071">
          <w:rPr>
            <w:noProof/>
            <w:webHidden/>
          </w:rPr>
          <w:fldChar w:fldCharType="begin"/>
        </w:r>
        <w:r w:rsidR="00466071">
          <w:rPr>
            <w:noProof/>
            <w:webHidden/>
          </w:rPr>
          <w:instrText xml:space="preserve"> PAGEREF _Toc372789551 \h </w:instrText>
        </w:r>
        <w:r w:rsidR="00466071">
          <w:rPr>
            <w:noProof/>
            <w:webHidden/>
          </w:rPr>
        </w:r>
        <w:r w:rsidR="00466071">
          <w:rPr>
            <w:noProof/>
            <w:webHidden/>
          </w:rPr>
          <w:fldChar w:fldCharType="separate"/>
        </w:r>
        <w:r>
          <w:rPr>
            <w:noProof/>
            <w:webHidden/>
          </w:rPr>
          <w:t>230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52" w:history="1">
        <w:r w:rsidR="00466071" w:rsidRPr="00282EF5">
          <w:rPr>
            <w:rStyle w:val="Hyperlink"/>
            <w:noProof/>
          </w:rPr>
          <w:t>11.</w:t>
        </w:r>
        <w:r w:rsidR="00E64A13">
          <w:rPr>
            <w:rStyle w:val="Hyperlink"/>
            <w:noProof/>
          </w:rPr>
          <w:t>9</w:t>
        </w:r>
        <w:r w:rsidR="00466071" w:rsidRPr="00282EF5">
          <w:rPr>
            <w:rStyle w:val="Hyperlink"/>
            <w:noProof/>
          </w:rPr>
          <w:t>.7 Índices de Abastecimento</w:t>
        </w:r>
        <w:r w:rsidR="00466071">
          <w:rPr>
            <w:noProof/>
            <w:webHidden/>
          </w:rPr>
          <w:tab/>
        </w:r>
        <w:r w:rsidR="00466071">
          <w:rPr>
            <w:noProof/>
            <w:webHidden/>
          </w:rPr>
          <w:fldChar w:fldCharType="begin"/>
        </w:r>
        <w:r w:rsidR="00466071">
          <w:rPr>
            <w:noProof/>
            <w:webHidden/>
          </w:rPr>
          <w:instrText xml:space="preserve"> PAGEREF _Toc372789552 \h </w:instrText>
        </w:r>
        <w:r w:rsidR="00466071">
          <w:rPr>
            <w:noProof/>
            <w:webHidden/>
          </w:rPr>
        </w:r>
        <w:r w:rsidR="00466071">
          <w:rPr>
            <w:noProof/>
            <w:webHidden/>
          </w:rPr>
          <w:fldChar w:fldCharType="separate"/>
        </w:r>
        <w:r>
          <w:rPr>
            <w:noProof/>
            <w:webHidden/>
          </w:rPr>
          <w:t>243</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53" w:history="1">
        <w:r w:rsidR="00466071" w:rsidRPr="00282EF5">
          <w:rPr>
            <w:rStyle w:val="Hyperlink"/>
            <w:noProof/>
          </w:rPr>
          <w:t>11.</w:t>
        </w:r>
        <w:r w:rsidR="00E64A13">
          <w:rPr>
            <w:rStyle w:val="Hyperlink"/>
            <w:noProof/>
          </w:rPr>
          <w:t>9</w:t>
        </w:r>
        <w:r w:rsidR="00466071" w:rsidRPr="00282EF5">
          <w:rPr>
            <w:rStyle w:val="Hyperlink"/>
            <w:noProof/>
          </w:rPr>
          <w:t>.8 Indicadores do Sistema de Abastecimento de Água</w:t>
        </w:r>
        <w:r w:rsidR="00466071">
          <w:rPr>
            <w:noProof/>
            <w:webHidden/>
          </w:rPr>
          <w:tab/>
        </w:r>
        <w:r w:rsidR="00466071">
          <w:rPr>
            <w:noProof/>
            <w:webHidden/>
          </w:rPr>
          <w:fldChar w:fldCharType="begin"/>
        </w:r>
        <w:r w:rsidR="00466071">
          <w:rPr>
            <w:noProof/>
            <w:webHidden/>
          </w:rPr>
          <w:instrText xml:space="preserve"> PAGEREF _Toc372789553 \h </w:instrText>
        </w:r>
        <w:r w:rsidR="00466071">
          <w:rPr>
            <w:noProof/>
            <w:webHidden/>
          </w:rPr>
        </w:r>
        <w:r w:rsidR="00466071">
          <w:rPr>
            <w:noProof/>
            <w:webHidden/>
          </w:rPr>
          <w:fldChar w:fldCharType="separate"/>
        </w:r>
        <w:r>
          <w:rPr>
            <w:noProof/>
            <w:webHidden/>
          </w:rPr>
          <w:t>245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54" w:history="1">
        <w:r w:rsidR="00466071" w:rsidRPr="00282EF5">
          <w:rPr>
            <w:rStyle w:val="Hyperlink"/>
            <w:noProof/>
          </w:rPr>
          <w:t>11.</w:t>
        </w:r>
        <w:r w:rsidR="00E64A13">
          <w:rPr>
            <w:rStyle w:val="Hyperlink"/>
            <w:noProof/>
          </w:rPr>
          <w:t>10</w:t>
        </w:r>
        <w:r w:rsidR="00466071" w:rsidRPr="00282EF5">
          <w:rPr>
            <w:rStyle w:val="Hyperlink"/>
            <w:noProof/>
          </w:rPr>
          <w:t xml:space="preserve"> Considerações</w:t>
        </w:r>
        <w:r w:rsidR="00466071">
          <w:rPr>
            <w:noProof/>
            <w:webHidden/>
          </w:rPr>
          <w:tab/>
        </w:r>
        <w:r w:rsidR="00466071">
          <w:rPr>
            <w:noProof/>
            <w:webHidden/>
          </w:rPr>
          <w:fldChar w:fldCharType="begin"/>
        </w:r>
        <w:r w:rsidR="00466071">
          <w:rPr>
            <w:noProof/>
            <w:webHidden/>
          </w:rPr>
          <w:instrText xml:space="preserve"> PAGEREF _Toc372789554 \h </w:instrText>
        </w:r>
        <w:r w:rsidR="00466071">
          <w:rPr>
            <w:noProof/>
            <w:webHidden/>
          </w:rPr>
        </w:r>
        <w:r w:rsidR="00466071">
          <w:rPr>
            <w:noProof/>
            <w:webHidden/>
          </w:rPr>
          <w:fldChar w:fldCharType="separate"/>
        </w:r>
        <w:r>
          <w:rPr>
            <w:noProof/>
            <w:webHidden/>
          </w:rPr>
          <w:t>250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55" w:history="1">
        <w:r w:rsidR="00466071" w:rsidRPr="00282EF5">
          <w:rPr>
            <w:rStyle w:val="Hyperlink"/>
            <w:noProof/>
          </w:rPr>
          <w:t>12.1 Tipos de Esgoto</w:t>
        </w:r>
        <w:r w:rsidR="00466071">
          <w:rPr>
            <w:noProof/>
            <w:webHidden/>
          </w:rPr>
          <w:tab/>
        </w:r>
        <w:r w:rsidR="00466071">
          <w:rPr>
            <w:noProof/>
            <w:webHidden/>
          </w:rPr>
          <w:fldChar w:fldCharType="begin"/>
        </w:r>
        <w:r w:rsidR="00466071">
          <w:rPr>
            <w:noProof/>
            <w:webHidden/>
          </w:rPr>
          <w:instrText xml:space="preserve"> PAGEREF _Toc372789555 \h </w:instrText>
        </w:r>
        <w:r w:rsidR="00466071">
          <w:rPr>
            <w:noProof/>
            <w:webHidden/>
          </w:rPr>
        </w:r>
        <w:r w:rsidR="00466071">
          <w:rPr>
            <w:noProof/>
            <w:webHidden/>
          </w:rPr>
          <w:fldChar w:fldCharType="separate"/>
        </w:r>
        <w:r>
          <w:rPr>
            <w:noProof/>
            <w:webHidden/>
          </w:rPr>
          <w:t>252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56" w:history="1">
        <w:r w:rsidR="00466071" w:rsidRPr="00282EF5">
          <w:rPr>
            <w:rStyle w:val="Hyperlink"/>
            <w:noProof/>
          </w:rPr>
          <w:t>12.2 Sistema de Esgotamento Sanitário</w:t>
        </w:r>
        <w:r w:rsidR="00466071">
          <w:rPr>
            <w:noProof/>
            <w:webHidden/>
          </w:rPr>
          <w:tab/>
        </w:r>
        <w:r w:rsidR="00466071">
          <w:rPr>
            <w:noProof/>
            <w:webHidden/>
          </w:rPr>
          <w:fldChar w:fldCharType="begin"/>
        </w:r>
        <w:r w:rsidR="00466071">
          <w:rPr>
            <w:noProof/>
            <w:webHidden/>
          </w:rPr>
          <w:instrText xml:space="preserve"> PAGEREF _Toc372789556 \h </w:instrText>
        </w:r>
        <w:r w:rsidR="00466071">
          <w:rPr>
            <w:noProof/>
            <w:webHidden/>
          </w:rPr>
        </w:r>
        <w:r w:rsidR="00466071">
          <w:rPr>
            <w:noProof/>
            <w:webHidden/>
          </w:rPr>
          <w:fldChar w:fldCharType="separate"/>
        </w:r>
        <w:r>
          <w:rPr>
            <w:noProof/>
            <w:webHidden/>
          </w:rPr>
          <w:t>253</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57" w:history="1">
        <w:r w:rsidR="00466071" w:rsidRPr="00282EF5">
          <w:rPr>
            <w:rStyle w:val="Hyperlink"/>
            <w:noProof/>
          </w:rPr>
          <w:t>12.3 Índices de Atendimento</w:t>
        </w:r>
        <w:r w:rsidR="00466071">
          <w:rPr>
            <w:noProof/>
            <w:webHidden/>
          </w:rPr>
          <w:tab/>
        </w:r>
        <w:r w:rsidR="00466071">
          <w:rPr>
            <w:noProof/>
            <w:webHidden/>
          </w:rPr>
          <w:fldChar w:fldCharType="begin"/>
        </w:r>
        <w:r w:rsidR="00466071">
          <w:rPr>
            <w:noProof/>
            <w:webHidden/>
          </w:rPr>
          <w:instrText xml:space="preserve"> PAGEREF _Toc372789557 \h </w:instrText>
        </w:r>
        <w:r w:rsidR="00466071">
          <w:rPr>
            <w:noProof/>
            <w:webHidden/>
          </w:rPr>
        </w:r>
        <w:r w:rsidR="00466071">
          <w:rPr>
            <w:noProof/>
            <w:webHidden/>
          </w:rPr>
          <w:fldChar w:fldCharType="separate"/>
        </w:r>
        <w:r>
          <w:rPr>
            <w:noProof/>
            <w:webHidden/>
          </w:rPr>
          <w:t>253</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58" w:history="1">
        <w:r w:rsidR="00466071" w:rsidRPr="00282EF5">
          <w:rPr>
            <w:rStyle w:val="Hyperlink"/>
            <w:noProof/>
          </w:rPr>
          <w:t xml:space="preserve">12.4 Balanço consumos </w:t>
        </w:r>
        <w:r w:rsidR="00466071" w:rsidRPr="00282EF5">
          <w:rPr>
            <w:rStyle w:val="Hyperlink"/>
            <w:i/>
            <w:noProof/>
          </w:rPr>
          <w:t>versus</w:t>
        </w:r>
        <w:r w:rsidR="00466071" w:rsidRPr="00282EF5">
          <w:rPr>
            <w:rStyle w:val="Hyperlink"/>
            <w:noProof/>
          </w:rPr>
          <w:t xml:space="preserve"> demandas do sistema de esgoto pelo município</w:t>
        </w:r>
        <w:r w:rsidR="00466071">
          <w:rPr>
            <w:noProof/>
            <w:webHidden/>
          </w:rPr>
          <w:tab/>
        </w:r>
        <w:r w:rsidR="00466071">
          <w:rPr>
            <w:noProof/>
            <w:webHidden/>
          </w:rPr>
          <w:fldChar w:fldCharType="begin"/>
        </w:r>
        <w:r w:rsidR="00466071">
          <w:rPr>
            <w:noProof/>
            <w:webHidden/>
          </w:rPr>
          <w:instrText xml:space="preserve"> PAGEREF _Toc372789558 \h </w:instrText>
        </w:r>
        <w:r w:rsidR="00466071">
          <w:rPr>
            <w:noProof/>
            <w:webHidden/>
          </w:rPr>
        </w:r>
        <w:r w:rsidR="00466071">
          <w:rPr>
            <w:noProof/>
            <w:webHidden/>
          </w:rPr>
          <w:fldChar w:fldCharType="separate"/>
        </w:r>
        <w:r>
          <w:rPr>
            <w:noProof/>
            <w:webHidden/>
          </w:rPr>
          <w:t>254</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59" w:history="1">
        <w:r w:rsidR="00466071" w:rsidRPr="00282EF5">
          <w:rPr>
            <w:rStyle w:val="Hyperlink"/>
            <w:noProof/>
          </w:rPr>
          <w:t>12.5 Ligações</w:t>
        </w:r>
        <w:r w:rsidR="00466071">
          <w:rPr>
            <w:noProof/>
            <w:webHidden/>
          </w:rPr>
          <w:tab/>
        </w:r>
        <w:r w:rsidR="00466071">
          <w:rPr>
            <w:noProof/>
            <w:webHidden/>
          </w:rPr>
          <w:fldChar w:fldCharType="begin"/>
        </w:r>
        <w:r w:rsidR="00466071">
          <w:rPr>
            <w:noProof/>
            <w:webHidden/>
          </w:rPr>
          <w:instrText xml:space="preserve"> PAGEREF _Toc372789559 \h </w:instrText>
        </w:r>
        <w:r w:rsidR="00466071">
          <w:rPr>
            <w:noProof/>
            <w:webHidden/>
          </w:rPr>
        </w:r>
        <w:r w:rsidR="00466071">
          <w:rPr>
            <w:noProof/>
            <w:webHidden/>
          </w:rPr>
          <w:fldChar w:fldCharType="separate"/>
        </w:r>
        <w:r>
          <w:rPr>
            <w:noProof/>
            <w:webHidden/>
          </w:rPr>
          <w:t>255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60" w:history="1">
        <w:r w:rsidR="00466071" w:rsidRPr="00282EF5">
          <w:rPr>
            <w:rStyle w:val="Hyperlink"/>
            <w:noProof/>
          </w:rPr>
          <w:t>12.6 Sistema Coletor, Interceptor e Emissário</w:t>
        </w:r>
        <w:r w:rsidR="00466071">
          <w:rPr>
            <w:noProof/>
            <w:webHidden/>
          </w:rPr>
          <w:tab/>
        </w:r>
        <w:r w:rsidR="00466071">
          <w:rPr>
            <w:noProof/>
            <w:webHidden/>
          </w:rPr>
          <w:fldChar w:fldCharType="begin"/>
        </w:r>
        <w:r w:rsidR="00466071">
          <w:rPr>
            <w:noProof/>
            <w:webHidden/>
          </w:rPr>
          <w:instrText xml:space="preserve"> PAGEREF _Toc372789560 \h </w:instrText>
        </w:r>
        <w:r w:rsidR="00466071">
          <w:rPr>
            <w:noProof/>
            <w:webHidden/>
          </w:rPr>
        </w:r>
        <w:r w:rsidR="00466071">
          <w:rPr>
            <w:noProof/>
            <w:webHidden/>
          </w:rPr>
          <w:fldChar w:fldCharType="separate"/>
        </w:r>
        <w:r>
          <w:rPr>
            <w:noProof/>
            <w:webHidden/>
          </w:rPr>
          <w:t>257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61" w:history="1">
        <w:r w:rsidR="00466071" w:rsidRPr="00282EF5">
          <w:rPr>
            <w:rStyle w:val="Hyperlink"/>
            <w:noProof/>
          </w:rPr>
          <w:t>12.7 Corpo d’água receptor</w:t>
        </w:r>
        <w:r w:rsidR="00466071">
          <w:rPr>
            <w:noProof/>
            <w:webHidden/>
          </w:rPr>
          <w:tab/>
        </w:r>
        <w:r w:rsidR="00466071">
          <w:rPr>
            <w:noProof/>
            <w:webHidden/>
          </w:rPr>
          <w:fldChar w:fldCharType="begin"/>
        </w:r>
        <w:r w:rsidR="00466071">
          <w:rPr>
            <w:noProof/>
            <w:webHidden/>
          </w:rPr>
          <w:instrText xml:space="preserve"> PAGEREF _Toc372789561 \h </w:instrText>
        </w:r>
        <w:r w:rsidR="00466071">
          <w:rPr>
            <w:noProof/>
            <w:webHidden/>
          </w:rPr>
        </w:r>
        <w:r w:rsidR="00466071">
          <w:rPr>
            <w:noProof/>
            <w:webHidden/>
          </w:rPr>
          <w:fldChar w:fldCharType="separate"/>
        </w:r>
        <w:r>
          <w:rPr>
            <w:noProof/>
            <w:webHidden/>
          </w:rPr>
          <w:t>265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62" w:history="1">
        <w:r w:rsidR="00466071" w:rsidRPr="00282EF5">
          <w:rPr>
            <w:rStyle w:val="Hyperlink"/>
            <w:noProof/>
          </w:rPr>
          <w:t>12.8 Estações de Tratamento de Esgoto (ETE) em Aimorés</w:t>
        </w:r>
        <w:r w:rsidR="00466071">
          <w:rPr>
            <w:noProof/>
            <w:webHidden/>
          </w:rPr>
          <w:tab/>
        </w:r>
        <w:r w:rsidR="00466071">
          <w:rPr>
            <w:noProof/>
            <w:webHidden/>
          </w:rPr>
          <w:fldChar w:fldCharType="begin"/>
        </w:r>
        <w:r w:rsidR="00466071">
          <w:rPr>
            <w:noProof/>
            <w:webHidden/>
          </w:rPr>
          <w:instrText xml:space="preserve"> PAGEREF _Toc372789562 \h </w:instrText>
        </w:r>
        <w:r w:rsidR="00466071">
          <w:rPr>
            <w:noProof/>
            <w:webHidden/>
          </w:rPr>
        </w:r>
        <w:r w:rsidR="00466071">
          <w:rPr>
            <w:noProof/>
            <w:webHidden/>
          </w:rPr>
          <w:fldChar w:fldCharType="separate"/>
        </w:r>
        <w:r>
          <w:rPr>
            <w:noProof/>
            <w:webHidden/>
          </w:rPr>
          <w:t>265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63" w:history="1">
        <w:r w:rsidR="00466071" w:rsidRPr="00282EF5">
          <w:rPr>
            <w:rStyle w:val="Hyperlink"/>
            <w:noProof/>
          </w:rPr>
          <w:t>12.9 Descrição do Sistema de Tratamento de Esgoto de Aimorés</w:t>
        </w:r>
        <w:r w:rsidR="00466071">
          <w:rPr>
            <w:noProof/>
            <w:webHidden/>
          </w:rPr>
          <w:tab/>
        </w:r>
        <w:r w:rsidR="00466071">
          <w:rPr>
            <w:noProof/>
            <w:webHidden/>
          </w:rPr>
          <w:fldChar w:fldCharType="begin"/>
        </w:r>
        <w:r w:rsidR="00466071">
          <w:rPr>
            <w:noProof/>
            <w:webHidden/>
          </w:rPr>
          <w:instrText xml:space="preserve"> PAGEREF _Toc372789563 \h </w:instrText>
        </w:r>
        <w:r w:rsidR="00466071">
          <w:rPr>
            <w:noProof/>
            <w:webHidden/>
          </w:rPr>
        </w:r>
        <w:r w:rsidR="00466071">
          <w:rPr>
            <w:noProof/>
            <w:webHidden/>
          </w:rPr>
          <w:fldChar w:fldCharType="separate"/>
        </w:r>
        <w:r>
          <w:rPr>
            <w:noProof/>
            <w:webHidden/>
          </w:rPr>
          <w:t>267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64" w:history="1">
        <w:r w:rsidR="00466071" w:rsidRPr="00282EF5">
          <w:rPr>
            <w:rStyle w:val="Hyperlink"/>
            <w:noProof/>
          </w:rPr>
          <w:t>12.9.1 Rede Coletora</w:t>
        </w:r>
        <w:r w:rsidR="00466071">
          <w:rPr>
            <w:noProof/>
            <w:webHidden/>
          </w:rPr>
          <w:tab/>
        </w:r>
        <w:r w:rsidR="00466071">
          <w:rPr>
            <w:noProof/>
            <w:webHidden/>
          </w:rPr>
          <w:fldChar w:fldCharType="begin"/>
        </w:r>
        <w:r w:rsidR="00466071">
          <w:rPr>
            <w:noProof/>
            <w:webHidden/>
          </w:rPr>
          <w:instrText xml:space="preserve"> PAGEREF _Toc372789564 \h </w:instrText>
        </w:r>
        <w:r w:rsidR="00466071">
          <w:rPr>
            <w:noProof/>
            <w:webHidden/>
          </w:rPr>
        </w:r>
        <w:r w:rsidR="00466071">
          <w:rPr>
            <w:noProof/>
            <w:webHidden/>
          </w:rPr>
          <w:fldChar w:fldCharType="separate"/>
        </w:r>
        <w:r>
          <w:rPr>
            <w:noProof/>
            <w:webHidden/>
          </w:rPr>
          <w:t>267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65" w:history="1">
        <w:r w:rsidR="00466071" w:rsidRPr="00282EF5">
          <w:rPr>
            <w:rStyle w:val="Hyperlink"/>
            <w:noProof/>
          </w:rPr>
          <w:t>12.9.2 Elevatórias de Esgoto</w:t>
        </w:r>
        <w:r w:rsidR="00466071">
          <w:rPr>
            <w:noProof/>
            <w:webHidden/>
          </w:rPr>
          <w:tab/>
        </w:r>
        <w:r w:rsidR="00466071">
          <w:rPr>
            <w:noProof/>
            <w:webHidden/>
          </w:rPr>
          <w:fldChar w:fldCharType="begin"/>
        </w:r>
        <w:r w:rsidR="00466071">
          <w:rPr>
            <w:noProof/>
            <w:webHidden/>
          </w:rPr>
          <w:instrText xml:space="preserve"> PAGEREF _Toc372789565 \h </w:instrText>
        </w:r>
        <w:r w:rsidR="00466071">
          <w:rPr>
            <w:noProof/>
            <w:webHidden/>
          </w:rPr>
        </w:r>
        <w:r w:rsidR="00466071">
          <w:rPr>
            <w:noProof/>
            <w:webHidden/>
          </w:rPr>
          <w:fldChar w:fldCharType="separate"/>
        </w:r>
        <w:r>
          <w:rPr>
            <w:noProof/>
            <w:webHidden/>
          </w:rPr>
          <w:t>268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66" w:history="1">
        <w:r w:rsidR="00466071" w:rsidRPr="00282EF5">
          <w:rPr>
            <w:rStyle w:val="Hyperlink"/>
            <w:noProof/>
          </w:rPr>
          <w:t>12.9.3 Reator Anaeróbio de Fluxo Ascendente</w:t>
        </w:r>
        <w:r w:rsidR="00466071">
          <w:rPr>
            <w:noProof/>
            <w:webHidden/>
          </w:rPr>
          <w:tab/>
        </w:r>
        <w:r w:rsidR="00466071">
          <w:rPr>
            <w:noProof/>
            <w:webHidden/>
          </w:rPr>
          <w:fldChar w:fldCharType="begin"/>
        </w:r>
        <w:r w:rsidR="00466071">
          <w:rPr>
            <w:noProof/>
            <w:webHidden/>
          </w:rPr>
          <w:instrText xml:space="preserve"> PAGEREF _Toc372789566 \h </w:instrText>
        </w:r>
        <w:r w:rsidR="00466071">
          <w:rPr>
            <w:noProof/>
            <w:webHidden/>
          </w:rPr>
        </w:r>
        <w:r w:rsidR="00466071">
          <w:rPr>
            <w:noProof/>
            <w:webHidden/>
          </w:rPr>
          <w:fldChar w:fldCharType="separate"/>
        </w:r>
        <w:r>
          <w:rPr>
            <w:noProof/>
            <w:webHidden/>
          </w:rPr>
          <w:t>274</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67" w:history="1">
        <w:r w:rsidR="00466071" w:rsidRPr="00282EF5">
          <w:rPr>
            <w:rStyle w:val="Hyperlink"/>
            <w:noProof/>
          </w:rPr>
          <w:t>12.10 Sistemas de Abastecimento de Esgoto Sanitário dos Distritos e Povoados</w:t>
        </w:r>
        <w:r w:rsidR="00466071">
          <w:rPr>
            <w:noProof/>
            <w:webHidden/>
          </w:rPr>
          <w:tab/>
        </w:r>
        <w:r w:rsidR="00466071">
          <w:rPr>
            <w:noProof/>
            <w:webHidden/>
          </w:rPr>
          <w:fldChar w:fldCharType="begin"/>
        </w:r>
        <w:r w:rsidR="00466071">
          <w:rPr>
            <w:noProof/>
            <w:webHidden/>
          </w:rPr>
          <w:instrText xml:space="preserve"> PAGEREF _Toc372789567 \h </w:instrText>
        </w:r>
        <w:r w:rsidR="00466071">
          <w:rPr>
            <w:noProof/>
            <w:webHidden/>
          </w:rPr>
        </w:r>
        <w:r w:rsidR="00466071">
          <w:rPr>
            <w:noProof/>
            <w:webHidden/>
          </w:rPr>
          <w:fldChar w:fldCharType="separate"/>
        </w:r>
        <w:r>
          <w:rPr>
            <w:noProof/>
            <w:webHidden/>
          </w:rPr>
          <w:t>280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68" w:history="1">
        <w:r w:rsidR="00466071" w:rsidRPr="00282EF5">
          <w:rPr>
            <w:rStyle w:val="Hyperlink"/>
            <w:noProof/>
          </w:rPr>
          <w:t>12.10.1 Alto Capim</w:t>
        </w:r>
        <w:r w:rsidR="00466071">
          <w:rPr>
            <w:noProof/>
            <w:webHidden/>
          </w:rPr>
          <w:tab/>
        </w:r>
        <w:r w:rsidR="00466071">
          <w:rPr>
            <w:noProof/>
            <w:webHidden/>
          </w:rPr>
          <w:fldChar w:fldCharType="begin"/>
        </w:r>
        <w:r w:rsidR="00466071">
          <w:rPr>
            <w:noProof/>
            <w:webHidden/>
          </w:rPr>
          <w:instrText xml:space="preserve"> PAGEREF _Toc372789568 \h </w:instrText>
        </w:r>
        <w:r w:rsidR="00466071">
          <w:rPr>
            <w:noProof/>
            <w:webHidden/>
          </w:rPr>
        </w:r>
        <w:r w:rsidR="00466071">
          <w:rPr>
            <w:noProof/>
            <w:webHidden/>
          </w:rPr>
          <w:fldChar w:fldCharType="separate"/>
        </w:r>
        <w:r>
          <w:rPr>
            <w:noProof/>
            <w:webHidden/>
          </w:rPr>
          <w:t>280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69" w:history="1">
        <w:r w:rsidR="00466071" w:rsidRPr="00282EF5">
          <w:rPr>
            <w:rStyle w:val="Hyperlink"/>
            <w:noProof/>
          </w:rPr>
          <w:t>12.10.2 Conceição do Capim</w:t>
        </w:r>
        <w:r w:rsidR="00466071">
          <w:rPr>
            <w:noProof/>
            <w:webHidden/>
          </w:rPr>
          <w:tab/>
        </w:r>
        <w:r w:rsidR="00466071">
          <w:rPr>
            <w:noProof/>
            <w:webHidden/>
          </w:rPr>
          <w:fldChar w:fldCharType="begin"/>
        </w:r>
        <w:r w:rsidR="00466071">
          <w:rPr>
            <w:noProof/>
            <w:webHidden/>
          </w:rPr>
          <w:instrText xml:space="preserve"> PAGEREF _Toc372789569 \h </w:instrText>
        </w:r>
        <w:r w:rsidR="00466071">
          <w:rPr>
            <w:noProof/>
            <w:webHidden/>
          </w:rPr>
        </w:r>
        <w:r w:rsidR="00466071">
          <w:rPr>
            <w:noProof/>
            <w:webHidden/>
          </w:rPr>
          <w:fldChar w:fldCharType="separate"/>
        </w:r>
        <w:r>
          <w:rPr>
            <w:noProof/>
            <w:webHidden/>
          </w:rPr>
          <w:t>280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70" w:history="1">
        <w:r w:rsidR="00466071" w:rsidRPr="00282EF5">
          <w:rPr>
            <w:rStyle w:val="Hyperlink"/>
            <w:noProof/>
          </w:rPr>
          <w:t>12.10.3 Expedicionário Alicio</w:t>
        </w:r>
        <w:r w:rsidR="00466071">
          <w:rPr>
            <w:noProof/>
            <w:webHidden/>
          </w:rPr>
          <w:tab/>
        </w:r>
        <w:r w:rsidR="00466071">
          <w:rPr>
            <w:noProof/>
            <w:webHidden/>
          </w:rPr>
          <w:fldChar w:fldCharType="begin"/>
        </w:r>
        <w:r w:rsidR="00466071">
          <w:rPr>
            <w:noProof/>
            <w:webHidden/>
          </w:rPr>
          <w:instrText xml:space="preserve"> PAGEREF _Toc372789570 \h </w:instrText>
        </w:r>
        <w:r w:rsidR="00466071">
          <w:rPr>
            <w:noProof/>
            <w:webHidden/>
          </w:rPr>
        </w:r>
        <w:r w:rsidR="00466071">
          <w:rPr>
            <w:noProof/>
            <w:webHidden/>
          </w:rPr>
          <w:fldChar w:fldCharType="separate"/>
        </w:r>
        <w:r>
          <w:rPr>
            <w:noProof/>
            <w:webHidden/>
          </w:rPr>
          <w:t>283</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71" w:history="1">
        <w:r w:rsidR="00466071" w:rsidRPr="00282EF5">
          <w:rPr>
            <w:rStyle w:val="Hyperlink"/>
            <w:noProof/>
          </w:rPr>
          <w:t>12.10.4 Mundo Novo de Minas</w:t>
        </w:r>
        <w:r w:rsidR="00466071">
          <w:rPr>
            <w:noProof/>
            <w:webHidden/>
          </w:rPr>
          <w:tab/>
        </w:r>
        <w:r w:rsidR="00466071">
          <w:rPr>
            <w:noProof/>
            <w:webHidden/>
          </w:rPr>
          <w:fldChar w:fldCharType="begin"/>
        </w:r>
        <w:r w:rsidR="00466071">
          <w:rPr>
            <w:noProof/>
            <w:webHidden/>
          </w:rPr>
          <w:instrText xml:space="preserve"> PAGEREF _Toc372789571 \h </w:instrText>
        </w:r>
        <w:r w:rsidR="00466071">
          <w:rPr>
            <w:noProof/>
            <w:webHidden/>
          </w:rPr>
        </w:r>
        <w:r w:rsidR="00466071">
          <w:rPr>
            <w:noProof/>
            <w:webHidden/>
          </w:rPr>
          <w:fldChar w:fldCharType="separate"/>
        </w:r>
        <w:r>
          <w:rPr>
            <w:noProof/>
            <w:webHidden/>
          </w:rPr>
          <w:t>285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72" w:history="1">
        <w:r w:rsidR="00466071" w:rsidRPr="00282EF5">
          <w:rPr>
            <w:rStyle w:val="Hyperlink"/>
            <w:noProof/>
          </w:rPr>
          <w:t>12.10.5 Penha do Capim</w:t>
        </w:r>
        <w:r w:rsidR="00466071">
          <w:rPr>
            <w:noProof/>
            <w:webHidden/>
          </w:rPr>
          <w:tab/>
        </w:r>
        <w:r w:rsidR="00466071">
          <w:rPr>
            <w:noProof/>
            <w:webHidden/>
          </w:rPr>
          <w:fldChar w:fldCharType="begin"/>
        </w:r>
        <w:r w:rsidR="00466071">
          <w:rPr>
            <w:noProof/>
            <w:webHidden/>
          </w:rPr>
          <w:instrText xml:space="preserve"> PAGEREF _Toc372789572 \h </w:instrText>
        </w:r>
        <w:r w:rsidR="00466071">
          <w:rPr>
            <w:noProof/>
            <w:webHidden/>
          </w:rPr>
        </w:r>
        <w:r w:rsidR="00466071">
          <w:rPr>
            <w:noProof/>
            <w:webHidden/>
          </w:rPr>
          <w:fldChar w:fldCharType="separate"/>
        </w:r>
        <w:r>
          <w:rPr>
            <w:noProof/>
            <w:webHidden/>
          </w:rPr>
          <w:t>287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73" w:history="1">
        <w:r w:rsidR="00466071" w:rsidRPr="00282EF5">
          <w:rPr>
            <w:rStyle w:val="Hyperlink"/>
            <w:noProof/>
          </w:rPr>
          <w:t>12.10.6 Santo Antônio do Rio Doce</w:t>
        </w:r>
        <w:r w:rsidR="00466071">
          <w:rPr>
            <w:noProof/>
            <w:webHidden/>
          </w:rPr>
          <w:tab/>
        </w:r>
        <w:r w:rsidR="00466071">
          <w:rPr>
            <w:noProof/>
            <w:webHidden/>
          </w:rPr>
          <w:fldChar w:fldCharType="begin"/>
        </w:r>
        <w:r w:rsidR="00466071">
          <w:rPr>
            <w:noProof/>
            <w:webHidden/>
          </w:rPr>
          <w:instrText xml:space="preserve"> PAGEREF _Toc372789573 \h </w:instrText>
        </w:r>
        <w:r w:rsidR="00466071">
          <w:rPr>
            <w:noProof/>
            <w:webHidden/>
          </w:rPr>
        </w:r>
        <w:r w:rsidR="00466071">
          <w:rPr>
            <w:noProof/>
            <w:webHidden/>
          </w:rPr>
          <w:fldChar w:fldCharType="separate"/>
        </w:r>
        <w:r>
          <w:rPr>
            <w:noProof/>
            <w:webHidden/>
          </w:rPr>
          <w:t>289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74" w:history="1">
        <w:r w:rsidR="00466071" w:rsidRPr="00282EF5">
          <w:rPr>
            <w:rStyle w:val="Hyperlink"/>
            <w:noProof/>
          </w:rPr>
          <w:t>12.10.7 São Sebastião da Vala</w:t>
        </w:r>
        <w:r w:rsidR="00466071">
          <w:rPr>
            <w:noProof/>
            <w:webHidden/>
          </w:rPr>
          <w:tab/>
        </w:r>
        <w:r w:rsidR="00466071">
          <w:rPr>
            <w:noProof/>
            <w:webHidden/>
          </w:rPr>
          <w:fldChar w:fldCharType="begin"/>
        </w:r>
        <w:r w:rsidR="00466071">
          <w:rPr>
            <w:noProof/>
            <w:webHidden/>
          </w:rPr>
          <w:instrText xml:space="preserve"> PAGEREF _Toc372789574 \h </w:instrText>
        </w:r>
        <w:r w:rsidR="00466071">
          <w:rPr>
            <w:noProof/>
            <w:webHidden/>
          </w:rPr>
        </w:r>
        <w:r w:rsidR="00466071">
          <w:rPr>
            <w:noProof/>
            <w:webHidden/>
          </w:rPr>
          <w:fldChar w:fldCharType="separate"/>
        </w:r>
        <w:r>
          <w:rPr>
            <w:noProof/>
            <w:webHidden/>
          </w:rPr>
          <w:t>293</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75" w:history="1">
        <w:r w:rsidR="00466071" w:rsidRPr="00282EF5">
          <w:rPr>
            <w:rStyle w:val="Hyperlink"/>
            <w:noProof/>
          </w:rPr>
          <w:t>12.10.8 Tabaúna</w:t>
        </w:r>
        <w:r w:rsidR="00466071">
          <w:rPr>
            <w:noProof/>
            <w:webHidden/>
          </w:rPr>
          <w:tab/>
        </w:r>
        <w:r w:rsidR="00466071">
          <w:rPr>
            <w:noProof/>
            <w:webHidden/>
          </w:rPr>
          <w:fldChar w:fldCharType="begin"/>
        </w:r>
        <w:r w:rsidR="00466071">
          <w:rPr>
            <w:noProof/>
            <w:webHidden/>
          </w:rPr>
          <w:instrText xml:space="preserve"> PAGEREF _Toc372789575 \h </w:instrText>
        </w:r>
        <w:r w:rsidR="00466071">
          <w:rPr>
            <w:noProof/>
            <w:webHidden/>
          </w:rPr>
        </w:r>
        <w:r w:rsidR="00466071">
          <w:rPr>
            <w:noProof/>
            <w:webHidden/>
          </w:rPr>
          <w:fldChar w:fldCharType="separate"/>
        </w:r>
        <w:r>
          <w:rPr>
            <w:noProof/>
            <w:webHidden/>
          </w:rPr>
          <w:t>295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76" w:history="1">
        <w:r w:rsidR="00466071" w:rsidRPr="00282EF5">
          <w:rPr>
            <w:rStyle w:val="Hyperlink"/>
            <w:noProof/>
          </w:rPr>
          <w:t>12.10.9 Povoado Santa Terezinha</w:t>
        </w:r>
        <w:r w:rsidR="00466071">
          <w:rPr>
            <w:noProof/>
            <w:webHidden/>
          </w:rPr>
          <w:tab/>
        </w:r>
        <w:r w:rsidR="00466071">
          <w:rPr>
            <w:noProof/>
            <w:webHidden/>
          </w:rPr>
          <w:fldChar w:fldCharType="begin"/>
        </w:r>
        <w:r w:rsidR="00466071">
          <w:rPr>
            <w:noProof/>
            <w:webHidden/>
          </w:rPr>
          <w:instrText xml:space="preserve"> PAGEREF _Toc372789576 \h </w:instrText>
        </w:r>
        <w:r w:rsidR="00466071">
          <w:rPr>
            <w:noProof/>
            <w:webHidden/>
          </w:rPr>
        </w:r>
        <w:r w:rsidR="00466071">
          <w:rPr>
            <w:noProof/>
            <w:webHidden/>
          </w:rPr>
          <w:fldChar w:fldCharType="separate"/>
        </w:r>
        <w:r>
          <w:rPr>
            <w:noProof/>
            <w:webHidden/>
          </w:rPr>
          <w:t>298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77" w:history="1">
        <w:r w:rsidR="00466071" w:rsidRPr="00282EF5">
          <w:rPr>
            <w:rStyle w:val="Hyperlink"/>
            <w:noProof/>
          </w:rPr>
          <w:t>12.10.10 Povoado São João do Capim</w:t>
        </w:r>
        <w:r w:rsidR="00466071">
          <w:rPr>
            <w:noProof/>
            <w:webHidden/>
          </w:rPr>
          <w:tab/>
        </w:r>
        <w:r w:rsidR="00466071">
          <w:rPr>
            <w:noProof/>
            <w:webHidden/>
          </w:rPr>
          <w:fldChar w:fldCharType="begin"/>
        </w:r>
        <w:r w:rsidR="00466071">
          <w:rPr>
            <w:noProof/>
            <w:webHidden/>
          </w:rPr>
          <w:instrText xml:space="preserve"> PAGEREF _Toc372789577 \h </w:instrText>
        </w:r>
        <w:r w:rsidR="00466071">
          <w:rPr>
            <w:noProof/>
            <w:webHidden/>
          </w:rPr>
        </w:r>
        <w:r w:rsidR="00466071">
          <w:rPr>
            <w:noProof/>
            <w:webHidden/>
          </w:rPr>
          <w:fldChar w:fldCharType="separate"/>
        </w:r>
        <w:r>
          <w:rPr>
            <w:noProof/>
            <w:webHidden/>
          </w:rPr>
          <w:t>298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78" w:history="1">
        <w:r w:rsidR="00466071" w:rsidRPr="00282EF5">
          <w:rPr>
            <w:rStyle w:val="Hyperlink"/>
            <w:noProof/>
          </w:rPr>
          <w:t>12.10.11 Povoado São José do Limoeiro</w:t>
        </w:r>
        <w:r w:rsidR="00466071">
          <w:rPr>
            <w:noProof/>
            <w:webHidden/>
          </w:rPr>
          <w:tab/>
        </w:r>
        <w:r w:rsidR="00466071">
          <w:rPr>
            <w:noProof/>
            <w:webHidden/>
          </w:rPr>
          <w:fldChar w:fldCharType="begin"/>
        </w:r>
        <w:r w:rsidR="00466071">
          <w:rPr>
            <w:noProof/>
            <w:webHidden/>
          </w:rPr>
          <w:instrText xml:space="preserve"> PAGEREF _Toc372789578 \h </w:instrText>
        </w:r>
        <w:r w:rsidR="00466071">
          <w:rPr>
            <w:noProof/>
            <w:webHidden/>
          </w:rPr>
        </w:r>
        <w:r w:rsidR="00466071">
          <w:rPr>
            <w:noProof/>
            <w:webHidden/>
          </w:rPr>
          <w:fldChar w:fldCharType="separate"/>
        </w:r>
        <w:r>
          <w:rPr>
            <w:noProof/>
            <w:webHidden/>
          </w:rPr>
          <w:t>298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79" w:history="1">
        <w:r w:rsidR="00466071" w:rsidRPr="00282EF5">
          <w:rPr>
            <w:rStyle w:val="Hyperlink"/>
            <w:noProof/>
          </w:rPr>
          <w:t>12.10.12 Povoado São Sebastião da Encruzilhada</w:t>
        </w:r>
        <w:r w:rsidR="00466071">
          <w:rPr>
            <w:noProof/>
            <w:webHidden/>
          </w:rPr>
          <w:tab/>
        </w:r>
        <w:r w:rsidR="00466071">
          <w:rPr>
            <w:noProof/>
            <w:webHidden/>
          </w:rPr>
          <w:fldChar w:fldCharType="begin"/>
        </w:r>
        <w:r w:rsidR="00466071">
          <w:rPr>
            <w:noProof/>
            <w:webHidden/>
          </w:rPr>
          <w:instrText xml:space="preserve"> PAGEREF _Toc372789579 \h </w:instrText>
        </w:r>
        <w:r w:rsidR="00466071">
          <w:rPr>
            <w:noProof/>
            <w:webHidden/>
          </w:rPr>
        </w:r>
        <w:r w:rsidR="00466071">
          <w:rPr>
            <w:noProof/>
            <w:webHidden/>
          </w:rPr>
          <w:fldChar w:fldCharType="separate"/>
        </w:r>
        <w:r>
          <w:rPr>
            <w:noProof/>
            <w:webHidden/>
          </w:rPr>
          <w:t>298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80" w:history="1">
        <w:r w:rsidR="00466071" w:rsidRPr="00282EF5">
          <w:rPr>
            <w:rStyle w:val="Hyperlink"/>
            <w:noProof/>
          </w:rPr>
          <w:t>12.10.13 Comunidade no entorno da Represa da Usina Hidrelétrica de Aimorés</w:t>
        </w:r>
        <w:r w:rsidR="00466071">
          <w:rPr>
            <w:noProof/>
            <w:webHidden/>
          </w:rPr>
          <w:tab/>
        </w:r>
        <w:r w:rsidR="00466071">
          <w:rPr>
            <w:noProof/>
            <w:webHidden/>
          </w:rPr>
          <w:fldChar w:fldCharType="begin"/>
        </w:r>
        <w:r w:rsidR="00466071">
          <w:rPr>
            <w:noProof/>
            <w:webHidden/>
          </w:rPr>
          <w:instrText xml:space="preserve"> PAGEREF _Toc372789580 \h </w:instrText>
        </w:r>
        <w:r w:rsidR="00466071">
          <w:rPr>
            <w:noProof/>
            <w:webHidden/>
          </w:rPr>
        </w:r>
        <w:r w:rsidR="00466071">
          <w:rPr>
            <w:noProof/>
            <w:webHidden/>
          </w:rPr>
          <w:fldChar w:fldCharType="separate"/>
        </w:r>
        <w:r>
          <w:rPr>
            <w:noProof/>
            <w:webHidden/>
          </w:rPr>
          <w:t>299</w:t>
        </w:r>
        <w:r w:rsidR="00466071">
          <w:rPr>
            <w:noProof/>
            <w:webHidden/>
          </w:rPr>
          <w:fldChar w:fldCharType="end"/>
        </w:r>
      </w:hyperlink>
    </w:p>
    <w:p w:rsidR="00302A16" w:rsidRDefault="004F77E2" w:rsidP="00302A16">
      <w:pPr>
        <w:pStyle w:val="Sumrio1"/>
        <w:rPr>
          <w:rFonts w:asciiTheme="minorHAnsi" w:eastAsiaTheme="minorEastAsia" w:hAnsiTheme="minorHAnsi"/>
          <w:noProof/>
          <w:sz w:val="22"/>
          <w:lang w:eastAsia="pt-BR"/>
        </w:rPr>
      </w:pPr>
      <w:hyperlink w:anchor="_Toc372789545" w:history="1">
        <w:r w:rsidR="00302A16" w:rsidRPr="00282EF5">
          <w:rPr>
            <w:rStyle w:val="Hyperlink"/>
            <w:noProof/>
          </w:rPr>
          <w:t>1</w:t>
        </w:r>
        <w:r w:rsidR="00302A16">
          <w:rPr>
            <w:rStyle w:val="Hyperlink"/>
            <w:noProof/>
          </w:rPr>
          <w:t>2</w:t>
        </w:r>
        <w:r w:rsidR="00302A16" w:rsidRPr="00282EF5">
          <w:rPr>
            <w:rStyle w:val="Hyperlink"/>
            <w:noProof/>
          </w:rPr>
          <w:t>.</w:t>
        </w:r>
        <w:r w:rsidR="00302A16">
          <w:rPr>
            <w:rStyle w:val="Hyperlink"/>
            <w:noProof/>
          </w:rPr>
          <w:t>11</w:t>
        </w:r>
        <w:r w:rsidR="00302A16" w:rsidRPr="00282EF5">
          <w:rPr>
            <w:rStyle w:val="Hyperlink"/>
            <w:noProof/>
          </w:rPr>
          <w:t xml:space="preserve"> </w:t>
        </w:r>
        <w:r w:rsidR="00302A16">
          <w:rPr>
            <w:rStyle w:val="Hyperlink"/>
            <w:noProof/>
          </w:rPr>
          <w:t>Comunicação Social</w:t>
        </w:r>
        <w:r w:rsidR="00302A16">
          <w:rPr>
            <w:noProof/>
            <w:webHidden/>
          </w:rPr>
          <w:tab/>
        </w:r>
        <w:r w:rsidR="00302A16">
          <w:rPr>
            <w:noProof/>
            <w:webHidden/>
          </w:rPr>
          <w:fldChar w:fldCharType="begin"/>
        </w:r>
        <w:r w:rsidR="00302A16">
          <w:rPr>
            <w:noProof/>
            <w:webHidden/>
          </w:rPr>
          <w:instrText xml:space="preserve"> PAGEREF _Toc372789545 \h </w:instrText>
        </w:r>
        <w:r w:rsidR="00302A16">
          <w:rPr>
            <w:noProof/>
            <w:webHidden/>
          </w:rPr>
        </w:r>
        <w:r w:rsidR="00302A16">
          <w:rPr>
            <w:noProof/>
            <w:webHidden/>
          </w:rPr>
          <w:fldChar w:fldCharType="separate"/>
        </w:r>
        <w:r>
          <w:rPr>
            <w:noProof/>
            <w:webHidden/>
          </w:rPr>
          <w:t>215</w:t>
        </w:r>
        <w:r w:rsidR="00302A16">
          <w:rPr>
            <w:noProof/>
            <w:webHidden/>
          </w:rPr>
          <w:fldChar w:fldCharType="end"/>
        </w:r>
      </w:hyperlink>
    </w:p>
    <w:p w:rsidR="00302A16" w:rsidRDefault="004F77E2" w:rsidP="00302A16">
      <w:pPr>
        <w:pStyle w:val="Sumrio1"/>
        <w:rPr>
          <w:rFonts w:asciiTheme="minorHAnsi" w:eastAsiaTheme="minorEastAsia" w:hAnsiTheme="minorHAnsi"/>
          <w:noProof/>
          <w:sz w:val="22"/>
          <w:lang w:eastAsia="pt-BR"/>
        </w:rPr>
      </w:pPr>
      <w:hyperlink w:anchor="_Toc372789546" w:history="1">
        <w:r w:rsidR="00302A16" w:rsidRPr="00282EF5">
          <w:rPr>
            <w:rStyle w:val="Hyperlink"/>
            <w:noProof/>
          </w:rPr>
          <w:t>1</w:t>
        </w:r>
        <w:r w:rsidR="00302A16">
          <w:rPr>
            <w:rStyle w:val="Hyperlink"/>
            <w:noProof/>
          </w:rPr>
          <w:t>2</w:t>
        </w:r>
        <w:r w:rsidR="00302A16" w:rsidRPr="00282EF5">
          <w:rPr>
            <w:rStyle w:val="Hyperlink"/>
            <w:noProof/>
          </w:rPr>
          <w:t>.</w:t>
        </w:r>
        <w:r w:rsidR="00302A16">
          <w:rPr>
            <w:rStyle w:val="Hyperlink"/>
            <w:noProof/>
          </w:rPr>
          <w:t>11</w:t>
        </w:r>
        <w:r w:rsidR="00302A16" w:rsidRPr="00282EF5">
          <w:rPr>
            <w:rStyle w:val="Hyperlink"/>
            <w:noProof/>
          </w:rPr>
          <w:t xml:space="preserve">.1 </w:t>
        </w:r>
        <w:r w:rsidR="00302A16">
          <w:rPr>
            <w:rStyle w:val="Hyperlink"/>
            <w:noProof/>
          </w:rPr>
          <w:t>Mobilização Comunitária</w:t>
        </w:r>
        <w:r w:rsidR="00302A16">
          <w:rPr>
            <w:noProof/>
            <w:webHidden/>
          </w:rPr>
          <w:tab/>
        </w:r>
        <w:r w:rsidR="00302A16">
          <w:rPr>
            <w:noProof/>
            <w:webHidden/>
          </w:rPr>
          <w:fldChar w:fldCharType="begin"/>
        </w:r>
        <w:r w:rsidR="00302A16">
          <w:rPr>
            <w:noProof/>
            <w:webHidden/>
          </w:rPr>
          <w:instrText xml:space="preserve"> PAGEREF _Toc372789546 \h </w:instrText>
        </w:r>
        <w:r w:rsidR="00302A16">
          <w:rPr>
            <w:noProof/>
            <w:webHidden/>
          </w:rPr>
        </w:r>
        <w:r w:rsidR="00302A16">
          <w:rPr>
            <w:noProof/>
            <w:webHidden/>
          </w:rPr>
          <w:fldChar w:fldCharType="separate"/>
        </w:r>
        <w:r>
          <w:rPr>
            <w:noProof/>
            <w:webHidden/>
          </w:rPr>
          <w:t>222</w:t>
        </w:r>
        <w:r w:rsidR="00302A16">
          <w:rPr>
            <w:noProof/>
            <w:webHidden/>
          </w:rPr>
          <w:fldChar w:fldCharType="end"/>
        </w:r>
      </w:hyperlink>
    </w:p>
    <w:p w:rsidR="00302A16" w:rsidRDefault="004F77E2" w:rsidP="00302A16">
      <w:pPr>
        <w:pStyle w:val="Sumrio1"/>
        <w:rPr>
          <w:rFonts w:asciiTheme="minorHAnsi" w:eastAsiaTheme="minorEastAsia" w:hAnsiTheme="minorHAnsi"/>
          <w:noProof/>
          <w:sz w:val="22"/>
          <w:lang w:eastAsia="pt-BR"/>
        </w:rPr>
      </w:pPr>
      <w:hyperlink w:anchor="_Toc372789547" w:history="1">
        <w:r w:rsidR="00302A16" w:rsidRPr="00282EF5">
          <w:rPr>
            <w:rStyle w:val="Hyperlink"/>
            <w:noProof/>
          </w:rPr>
          <w:t>1</w:t>
        </w:r>
        <w:r w:rsidR="00302A16">
          <w:rPr>
            <w:rStyle w:val="Hyperlink"/>
            <w:noProof/>
          </w:rPr>
          <w:t>2</w:t>
        </w:r>
        <w:r w:rsidR="00302A16" w:rsidRPr="00282EF5">
          <w:rPr>
            <w:rStyle w:val="Hyperlink"/>
            <w:noProof/>
          </w:rPr>
          <w:t>.</w:t>
        </w:r>
        <w:r w:rsidR="00302A16">
          <w:rPr>
            <w:rStyle w:val="Hyperlink"/>
            <w:noProof/>
          </w:rPr>
          <w:t>11</w:t>
        </w:r>
        <w:r w:rsidR="00302A16" w:rsidRPr="00282EF5">
          <w:rPr>
            <w:rStyle w:val="Hyperlink"/>
            <w:noProof/>
          </w:rPr>
          <w:t xml:space="preserve">.2 </w:t>
        </w:r>
        <w:r w:rsidR="00302A16" w:rsidRPr="00302A16">
          <w:rPr>
            <w:rStyle w:val="Hyperlink"/>
            <w:noProof/>
          </w:rPr>
          <w:t>Alguns problemas levantados pela comunidade durante a realização das audiências públicas do PMSB</w:t>
        </w:r>
        <w:r w:rsidR="00302A16">
          <w:rPr>
            <w:noProof/>
            <w:webHidden/>
          </w:rPr>
          <w:tab/>
        </w:r>
        <w:r w:rsidR="00302A16">
          <w:rPr>
            <w:noProof/>
            <w:webHidden/>
          </w:rPr>
          <w:fldChar w:fldCharType="begin"/>
        </w:r>
        <w:r w:rsidR="00302A16">
          <w:rPr>
            <w:noProof/>
            <w:webHidden/>
          </w:rPr>
          <w:instrText xml:space="preserve"> PAGEREF _Toc372789547 \h </w:instrText>
        </w:r>
        <w:r w:rsidR="00302A16">
          <w:rPr>
            <w:noProof/>
            <w:webHidden/>
          </w:rPr>
        </w:r>
        <w:r w:rsidR="00302A16">
          <w:rPr>
            <w:noProof/>
            <w:webHidden/>
          </w:rPr>
          <w:fldChar w:fldCharType="separate"/>
        </w:r>
        <w:r>
          <w:rPr>
            <w:noProof/>
            <w:webHidden/>
          </w:rPr>
          <w:t>222</w:t>
        </w:r>
        <w:r w:rsidR="00302A16">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81" w:history="1">
        <w:r w:rsidR="00466071" w:rsidRPr="00282EF5">
          <w:rPr>
            <w:rStyle w:val="Hyperlink"/>
            <w:noProof/>
          </w:rPr>
          <w:t>12.1</w:t>
        </w:r>
        <w:r w:rsidR="00302A16">
          <w:rPr>
            <w:rStyle w:val="Hyperlink"/>
            <w:noProof/>
          </w:rPr>
          <w:t>2</w:t>
        </w:r>
        <w:r w:rsidR="00466071" w:rsidRPr="00282EF5">
          <w:rPr>
            <w:rStyle w:val="Hyperlink"/>
            <w:noProof/>
          </w:rPr>
          <w:t xml:space="preserve"> Serviços Prestados</w:t>
        </w:r>
        <w:r w:rsidR="00466071">
          <w:rPr>
            <w:noProof/>
            <w:webHidden/>
          </w:rPr>
          <w:tab/>
        </w:r>
        <w:r w:rsidR="00466071">
          <w:rPr>
            <w:noProof/>
            <w:webHidden/>
          </w:rPr>
          <w:fldChar w:fldCharType="begin"/>
        </w:r>
        <w:r w:rsidR="00466071">
          <w:rPr>
            <w:noProof/>
            <w:webHidden/>
          </w:rPr>
          <w:instrText xml:space="preserve"> PAGEREF _Toc372789581 \h </w:instrText>
        </w:r>
        <w:r w:rsidR="00466071">
          <w:rPr>
            <w:noProof/>
            <w:webHidden/>
          </w:rPr>
        </w:r>
        <w:r w:rsidR="00466071">
          <w:rPr>
            <w:noProof/>
            <w:webHidden/>
          </w:rPr>
          <w:fldChar w:fldCharType="separate"/>
        </w:r>
        <w:r>
          <w:rPr>
            <w:noProof/>
            <w:webHidden/>
          </w:rPr>
          <w:t>299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82" w:history="1">
        <w:r w:rsidR="00466071" w:rsidRPr="00282EF5">
          <w:rPr>
            <w:rStyle w:val="Hyperlink"/>
            <w:noProof/>
          </w:rPr>
          <w:t>12.1</w:t>
        </w:r>
        <w:r w:rsidR="00302A16">
          <w:rPr>
            <w:rStyle w:val="Hyperlink"/>
            <w:noProof/>
          </w:rPr>
          <w:t>2</w:t>
        </w:r>
        <w:r w:rsidR="00466071" w:rsidRPr="00282EF5">
          <w:rPr>
            <w:rStyle w:val="Hyperlink"/>
            <w:noProof/>
          </w:rPr>
          <w:t>.1 Economias e Volume</w:t>
        </w:r>
        <w:r w:rsidR="00466071">
          <w:rPr>
            <w:noProof/>
            <w:webHidden/>
          </w:rPr>
          <w:tab/>
        </w:r>
        <w:r w:rsidR="00466071">
          <w:rPr>
            <w:noProof/>
            <w:webHidden/>
          </w:rPr>
          <w:fldChar w:fldCharType="begin"/>
        </w:r>
        <w:r w:rsidR="00466071">
          <w:rPr>
            <w:noProof/>
            <w:webHidden/>
          </w:rPr>
          <w:instrText xml:space="preserve"> PAGEREF _Toc372789582 \h </w:instrText>
        </w:r>
        <w:r w:rsidR="00466071">
          <w:rPr>
            <w:noProof/>
            <w:webHidden/>
          </w:rPr>
        </w:r>
        <w:r w:rsidR="00466071">
          <w:rPr>
            <w:noProof/>
            <w:webHidden/>
          </w:rPr>
          <w:fldChar w:fldCharType="separate"/>
        </w:r>
        <w:r>
          <w:rPr>
            <w:noProof/>
            <w:webHidden/>
          </w:rPr>
          <w:t>304</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83" w:history="1">
        <w:r w:rsidR="00466071" w:rsidRPr="00282EF5">
          <w:rPr>
            <w:rStyle w:val="Hyperlink"/>
            <w:noProof/>
          </w:rPr>
          <w:t>12.1</w:t>
        </w:r>
        <w:r w:rsidR="00302A16">
          <w:rPr>
            <w:rStyle w:val="Hyperlink"/>
            <w:noProof/>
          </w:rPr>
          <w:t>2</w:t>
        </w:r>
        <w:r w:rsidR="00466071" w:rsidRPr="00282EF5">
          <w:rPr>
            <w:rStyle w:val="Hyperlink"/>
            <w:noProof/>
          </w:rPr>
          <w:t>.2 Tarifas</w:t>
        </w:r>
        <w:r w:rsidR="00466071">
          <w:rPr>
            <w:noProof/>
            <w:webHidden/>
          </w:rPr>
          <w:tab/>
        </w:r>
        <w:r w:rsidR="00466071">
          <w:rPr>
            <w:noProof/>
            <w:webHidden/>
          </w:rPr>
          <w:fldChar w:fldCharType="begin"/>
        </w:r>
        <w:r w:rsidR="00466071">
          <w:rPr>
            <w:noProof/>
            <w:webHidden/>
          </w:rPr>
          <w:instrText xml:space="preserve"> PAGEREF _Toc372789583 \h </w:instrText>
        </w:r>
        <w:r w:rsidR="00466071">
          <w:rPr>
            <w:noProof/>
            <w:webHidden/>
          </w:rPr>
        </w:r>
        <w:r w:rsidR="00466071">
          <w:rPr>
            <w:noProof/>
            <w:webHidden/>
          </w:rPr>
          <w:fldChar w:fldCharType="separate"/>
        </w:r>
        <w:r>
          <w:rPr>
            <w:noProof/>
            <w:webHidden/>
          </w:rPr>
          <w:t>305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84" w:history="1">
        <w:r w:rsidR="00466071" w:rsidRPr="00282EF5">
          <w:rPr>
            <w:rStyle w:val="Hyperlink"/>
            <w:noProof/>
          </w:rPr>
          <w:t>12.1</w:t>
        </w:r>
        <w:r w:rsidR="00302A16">
          <w:rPr>
            <w:rStyle w:val="Hyperlink"/>
            <w:noProof/>
          </w:rPr>
          <w:t>2</w:t>
        </w:r>
        <w:r w:rsidR="00466071" w:rsidRPr="00282EF5">
          <w:rPr>
            <w:rStyle w:val="Hyperlink"/>
            <w:noProof/>
          </w:rPr>
          <w:t>.3 Investimentos</w:t>
        </w:r>
        <w:r w:rsidR="00466071">
          <w:rPr>
            <w:noProof/>
            <w:webHidden/>
          </w:rPr>
          <w:tab/>
        </w:r>
        <w:r w:rsidR="00466071">
          <w:rPr>
            <w:noProof/>
            <w:webHidden/>
          </w:rPr>
          <w:fldChar w:fldCharType="begin"/>
        </w:r>
        <w:r w:rsidR="00466071">
          <w:rPr>
            <w:noProof/>
            <w:webHidden/>
          </w:rPr>
          <w:instrText xml:space="preserve"> PAGEREF _Toc372789584 \h </w:instrText>
        </w:r>
        <w:r w:rsidR="00466071">
          <w:rPr>
            <w:noProof/>
            <w:webHidden/>
          </w:rPr>
        </w:r>
        <w:r w:rsidR="00466071">
          <w:rPr>
            <w:noProof/>
            <w:webHidden/>
          </w:rPr>
          <w:fldChar w:fldCharType="separate"/>
        </w:r>
        <w:r>
          <w:rPr>
            <w:noProof/>
            <w:webHidden/>
          </w:rPr>
          <w:t>307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85" w:history="1">
        <w:r w:rsidR="00466071" w:rsidRPr="00282EF5">
          <w:rPr>
            <w:rStyle w:val="Hyperlink"/>
            <w:noProof/>
          </w:rPr>
          <w:t>12.1</w:t>
        </w:r>
        <w:r w:rsidR="00302A16">
          <w:rPr>
            <w:rStyle w:val="Hyperlink"/>
            <w:noProof/>
          </w:rPr>
          <w:t>3</w:t>
        </w:r>
        <w:r w:rsidR="00466071" w:rsidRPr="00282EF5">
          <w:rPr>
            <w:rStyle w:val="Hyperlink"/>
            <w:noProof/>
          </w:rPr>
          <w:t xml:space="preserve"> Indicadores do Sistema de Esgotamento Sanitário</w:t>
        </w:r>
        <w:r w:rsidR="00466071">
          <w:rPr>
            <w:noProof/>
            <w:webHidden/>
          </w:rPr>
          <w:tab/>
        </w:r>
        <w:r w:rsidR="00466071">
          <w:rPr>
            <w:noProof/>
            <w:webHidden/>
          </w:rPr>
          <w:fldChar w:fldCharType="begin"/>
        </w:r>
        <w:r w:rsidR="00466071">
          <w:rPr>
            <w:noProof/>
            <w:webHidden/>
          </w:rPr>
          <w:instrText xml:space="preserve"> PAGEREF _Toc372789585 \h </w:instrText>
        </w:r>
        <w:r w:rsidR="00466071">
          <w:rPr>
            <w:noProof/>
            <w:webHidden/>
          </w:rPr>
        </w:r>
        <w:r w:rsidR="00466071">
          <w:rPr>
            <w:noProof/>
            <w:webHidden/>
          </w:rPr>
          <w:fldChar w:fldCharType="separate"/>
        </w:r>
        <w:r>
          <w:rPr>
            <w:noProof/>
            <w:webHidden/>
          </w:rPr>
          <w:t>309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86" w:history="1">
        <w:r w:rsidR="00466071" w:rsidRPr="00282EF5">
          <w:rPr>
            <w:rStyle w:val="Hyperlink"/>
            <w:noProof/>
          </w:rPr>
          <w:t>12.1</w:t>
        </w:r>
        <w:r w:rsidR="00302A16">
          <w:rPr>
            <w:rStyle w:val="Hyperlink"/>
            <w:noProof/>
          </w:rPr>
          <w:t>4</w:t>
        </w:r>
        <w:r w:rsidR="00466071" w:rsidRPr="00282EF5">
          <w:rPr>
            <w:rStyle w:val="Hyperlink"/>
            <w:noProof/>
          </w:rPr>
          <w:t xml:space="preserve"> Considerações</w:t>
        </w:r>
        <w:r w:rsidR="00466071">
          <w:rPr>
            <w:noProof/>
            <w:webHidden/>
          </w:rPr>
          <w:tab/>
        </w:r>
        <w:r w:rsidR="00466071">
          <w:rPr>
            <w:noProof/>
            <w:webHidden/>
          </w:rPr>
          <w:fldChar w:fldCharType="begin"/>
        </w:r>
        <w:r w:rsidR="00466071">
          <w:rPr>
            <w:noProof/>
            <w:webHidden/>
          </w:rPr>
          <w:instrText xml:space="preserve"> PAGEREF _Toc372789586 \h </w:instrText>
        </w:r>
        <w:r w:rsidR="00466071">
          <w:rPr>
            <w:noProof/>
            <w:webHidden/>
          </w:rPr>
        </w:r>
        <w:r w:rsidR="00466071">
          <w:rPr>
            <w:noProof/>
            <w:webHidden/>
          </w:rPr>
          <w:fldChar w:fldCharType="separate"/>
        </w:r>
        <w:r>
          <w:rPr>
            <w:noProof/>
            <w:webHidden/>
          </w:rPr>
          <w:t>311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87" w:history="1">
        <w:r w:rsidR="00466071" w:rsidRPr="00282EF5">
          <w:rPr>
            <w:rStyle w:val="Hyperlink"/>
            <w:noProof/>
          </w:rPr>
          <w:t>13 MANEJO DOS RESÍDUOS SÓLIDOS E LIMPEZA URBANA</w:t>
        </w:r>
        <w:r w:rsidR="00466071">
          <w:rPr>
            <w:noProof/>
            <w:webHidden/>
          </w:rPr>
          <w:tab/>
        </w:r>
        <w:r w:rsidR="00466071">
          <w:rPr>
            <w:noProof/>
            <w:webHidden/>
          </w:rPr>
          <w:fldChar w:fldCharType="begin"/>
        </w:r>
        <w:r w:rsidR="00466071">
          <w:rPr>
            <w:noProof/>
            <w:webHidden/>
          </w:rPr>
          <w:instrText xml:space="preserve"> PAGEREF _Toc372789587 \h </w:instrText>
        </w:r>
        <w:r w:rsidR="00466071">
          <w:rPr>
            <w:noProof/>
            <w:webHidden/>
          </w:rPr>
        </w:r>
        <w:r w:rsidR="00466071">
          <w:rPr>
            <w:noProof/>
            <w:webHidden/>
          </w:rPr>
          <w:fldChar w:fldCharType="separate"/>
        </w:r>
        <w:r>
          <w:rPr>
            <w:noProof/>
            <w:webHidden/>
          </w:rPr>
          <w:t>313</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88" w:history="1">
        <w:r w:rsidR="00466071" w:rsidRPr="00282EF5">
          <w:rPr>
            <w:rStyle w:val="Hyperlink"/>
            <w:noProof/>
          </w:rPr>
          <w:t>13.1 Introdução</w:t>
        </w:r>
        <w:r w:rsidR="00466071">
          <w:rPr>
            <w:noProof/>
            <w:webHidden/>
          </w:rPr>
          <w:tab/>
        </w:r>
        <w:r w:rsidR="00466071">
          <w:rPr>
            <w:noProof/>
            <w:webHidden/>
          </w:rPr>
          <w:fldChar w:fldCharType="begin"/>
        </w:r>
        <w:r w:rsidR="00466071">
          <w:rPr>
            <w:noProof/>
            <w:webHidden/>
          </w:rPr>
          <w:instrText xml:space="preserve"> PAGEREF _Toc372789588 \h </w:instrText>
        </w:r>
        <w:r w:rsidR="00466071">
          <w:rPr>
            <w:noProof/>
            <w:webHidden/>
          </w:rPr>
        </w:r>
        <w:r w:rsidR="00466071">
          <w:rPr>
            <w:noProof/>
            <w:webHidden/>
          </w:rPr>
          <w:fldChar w:fldCharType="separate"/>
        </w:r>
        <w:r>
          <w:rPr>
            <w:noProof/>
            <w:webHidden/>
          </w:rPr>
          <w:t>313</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89" w:history="1">
        <w:r w:rsidR="00466071" w:rsidRPr="00282EF5">
          <w:rPr>
            <w:rStyle w:val="Hyperlink"/>
            <w:noProof/>
          </w:rPr>
          <w:t>13.2 O Plano de Gerenciamento Integrado de Resíduos Sólidos (PGIRS)</w:t>
        </w:r>
        <w:r w:rsidR="00466071">
          <w:rPr>
            <w:noProof/>
            <w:webHidden/>
          </w:rPr>
          <w:tab/>
        </w:r>
        <w:r w:rsidR="00466071">
          <w:rPr>
            <w:noProof/>
            <w:webHidden/>
          </w:rPr>
          <w:fldChar w:fldCharType="begin"/>
        </w:r>
        <w:r w:rsidR="00466071">
          <w:rPr>
            <w:noProof/>
            <w:webHidden/>
          </w:rPr>
          <w:instrText xml:space="preserve"> PAGEREF _Toc372789589 \h </w:instrText>
        </w:r>
        <w:r w:rsidR="00466071">
          <w:rPr>
            <w:noProof/>
            <w:webHidden/>
          </w:rPr>
        </w:r>
        <w:r w:rsidR="00466071">
          <w:rPr>
            <w:noProof/>
            <w:webHidden/>
          </w:rPr>
          <w:fldChar w:fldCharType="separate"/>
        </w:r>
        <w:r>
          <w:rPr>
            <w:noProof/>
            <w:webHidden/>
          </w:rPr>
          <w:t>316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90" w:history="1">
        <w:r w:rsidR="00466071" w:rsidRPr="00282EF5">
          <w:rPr>
            <w:rStyle w:val="Hyperlink"/>
            <w:noProof/>
          </w:rPr>
          <w:t>13.3 Modelo Institucional</w:t>
        </w:r>
        <w:r w:rsidR="00466071">
          <w:rPr>
            <w:noProof/>
            <w:webHidden/>
          </w:rPr>
          <w:tab/>
        </w:r>
        <w:r w:rsidR="00466071">
          <w:rPr>
            <w:noProof/>
            <w:webHidden/>
          </w:rPr>
          <w:fldChar w:fldCharType="begin"/>
        </w:r>
        <w:r w:rsidR="00466071">
          <w:rPr>
            <w:noProof/>
            <w:webHidden/>
          </w:rPr>
          <w:instrText xml:space="preserve"> PAGEREF _Toc372789590 \h </w:instrText>
        </w:r>
        <w:r w:rsidR="00466071">
          <w:rPr>
            <w:noProof/>
            <w:webHidden/>
          </w:rPr>
        </w:r>
        <w:r w:rsidR="00466071">
          <w:rPr>
            <w:noProof/>
            <w:webHidden/>
          </w:rPr>
          <w:fldChar w:fldCharType="separate"/>
        </w:r>
        <w:r>
          <w:rPr>
            <w:noProof/>
            <w:webHidden/>
          </w:rPr>
          <w:t>318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91" w:history="1">
        <w:r w:rsidR="00466071" w:rsidRPr="00282EF5">
          <w:rPr>
            <w:rStyle w:val="Hyperlink"/>
            <w:noProof/>
          </w:rPr>
          <w:t>13.3.1 Objetivo</w:t>
        </w:r>
        <w:r w:rsidR="00466071">
          <w:rPr>
            <w:noProof/>
            <w:webHidden/>
          </w:rPr>
          <w:tab/>
        </w:r>
        <w:r w:rsidR="00466071">
          <w:rPr>
            <w:noProof/>
            <w:webHidden/>
          </w:rPr>
          <w:fldChar w:fldCharType="begin"/>
        </w:r>
        <w:r w:rsidR="00466071">
          <w:rPr>
            <w:noProof/>
            <w:webHidden/>
          </w:rPr>
          <w:instrText xml:space="preserve"> PAGEREF _Toc372789591 \h </w:instrText>
        </w:r>
        <w:r w:rsidR="00466071">
          <w:rPr>
            <w:noProof/>
            <w:webHidden/>
          </w:rPr>
        </w:r>
        <w:r w:rsidR="00466071">
          <w:rPr>
            <w:noProof/>
            <w:webHidden/>
          </w:rPr>
          <w:fldChar w:fldCharType="separate"/>
        </w:r>
        <w:r>
          <w:rPr>
            <w:noProof/>
            <w:webHidden/>
          </w:rPr>
          <w:t>318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92" w:history="1">
        <w:r w:rsidR="00466071" w:rsidRPr="00282EF5">
          <w:rPr>
            <w:rStyle w:val="Hyperlink"/>
            <w:noProof/>
          </w:rPr>
          <w:t>13.3.2 Forma de Administração</w:t>
        </w:r>
        <w:r w:rsidR="00466071">
          <w:rPr>
            <w:noProof/>
            <w:webHidden/>
          </w:rPr>
          <w:tab/>
        </w:r>
        <w:r w:rsidR="00466071">
          <w:rPr>
            <w:noProof/>
            <w:webHidden/>
          </w:rPr>
          <w:fldChar w:fldCharType="begin"/>
        </w:r>
        <w:r w:rsidR="00466071">
          <w:rPr>
            <w:noProof/>
            <w:webHidden/>
          </w:rPr>
          <w:instrText xml:space="preserve"> PAGEREF _Toc372789592 \h </w:instrText>
        </w:r>
        <w:r w:rsidR="00466071">
          <w:rPr>
            <w:noProof/>
            <w:webHidden/>
          </w:rPr>
        </w:r>
        <w:r w:rsidR="00466071">
          <w:rPr>
            <w:noProof/>
            <w:webHidden/>
          </w:rPr>
          <w:fldChar w:fldCharType="separate"/>
        </w:r>
        <w:r>
          <w:rPr>
            <w:noProof/>
            <w:webHidden/>
          </w:rPr>
          <w:t>320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93" w:history="1">
        <w:r w:rsidR="00466071" w:rsidRPr="00282EF5">
          <w:rPr>
            <w:rStyle w:val="Hyperlink"/>
            <w:noProof/>
          </w:rPr>
          <w:t>13.3.3 Remuneração dos Serviços de limpeza pública</w:t>
        </w:r>
        <w:r w:rsidR="00466071">
          <w:rPr>
            <w:noProof/>
            <w:webHidden/>
          </w:rPr>
          <w:tab/>
        </w:r>
        <w:r w:rsidR="00466071">
          <w:rPr>
            <w:noProof/>
            <w:webHidden/>
          </w:rPr>
          <w:fldChar w:fldCharType="begin"/>
        </w:r>
        <w:r w:rsidR="00466071">
          <w:rPr>
            <w:noProof/>
            <w:webHidden/>
          </w:rPr>
          <w:instrText xml:space="preserve"> PAGEREF _Toc372789593 \h </w:instrText>
        </w:r>
        <w:r w:rsidR="00466071">
          <w:rPr>
            <w:noProof/>
            <w:webHidden/>
          </w:rPr>
        </w:r>
        <w:r w:rsidR="00466071">
          <w:rPr>
            <w:noProof/>
            <w:webHidden/>
          </w:rPr>
          <w:fldChar w:fldCharType="separate"/>
        </w:r>
        <w:r>
          <w:rPr>
            <w:noProof/>
            <w:webHidden/>
          </w:rPr>
          <w:t>322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94" w:history="1">
        <w:r w:rsidR="00466071" w:rsidRPr="00282EF5">
          <w:rPr>
            <w:rStyle w:val="Hyperlink"/>
            <w:noProof/>
          </w:rPr>
          <w:t>13.4 Produção de Resíduos Sólidos</w:t>
        </w:r>
        <w:r w:rsidR="00466071">
          <w:rPr>
            <w:noProof/>
            <w:webHidden/>
          </w:rPr>
          <w:tab/>
        </w:r>
        <w:r w:rsidR="00466071">
          <w:rPr>
            <w:noProof/>
            <w:webHidden/>
          </w:rPr>
          <w:fldChar w:fldCharType="begin"/>
        </w:r>
        <w:r w:rsidR="00466071">
          <w:rPr>
            <w:noProof/>
            <w:webHidden/>
          </w:rPr>
          <w:instrText xml:space="preserve"> PAGEREF _Toc372789594 \h </w:instrText>
        </w:r>
        <w:r w:rsidR="00466071">
          <w:rPr>
            <w:noProof/>
            <w:webHidden/>
          </w:rPr>
        </w:r>
        <w:r w:rsidR="00466071">
          <w:rPr>
            <w:noProof/>
            <w:webHidden/>
          </w:rPr>
          <w:fldChar w:fldCharType="separate"/>
        </w:r>
        <w:r>
          <w:rPr>
            <w:noProof/>
            <w:webHidden/>
          </w:rPr>
          <w:t>326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95" w:history="1">
        <w:r w:rsidR="00466071" w:rsidRPr="00282EF5">
          <w:rPr>
            <w:rStyle w:val="Hyperlink"/>
            <w:noProof/>
          </w:rPr>
          <w:t>13.5 Acondicionamento, Coleta e Transporte de Resíduos</w:t>
        </w:r>
        <w:r w:rsidR="00466071">
          <w:rPr>
            <w:noProof/>
            <w:webHidden/>
          </w:rPr>
          <w:tab/>
        </w:r>
        <w:r w:rsidR="00466071">
          <w:rPr>
            <w:noProof/>
            <w:webHidden/>
          </w:rPr>
          <w:fldChar w:fldCharType="begin"/>
        </w:r>
        <w:r w:rsidR="00466071">
          <w:rPr>
            <w:noProof/>
            <w:webHidden/>
          </w:rPr>
          <w:instrText xml:space="preserve"> PAGEREF _Toc372789595 \h </w:instrText>
        </w:r>
        <w:r w:rsidR="00466071">
          <w:rPr>
            <w:noProof/>
            <w:webHidden/>
          </w:rPr>
        </w:r>
        <w:r w:rsidR="00466071">
          <w:rPr>
            <w:noProof/>
            <w:webHidden/>
          </w:rPr>
          <w:fldChar w:fldCharType="separate"/>
        </w:r>
        <w:r>
          <w:rPr>
            <w:noProof/>
            <w:webHidden/>
          </w:rPr>
          <w:t>329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96" w:history="1">
        <w:r w:rsidR="00466071" w:rsidRPr="00282EF5">
          <w:rPr>
            <w:rStyle w:val="Hyperlink"/>
            <w:noProof/>
          </w:rPr>
          <w:t>13.5.1 Acondicionamento Adequado</w:t>
        </w:r>
        <w:r w:rsidR="00466071">
          <w:rPr>
            <w:noProof/>
            <w:webHidden/>
          </w:rPr>
          <w:tab/>
        </w:r>
        <w:r w:rsidR="00466071">
          <w:rPr>
            <w:noProof/>
            <w:webHidden/>
          </w:rPr>
          <w:fldChar w:fldCharType="begin"/>
        </w:r>
        <w:r w:rsidR="00466071">
          <w:rPr>
            <w:noProof/>
            <w:webHidden/>
          </w:rPr>
          <w:instrText xml:space="preserve"> PAGEREF _Toc372789596 \h </w:instrText>
        </w:r>
        <w:r w:rsidR="00466071">
          <w:rPr>
            <w:noProof/>
            <w:webHidden/>
          </w:rPr>
        </w:r>
        <w:r w:rsidR="00466071">
          <w:rPr>
            <w:noProof/>
            <w:webHidden/>
          </w:rPr>
          <w:fldChar w:fldCharType="separate"/>
        </w:r>
        <w:r>
          <w:rPr>
            <w:noProof/>
            <w:webHidden/>
          </w:rPr>
          <w:t>329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97" w:history="1">
        <w:r w:rsidR="00466071" w:rsidRPr="00282EF5">
          <w:rPr>
            <w:rStyle w:val="Hyperlink"/>
            <w:noProof/>
          </w:rPr>
          <w:t>13.5.2 Resíduos sólidos gerados nos logradouros</w:t>
        </w:r>
        <w:r w:rsidR="00466071">
          <w:rPr>
            <w:noProof/>
            <w:webHidden/>
          </w:rPr>
          <w:tab/>
        </w:r>
        <w:r w:rsidR="00466071">
          <w:rPr>
            <w:noProof/>
            <w:webHidden/>
          </w:rPr>
          <w:fldChar w:fldCharType="begin"/>
        </w:r>
        <w:r w:rsidR="00466071">
          <w:rPr>
            <w:noProof/>
            <w:webHidden/>
          </w:rPr>
          <w:instrText xml:space="preserve"> PAGEREF _Toc372789597 \h </w:instrText>
        </w:r>
        <w:r w:rsidR="00466071">
          <w:rPr>
            <w:noProof/>
            <w:webHidden/>
          </w:rPr>
        </w:r>
        <w:r w:rsidR="00466071">
          <w:rPr>
            <w:noProof/>
            <w:webHidden/>
          </w:rPr>
          <w:fldChar w:fldCharType="separate"/>
        </w:r>
        <w:r>
          <w:rPr>
            <w:noProof/>
            <w:webHidden/>
          </w:rPr>
          <w:t>330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98" w:history="1">
        <w:r w:rsidR="00466071" w:rsidRPr="00282EF5">
          <w:rPr>
            <w:rStyle w:val="Hyperlink"/>
            <w:noProof/>
          </w:rPr>
          <w:t>13.5.3 Resíduos sólidos domiciliares</w:t>
        </w:r>
        <w:r w:rsidR="00466071">
          <w:rPr>
            <w:noProof/>
            <w:webHidden/>
          </w:rPr>
          <w:tab/>
        </w:r>
        <w:r w:rsidR="00466071">
          <w:rPr>
            <w:noProof/>
            <w:webHidden/>
          </w:rPr>
          <w:fldChar w:fldCharType="begin"/>
        </w:r>
        <w:r w:rsidR="00466071">
          <w:rPr>
            <w:noProof/>
            <w:webHidden/>
          </w:rPr>
          <w:instrText xml:space="preserve"> PAGEREF _Toc372789598 \h </w:instrText>
        </w:r>
        <w:r w:rsidR="00466071">
          <w:rPr>
            <w:noProof/>
            <w:webHidden/>
          </w:rPr>
        </w:r>
        <w:r w:rsidR="00466071">
          <w:rPr>
            <w:noProof/>
            <w:webHidden/>
          </w:rPr>
          <w:fldChar w:fldCharType="separate"/>
        </w:r>
        <w:r>
          <w:rPr>
            <w:noProof/>
            <w:webHidden/>
          </w:rPr>
          <w:t>330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599" w:history="1">
        <w:r w:rsidR="00466071" w:rsidRPr="00282EF5">
          <w:rPr>
            <w:rStyle w:val="Hyperlink"/>
            <w:noProof/>
          </w:rPr>
          <w:t>13.5.4 Materiais Recicláveis</w:t>
        </w:r>
        <w:r w:rsidR="00466071">
          <w:rPr>
            <w:noProof/>
            <w:webHidden/>
          </w:rPr>
          <w:tab/>
        </w:r>
        <w:r w:rsidR="00466071">
          <w:rPr>
            <w:noProof/>
            <w:webHidden/>
          </w:rPr>
          <w:fldChar w:fldCharType="begin"/>
        </w:r>
        <w:r w:rsidR="00466071">
          <w:rPr>
            <w:noProof/>
            <w:webHidden/>
          </w:rPr>
          <w:instrText xml:space="preserve"> PAGEREF _Toc372789599 \h </w:instrText>
        </w:r>
        <w:r w:rsidR="00466071">
          <w:rPr>
            <w:noProof/>
            <w:webHidden/>
          </w:rPr>
        </w:r>
        <w:r w:rsidR="00466071">
          <w:rPr>
            <w:noProof/>
            <w:webHidden/>
          </w:rPr>
          <w:fldChar w:fldCharType="separate"/>
        </w:r>
        <w:r>
          <w:rPr>
            <w:noProof/>
            <w:webHidden/>
          </w:rPr>
          <w:t>330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00" w:history="1">
        <w:r w:rsidR="00466071" w:rsidRPr="00282EF5">
          <w:rPr>
            <w:rStyle w:val="Hyperlink"/>
            <w:noProof/>
          </w:rPr>
          <w:t>13.5.5 Resíduos de Serviços de Saúde (RSS)</w:t>
        </w:r>
        <w:r w:rsidR="00466071">
          <w:rPr>
            <w:noProof/>
            <w:webHidden/>
          </w:rPr>
          <w:tab/>
        </w:r>
        <w:r w:rsidR="00466071">
          <w:rPr>
            <w:noProof/>
            <w:webHidden/>
          </w:rPr>
          <w:fldChar w:fldCharType="begin"/>
        </w:r>
        <w:r w:rsidR="00466071">
          <w:rPr>
            <w:noProof/>
            <w:webHidden/>
          </w:rPr>
          <w:instrText xml:space="preserve"> PAGEREF _Toc372789600 \h </w:instrText>
        </w:r>
        <w:r w:rsidR="00466071">
          <w:rPr>
            <w:noProof/>
            <w:webHidden/>
          </w:rPr>
        </w:r>
        <w:r w:rsidR="00466071">
          <w:rPr>
            <w:noProof/>
            <w:webHidden/>
          </w:rPr>
          <w:fldChar w:fldCharType="separate"/>
        </w:r>
        <w:r>
          <w:rPr>
            <w:noProof/>
            <w:webHidden/>
          </w:rPr>
          <w:t>331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01" w:history="1">
        <w:r w:rsidR="00466071" w:rsidRPr="00282EF5">
          <w:rPr>
            <w:rStyle w:val="Hyperlink"/>
            <w:noProof/>
          </w:rPr>
          <w:t>13.5.6 Resíduos da Construção Civil</w:t>
        </w:r>
        <w:r w:rsidR="00466071">
          <w:rPr>
            <w:noProof/>
            <w:webHidden/>
          </w:rPr>
          <w:tab/>
        </w:r>
        <w:r w:rsidR="00466071">
          <w:rPr>
            <w:noProof/>
            <w:webHidden/>
          </w:rPr>
          <w:fldChar w:fldCharType="begin"/>
        </w:r>
        <w:r w:rsidR="00466071">
          <w:rPr>
            <w:noProof/>
            <w:webHidden/>
          </w:rPr>
          <w:instrText xml:space="preserve"> PAGEREF _Toc372789601 \h </w:instrText>
        </w:r>
        <w:r w:rsidR="00466071">
          <w:rPr>
            <w:noProof/>
            <w:webHidden/>
          </w:rPr>
        </w:r>
        <w:r w:rsidR="00466071">
          <w:rPr>
            <w:noProof/>
            <w:webHidden/>
          </w:rPr>
          <w:fldChar w:fldCharType="separate"/>
        </w:r>
        <w:r>
          <w:rPr>
            <w:noProof/>
            <w:webHidden/>
          </w:rPr>
          <w:t>337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02" w:history="1">
        <w:r w:rsidR="00466071" w:rsidRPr="00282EF5">
          <w:rPr>
            <w:rStyle w:val="Hyperlink"/>
            <w:noProof/>
          </w:rPr>
          <w:t>13.6 Logística Reversa</w:t>
        </w:r>
        <w:r w:rsidR="00466071">
          <w:rPr>
            <w:noProof/>
            <w:webHidden/>
          </w:rPr>
          <w:tab/>
        </w:r>
        <w:r w:rsidR="00466071">
          <w:rPr>
            <w:noProof/>
            <w:webHidden/>
          </w:rPr>
          <w:fldChar w:fldCharType="begin"/>
        </w:r>
        <w:r w:rsidR="00466071">
          <w:rPr>
            <w:noProof/>
            <w:webHidden/>
          </w:rPr>
          <w:instrText xml:space="preserve"> PAGEREF _Toc372789602 \h </w:instrText>
        </w:r>
        <w:r w:rsidR="00466071">
          <w:rPr>
            <w:noProof/>
            <w:webHidden/>
          </w:rPr>
        </w:r>
        <w:r w:rsidR="00466071">
          <w:rPr>
            <w:noProof/>
            <w:webHidden/>
          </w:rPr>
          <w:fldChar w:fldCharType="separate"/>
        </w:r>
        <w:r>
          <w:rPr>
            <w:noProof/>
            <w:webHidden/>
          </w:rPr>
          <w:t>339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03" w:history="1">
        <w:r w:rsidR="00466071" w:rsidRPr="00282EF5">
          <w:rPr>
            <w:rStyle w:val="Hyperlink"/>
            <w:noProof/>
          </w:rPr>
          <w:t>13.7 Coleta e Transporte de Resíduos Sólidos</w:t>
        </w:r>
        <w:r w:rsidR="00466071">
          <w:rPr>
            <w:noProof/>
            <w:webHidden/>
          </w:rPr>
          <w:tab/>
        </w:r>
        <w:r w:rsidR="00466071">
          <w:rPr>
            <w:noProof/>
            <w:webHidden/>
          </w:rPr>
          <w:fldChar w:fldCharType="begin"/>
        </w:r>
        <w:r w:rsidR="00466071">
          <w:rPr>
            <w:noProof/>
            <w:webHidden/>
          </w:rPr>
          <w:instrText xml:space="preserve"> PAGEREF _Toc372789603 \h </w:instrText>
        </w:r>
        <w:r w:rsidR="00466071">
          <w:rPr>
            <w:noProof/>
            <w:webHidden/>
          </w:rPr>
        </w:r>
        <w:r w:rsidR="00466071">
          <w:rPr>
            <w:noProof/>
            <w:webHidden/>
          </w:rPr>
          <w:fldChar w:fldCharType="separate"/>
        </w:r>
        <w:r>
          <w:rPr>
            <w:noProof/>
            <w:webHidden/>
          </w:rPr>
          <w:t>340</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04" w:history="1">
        <w:r w:rsidR="00466071" w:rsidRPr="00282EF5">
          <w:rPr>
            <w:rStyle w:val="Hyperlink"/>
            <w:noProof/>
          </w:rPr>
          <w:t>13.8 Coleta Domiciliar</w:t>
        </w:r>
        <w:r w:rsidR="00466071">
          <w:rPr>
            <w:noProof/>
            <w:webHidden/>
          </w:rPr>
          <w:tab/>
        </w:r>
        <w:r w:rsidR="00466071">
          <w:rPr>
            <w:noProof/>
            <w:webHidden/>
          </w:rPr>
          <w:fldChar w:fldCharType="begin"/>
        </w:r>
        <w:r w:rsidR="00466071">
          <w:rPr>
            <w:noProof/>
            <w:webHidden/>
          </w:rPr>
          <w:instrText xml:space="preserve"> PAGEREF _Toc372789604 \h </w:instrText>
        </w:r>
        <w:r w:rsidR="00466071">
          <w:rPr>
            <w:noProof/>
            <w:webHidden/>
          </w:rPr>
        </w:r>
        <w:r w:rsidR="00466071">
          <w:rPr>
            <w:noProof/>
            <w:webHidden/>
          </w:rPr>
          <w:fldChar w:fldCharType="separate"/>
        </w:r>
        <w:r>
          <w:rPr>
            <w:noProof/>
            <w:webHidden/>
          </w:rPr>
          <w:t>341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05" w:history="1">
        <w:r w:rsidR="00466071" w:rsidRPr="00282EF5">
          <w:rPr>
            <w:rStyle w:val="Hyperlink"/>
            <w:noProof/>
          </w:rPr>
          <w:t>13.9 Coleta Especial</w:t>
        </w:r>
        <w:r w:rsidR="00466071">
          <w:rPr>
            <w:noProof/>
            <w:webHidden/>
          </w:rPr>
          <w:tab/>
        </w:r>
        <w:r w:rsidR="00466071">
          <w:rPr>
            <w:noProof/>
            <w:webHidden/>
          </w:rPr>
          <w:fldChar w:fldCharType="begin"/>
        </w:r>
        <w:r w:rsidR="00466071">
          <w:rPr>
            <w:noProof/>
            <w:webHidden/>
          </w:rPr>
          <w:instrText xml:space="preserve"> PAGEREF _Toc372789605 \h </w:instrText>
        </w:r>
        <w:r w:rsidR="00466071">
          <w:rPr>
            <w:noProof/>
            <w:webHidden/>
          </w:rPr>
        </w:r>
        <w:r w:rsidR="00466071">
          <w:rPr>
            <w:noProof/>
            <w:webHidden/>
          </w:rPr>
          <w:fldChar w:fldCharType="separate"/>
        </w:r>
        <w:r>
          <w:rPr>
            <w:noProof/>
            <w:webHidden/>
          </w:rPr>
          <w:t>342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06" w:history="1">
        <w:r w:rsidR="00466071" w:rsidRPr="00282EF5">
          <w:rPr>
            <w:rStyle w:val="Hyperlink"/>
            <w:noProof/>
          </w:rPr>
          <w:t>13.10 Coleta dos Materiais Recicláveis</w:t>
        </w:r>
        <w:r w:rsidR="00466071">
          <w:rPr>
            <w:noProof/>
            <w:webHidden/>
          </w:rPr>
          <w:tab/>
        </w:r>
        <w:r w:rsidR="00466071">
          <w:rPr>
            <w:noProof/>
            <w:webHidden/>
          </w:rPr>
          <w:fldChar w:fldCharType="begin"/>
        </w:r>
        <w:r w:rsidR="00466071">
          <w:rPr>
            <w:noProof/>
            <w:webHidden/>
          </w:rPr>
          <w:instrText xml:space="preserve"> PAGEREF _Toc372789606 \h </w:instrText>
        </w:r>
        <w:r w:rsidR="00466071">
          <w:rPr>
            <w:noProof/>
            <w:webHidden/>
          </w:rPr>
        </w:r>
        <w:r w:rsidR="00466071">
          <w:rPr>
            <w:noProof/>
            <w:webHidden/>
          </w:rPr>
          <w:fldChar w:fldCharType="separate"/>
        </w:r>
        <w:r>
          <w:rPr>
            <w:noProof/>
            <w:webHidden/>
          </w:rPr>
          <w:t>343</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07" w:history="1">
        <w:r w:rsidR="00466071" w:rsidRPr="00282EF5">
          <w:rPr>
            <w:rStyle w:val="Hyperlink"/>
            <w:noProof/>
          </w:rPr>
          <w:t>13.11 Situação da Limpeza Pública nos Distritos</w:t>
        </w:r>
        <w:r w:rsidR="00466071">
          <w:rPr>
            <w:noProof/>
            <w:webHidden/>
          </w:rPr>
          <w:tab/>
        </w:r>
        <w:r w:rsidR="00466071">
          <w:rPr>
            <w:noProof/>
            <w:webHidden/>
          </w:rPr>
          <w:fldChar w:fldCharType="begin"/>
        </w:r>
        <w:r w:rsidR="00466071">
          <w:rPr>
            <w:noProof/>
            <w:webHidden/>
          </w:rPr>
          <w:instrText xml:space="preserve"> PAGEREF _Toc372789607 \h </w:instrText>
        </w:r>
        <w:r w:rsidR="00466071">
          <w:rPr>
            <w:noProof/>
            <w:webHidden/>
          </w:rPr>
        </w:r>
        <w:r w:rsidR="00466071">
          <w:rPr>
            <w:noProof/>
            <w:webHidden/>
          </w:rPr>
          <w:fldChar w:fldCharType="separate"/>
        </w:r>
        <w:r>
          <w:rPr>
            <w:noProof/>
            <w:webHidden/>
          </w:rPr>
          <w:t>344</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08" w:history="1">
        <w:r w:rsidR="00466071" w:rsidRPr="00282EF5">
          <w:rPr>
            <w:rStyle w:val="Hyperlink"/>
            <w:noProof/>
          </w:rPr>
          <w:t>13.12 Limpeza de Logradouros Públicos</w:t>
        </w:r>
        <w:r w:rsidR="00466071">
          <w:rPr>
            <w:noProof/>
            <w:webHidden/>
          </w:rPr>
          <w:tab/>
        </w:r>
        <w:r w:rsidR="00466071">
          <w:rPr>
            <w:noProof/>
            <w:webHidden/>
          </w:rPr>
          <w:fldChar w:fldCharType="begin"/>
        </w:r>
        <w:r w:rsidR="00466071">
          <w:rPr>
            <w:noProof/>
            <w:webHidden/>
          </w:rPr>
          <w:instrText xml:space="preserve"> PAGEREF _Toc372789608 \h </w:instrText>
        </w:r>
        <w:r w:rsidR="00466071">
          <w:rPr>
            <w:noProof/>
            <w:webHidden/>
          </w:rPr>
        </w:r>
        <w:r w:rsidR="00466071">
          <w:rPr>
            <w:noProof/>
            <w:webHidden/>
          </w:rPr>
          <w:fldChar w:fldCharType="separate"/>
        </w:r>
        <w:r>
          <w:rPr>
            <w:noProof/>
            <w:webHidden/>
          </w:rPr>
          <w:t>345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09" w:history="1">
        <w:r w:rsidR="00466071" w:rsidRPr="00282EF5">
          <w:rPr>
            <w:rStyle w:val="Hyperlink"/>
            <w:noProof/>
          </w:rPr>
          <w:t>13.13 Tratamento e Destinação Final Adequada</w:t>
        </w:r>
        <w:r w:rsidR="00466071">
          <w:rPr>
            <w:noProof/>
            <w:webHidden/>
          </w:rPr>
          <w:tab/>
        </w:r>
        <w:r w:rsidR="00466071">
          <w:rPr>
            <w:noProof/>
            <w:webHidden/>
          </w:rPr>
          <w:fldChar w:fldCharType="begin"/>
        </w:r>
        <w:r w:rsidR="00466071">
          <w:rPr>
            <w:noProof/>
            <w:webHidden/>
          </w:rPr>
          <w:instrText xml:space="preserve"> PAGEREF _Toc372789609 \h </w:instrText>
        </w:r>
        <w:r w:rsidR="00466071">
          <w:rPr>
            <w:noProof/>
            <w:webHidden/>
          </w:rPr>
        </w:r>
        <w:r w:rsidR="00466071">
          <w:rPr>
            <w:noProof/>
            <w:webHidden/>
          </w:rPr>
          <w:fldChar w:fldCharType="separate"/>
        </w:r>
        <w:r>
          <w:rPr>
            <w:noProof/>
            <w:webHidden/>
          </w:rPr>
          <w:t>346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10" w:history="1">
        <w:r w:rsidR="00466071" w:rsidRPr="00282EF5">
          <w:rPr>
            <w:rStyle w:val="Hyperlink"/>
            <w:noProof/>
          </w:rPr>
          <w:t>13.14 Localização da UTC/Aterro controlado</w:t>
        </w:r>
        <w:r w:rsidR="00466071">
          <w:rPr>
            <w:noProof/>
            <w:webHidden/>
          </w:rPr>
          <w:tab/>
        </w:r>
        <w:r w:rsidR="00466071">
          <w:rPr>
            <w:noProof/>
            <w:webHidden/>
          </w:rPr>
          <w:fldChar w:fldCharType="begin"/>
        </w:r>
        <w:r w:rsidR="00466071">
          <w:rPr>
            <w:noProof/>
            <w:webHidden/>
          </w:rPr>
          <w:instrText xml:space="preserve"> PAGEREF _Toc372789610 \h </w:instrText>
        </w:r>
        <w:r w:rsidR="00466071">
          <w:rPr>
            <w:noProof/>
            <w:webHidden/>
          </w:rPr>
        </w:r>
        <w:r w:rsidR="00466071">
          <w:rPr>
            <w:noProof/>
            <w:webHidden/>
          </w:rPr>
          <w:fldChar w:fldCharType="separate"/>
        </w:r>
        <w:r>
          <w:rPr>
            <w:noProof/>
            <w:webHidden/>
          </w:rPr>
          <w:t>349</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11" w:history="1">
        <w:r w:rsidR="00466071" w:rsidRPr="00282EF5">
          <w:rPr>
            <w:rStyle w:val="Hyperlink"/>
            <w:noProof/>
          </w:rPr>
          <w:t>13.15 Comunicação e Mobilização Social</w:t>
        </w:r>
        <w:r w:rsidR="00466071">
          <w:rPr>
            <w:noProof/>
            <w:webHidden/>
          </w:rPr>
          <w:tab/>
        </w:r>
        <w:r w:rsidR="00466071">
          <w:rPr>
            <w:noProof/>
            <w:webHidden/>
          </w:rPr>
          <w:fldChar w:fldCharType="begin"/>
        </w:r>
        <w:r w:rsidR="00466071">
          <w:rPr>
            <w:noProof/>
            <w:webHidden/>
          </w:rPr>
          <w:instrText xml:space="preserve"> PAGEREF _Toc372789611 \h </w:instrText>
        </w:r>
        <w:r w:rsidR="00466071">
          <w:rPr>
            <w:noProof/>
            <w:webHidden/>
          </w:rPr>
        </w:r>
        <w:r w:rsidR="00466071">
          <w:rPr>
            <w:noProof/>
            <w:webHidden/>
          </w:rPr>
          <w:fldChar w:fldCharType="separate"/>
        </w:r>
        <w:r>
          <w:rPr>
            <w:noProof/>
            <w:webHidden/>
          </w:rPr>
          <w:t>351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12" w:history="1">
        <w:r w:rsidR="00466071" w:rsidRPr="00282EF5">
          <w:rPr>
            <w:rStyle w:val="Hyperlink"/>
            <w:noProof/>
          </w:rPr>
          <w:t>13.16 Projetos a serem desenvolvidos em Aimorés</w:t>
        </w:r>
        <w:r w:rsidR="00466071">
          <w:rPr>
            <w:noProof/>
            <w:webHidden/>
          </w:rPr>
          <w:tab/>
        </w:r>
        <w:r w:rsidR="00466071">
          <w:rPr>
            <w:noProof/>
            <w:webHidden/>
          </w:rPr>
          <w:fldChar w:fldCharType="begin"/>
        </w:r>
        <w:r w:rsidR="00466071">
          <w:rPr>
            <w:noProof/>
            <w:webHidden/>
          </w:rPr>
          <w:instrText xml:space="preserve"> PAGEREF _Toc372789612 \h </w:instrText>
        </w:r>
        <w:r w:rsidR="00466071">
          <w:rPr>
            <w:noProof/>
            <w:webHidden/>
          </w:rPr>
        </w:r>
        <w:r w:rsidR="00466071">
          <w:rPr>
            <w:noProof/>
            <w:webHidden/>
          </w:rPr>
          <w:fldChar w:fldCharType="separate"/>
        </w:r>
        <w:r>
          <w:rPr>
            <w:noProof/>
            <w:webHidden/>
          </w:rPr>
          <w:t>354</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13" w:history="1">
        <w:r w:rsidR="00466071" w:rsidRPr="00282EF5">
          <w:rPr>
            <w:rStyle w:val="Hyperlink"/>
            <w:noProof/>
          </w:rPr>
          <w:t>13.16.1 Educação para a limpeza urbana</w:t>
        </w:r>
        <w:r w:rsidR="00466071">
          <w:rPr>
            <w:noProof/>
            <w:webHidden/>
          </w:rPr>
          <w:tab/>
        </w:r>
        <w:r w:rsidR="00466071">
          <w:rPr>
            <w:noProof/>
            <w:webHidden/>
          </w:rPr>
          <w:fldChar w:fldCharType="begin"/>
        </w:r>
        <w:r w:rsidR="00466071">
          <w:rPr>
            <w:noProof/>
            <w:webHidden/>
          </w:rPr>
          <w:instrText xml:space="preserve"> PAGEREF _Toc372789613 \h </w:instrText>
        </w:r>
        <w:r w:rsidR="00466071">
          <w:rPr>
            <w:noProof/>
            <w:webHidden/>
          </w:rPr>
        </w:r>
        <w:r w:rsidR="00466071">
          <w:rPr>
            <w:noProof/>
            <w:webHidden/>
          </w:rPr>
          <w:fldChar w:fldCharType="separate"/>
        </w:r>
        <w:r>
          <w:rPr>
            <w:noProof/>
            <w:webHidden/>
          </w:rPr>
          <w:t>354</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14" w:history="1">
        <w:r w:rsidR="00466071" w:rsidRPr="00282EF5">
          <w:rPr>
            <w:rStyle w:val="Hyperlink"/>
            <w:noProof/>
          </w:rPr>
          <w:t>13.16.2 Mobilização para os programas de reciclagem de resíduos</w:t>
        </w:r>
        <w:r w:rsidR="00466071">
          <w:rPr>
            <w:noProof/>
            <w:webHidden/>
          </w:rPr>
          <w:tab/>
        </w:r>
        <w:r w:rsidR="00466071">
          <w:rPr>
            <w:noProof/>
            <w:webHidden/>
          </w:rPr>
          <w:fldChar w:fldCharType="begin"/>
        </w:r>
        <w:r w:rsidR="00466071">
          <w:rPr>
            <w:noProof/>
            <w:webHidden/>
          </w:rPr>
          <w:instrText xml:space="preserve"> PAGEREF _Toc372789614 \h </w:instrText>
        </w:r>
        <w:r w:rsidR="00466071">
          <w:rPr>
            <w:noProof/>
            <w:webHidden/>
          </w:rPr>
        </w:r>
        <w:r w:rsidR="00466071">
          <w:rPr>
            <w:noProof/>
            <w:webHidden/>
          </w:rPr>
          <w:fldChar w:fldCharType="separate"/>
        </w:r>
        <w:r>
          <w:rPr>
            <w:noProof/>
            <w:webHidden/>
          </w:rPr>
          <w:t>354</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15" w:history="1">
        <w:r w:rsidR="00466071" w:rsidRPr="00282EF5">
          <w:rPr>
            <w:rStyle w:val="Hyperlink"/>
            <w:noProof/>
          </w:rPr>
          <w:t>13.16.3 Mobilização para outros projetos</w:t>
        </w:r>
        <w:r w:rsidR="00466071">
          <w:rPr>
            <w:noProof/>
            <w:webHidden/>
          </w:rPr>
          <w:tab/>
        </w:r>
        <w:r w:rsidR="00466071">
          <w:rPr>
            <w:noProof/>
            <w:webHidden/>
          </w:rPr>
          <w:fldChar w:fldCharType="begin"/>
        </w:r>
        <w:r w:rsidR="00466071">
          <w:rPr>
            <w:noProof/>
            <w:webHidden/>
          </w:rPr>
          <w:instrText xml:space="preserve"> PAGEREF _Toc372789615 \h </w:instrText>
        </w:r>
        <w:r w:rsidR="00466071">
          <w:rPr>
            <w:noProof/>
            <w:webHidden/>
          </w:rPr>
        </w:r>
        <w:r w:rsidR="00466071">
          <w:rPr>
            <w:noProof/>
            <w:webHidden/>
          </w:rPr>
          <w:fldChar w:fldCharType="separate"/>
        </w:r>
        <w:r>
          <w:rPr>
            <w:noProof/>
            <w:webHidden/>
          </w:rPr>
          <w:t>355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16" w:history="1">
        <w:r w:rsidR="00466071" w:rsidRPr="00282EF5">
          <w:rPr>
            <w:rStyle w:val="Hyperlink"/>
            <w:noProof/>
          </w:rPr>
          <w:t>13.17 Comunicação Social</w:t>
        </w:r>
        <w:r w:rsidR="00466071">
          <w:rPr>
            <w:noProof/>
            <w:webHidden/>
          </w:rPr>
          <w:tab/>
        </w:r>
        <w:r w:rsidR="00466071">
          <w:rPr>
            <w:noProof/>
            <w:webHidden/>
          </w:rPr>
          <w:fldChar w:fldCharType="begin"/>
        </w:r>
        <w:r w:rsidR="00466071">
          <w:rPr>
            <w:noProof/>
            <w:webHidden/>
          </w:rPr>
          <w:instrText xml:space="preserve"> PAGEREF _Toc372789616 \h </w:instrText>
        </w:r>
        <w:r w:rsidR="00466071">
          <w:rPr>
            <w:noProof/>
            <w:webHidden/>
          </w:rPr>
        </w:r>
        <w:r w:rsidR="00466071">
          <w:rPr>
            <w:noProof/>
            <w:webHidden/>
          </w:rPr>
          <w:fldChar w:fldCharType="separate"/>
        </w:r>
        <w:r>
          <w:rPr>
            <w:noProof/>
            <w:webHidden/>
          </w:rPr>
          <w:t>355</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17" w:history="1">
        <w:r w:rsidR="00466071" w:rsidRPr="00282EF5">
          <w:rPr>
            <w:rStyle w:val="Hyperlink"/>
            <w:noProof/>
          </w:rPr>
          <w:t>13.17.1 Capacitando a equipe de mobilização social</w:t>
        </w:r>
        <w:r w:rsidR="00466071">
          <w:rPr>
            <w:noProof/>
            <w:webHidden/>
          </w:rPr>
          <w:tab/>
        </w:r>
        <w:r w:rsidR="00466071">
          <w:rPr>
            <w:noProof/>
            <w:webHidden/>
          </w:rPr>
          <w:fldChar w:fldCharType="begin"/>
        </w:r>
        <w:r w:rsidR="00466071">
          <w:rPr>
            <w:noProof/>
            <w:webHidden/>
          </w:rPr>
          <w:instrText xml:space="preserve"> PAGEREF _Toc372789617 \h </w:instrText>
        </w:r>
        <w:r w:rsidR="00466071">
          <w:rPr>
            <w:noProof/>
            <w:webHidden/>
          </w:rPr>
        </w:r>
        <w:r w:rsidR="00466071">
          <w:rPr>
            <w:noProof/>
            <w:webHidden/>
          </w:rPr>
          <w:fldChar w:fldCharType="separate"/>
        </w:r>
        <w:r>
          <w:rPr>
            <w:noProof/>
            <w:webHidden/>
          </w:rPr>
          <w:t>356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18" w:history="1">
        <w:r w:rsidR="00466071" w:rsidRPr="00282EF5">
          <w:rPr>
            <w:rStyle w:val="Hyperlink"/>
            <w:noProof/>
          </w:rPr>
          <w:t>13.17.2 Mobilização Comunitária</w:t>
        </w:r>
        <w:r w:rsidR="00466071">
          <w:rPr>
            <w:noProof/>
            <w:webHidden/>
          </w:rPr>
          <w:tab/>
        </w:r>
        <w:r w:rsidR="00466071">
          <w:rPr>
            <w:noProof/>
            <w:webHidden/>
          </w:rPr>
          <w:fldChar w:fldCharType="begin"/>
        </w:r>
        <w:r w:rsidR="00466071">
          <w:rPr>
            <w:noProof/>
            <w:webHidden/>
          </w:rPr>
          <w:instrText xml:space="preserve"> PAGEREF _Toc372789618 \h </w:instrText>
        </w:r>
        <w:r w:rsidR="00466071">
          <w:rPr>
            <w:noProof/>
            <w:webHidden/>
          </w:rPr>
        </w:r>
        <w:r w:rsidR="00466071">
          <w:rPr>
            <w:noProof/>
            <w:webHidden/>
          </w:rPr>
          <w:fldChar w:fldCharType="separate"/>
        </w:r>
        <w:r>
          <w:rPr>
            <w:noProof/>
            <w:webHidden/>
          </w:rPr>
          <w:t>357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19" w:history="1">
        <w:r w:rsidR="00466071" w:rsidRPr="00282EF5">
          <w:rPr>
            <w:rStyle w:val="Hyperlink"/>
            <w:noProof/>
          </w:rPr>
          <w:t>13.18 Alguns problemas levantados pela comunidade durante a realização das audiências públicas do PMSB</w:t>
        </w:r>
        <w:r w:rsidR="00466071">
          <w:rPr>
            <w:noProof/>
            <w:webHidden/>
          </w:rPr>
          <w:tab/>
        </w:r>
        <w:r w:rsidR="00466071">
          <w:rPr>
            <w:noProof/>
            <w:webHidden/>
          </w:rPr>
          <w:fldChar w:fldCharType="begin"/>
        </w:r>
        <w:r w:rsidR="00466071">
          <w:rPr>
            <w:noProof/>
            <w:webHidden/>
          </w:rPr>
          <w:instrText xml:space="preserve"> PAGEREF _Toc372789619 \h </w:instrText>
        </w:r>
        <w:r w:rsidR="00466071">
          <w:rPr>
            <w:noProof/>
            <w:webHidden/>
          </w:rPr>
        </w:r>
        <w:r w:rsidR="00466071">
          <w:rPr>
            <w:noProof/>
            <w:webHidden/>
          </w:rPr>
          <w:fldChar w:fldCharType="separate"/>
        </w:r>
        <w:r>
          <w:rPr>
            <w:noProof/>
            <w:webHidden/>
          </w:rPr>
          <w:t>358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20" w:history="1">
        <w:r w:rsidR="00466071" w:rsidRPr="00282EF5">
          <w:rPr>
            <w:rStyle w:val="Hyperlink"/>
            <w:noProof/>
          </w:rPr>
          <w:t>14 DRENAGEM E MANEJO DAS ÁGUAS PLUVIAIS URBANAS</w:t>
        </w:r>
        <w:r w:rsidR="00466071">
          <w:rPr>
            <w:noProof/>
            <w:webHidden/>
          </w:rPr>
          <w:tab/>
        </w:r>
        <w:r w:rsidR="00466071">
          <w:rPr>
            <w:noProof/>
            <w:webHidden/>
          </w:rPr>
          <w:fldChar w:fldCharType="begin"/>
        </w:r>
        <w:r w:rsidR="00466071">
          <w:rPr>
            <w:noProof/>
            <w:webHidden/>
          </w:rPr>
          <w:instrText xml:space="preserve"> PAGEREF _Toc372789620 \h </w:instrText>
        </w:r>
        <w:r w:rsidR="00466071">
          <w:rPr>
            <w:noProof/>
            <w:webHidden/>
          </w:rPr>
        </w:r>
        <w:r w:rsidR="00466071">
          <w:rPr>
            <w:noProof/>
            <w:webHidden/>
          </w:rPr>
          <w:fldChar w:fldCharType="separate"/>
        </w:r>
        <w:r>
          <w:rPr>
            <w:noProof/>
            <w:webHidden/>
          </w:rPr>
          <w:t>361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21" w:history="1">
        <w:r w:rsidR="00466071" w:rsidRPr="00282EF5">
          <w:rPr>
            <w:rStyle w:val="Hyperlink"/>
            <w:noProof/>
          </w:rPr>
          <w:t>14.1 Introdução</w:t>
        </w:r>
        <w:r w:rsidR="00466071">
          <w:rPr>
            <w:noProof/>
            <w:webHidden/>
          </w:rPr>
          <w:tab/>
        </w:r>
        <w:r w:rsidR="00466071">
          <w:rPr>
            <w:noProof/>
            <w:webHidden/>
          </w:rPr>
          <w:fldChar w:fldCharType="begin"/>
        </w:r>
        <w:r w:rsidR="00466071">
          <w:rPr>
            <w:noProof/>
            <w:webHidden/>
          </w:rPr>
          <w:instrText xml:space="preserve"> PAGEREF _Toc372789621 \h </w:instrText>
        </w:r>
        <w:r w:rsidR="00466071">
          <w:rPr>
            <w:noProof/>
            <w:webHidden/>
          </w:rPr>
        </w:r>
        <w:r w:rsidR="00466071">
          <w:rPr>
            <w:noProof/>
            <w:webHidden/>
          </w:rPr>
          <w:fldChar w:fldCharType="separate"/>
        </w:r>
        <w:r>
          <w:rPr>
            <w:noProof/>
            <w:webHidden/>
          </w:rPr>
          <w:t>361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22" w:history="1">
        <w:r w:rsidR="00466071" w:rsidRPr="00282EF5">
          <w:rPr>
            <w:rStyle w:val="Hyperlink"/>
            <w:noProof/>
          </w:rPr>
          <w:t>14.2 Permeabilidade dos Solos</w:t>
        </w:r>
        <w:r w:rsidR="00466071">
          <w:rPr>
            <w:noProof/>
            <w:webHidden/>
          </w:rPr>
          <w:tab/>
        </w:r>
        <w:r w:rsidR="00466071">
          <w:rPr>
            <w:noProof/>
            <w:webHidden/>
          </w:rPr>
          <w:fldChar w:fldCharType="begin"/>
        </w:r>
        <w:r w:rsidR="00466071">
          <w:rPr>
            <w:noProof/>
            <w:webHidden/>
          </w:rPr>
          <w:instrText xml:space="preserve"> PAGEREF _Toc372789622 \h </w:instrText>
        </w:r>
        <w:r w:rsidR="00466071">
          <w:rPr>
            <w:noProof/>
            <w:webHidden/>
          </w:rPr>
        </w:r>
        <w:r w:rsidR="00466071">
          <w:rPr>
            <w:noProof/>
            <w:webHidden/>
          </w:rPr>
          <w:fldChar w:fldCharType="separate"/>
        </w:r>
        <w:r>
          <w:rPr>
            <w:noProof/>
            <w:webHidden/>
          </w:rPr>
          <w:t>362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23" w:history="1">
        <w:r w:rsidR="00466071" w:rsidRPr="00282EF5">
          <w:rPr>
            <w:rStyle w:val="Hyperlink"/>
            <w:noProof/>
          </w:rPr>
          <w:t>14.3 Coeficientes de Escoamento Superficiais – Dados Bibliográficos para Tempo de Retorno de 25 Anos</w:t>
        </w:r>
        <w:r w:rsidR="00466071">
          <w:rPr>
            <w:noProof/>
            <w:webHidden/>
          </w:rPr>
          <w:tab/>
        </w:r>
        <w:r w:rsidR="00466071">
          <w:rPr>
            <w:noProof/>
            <w:webHidden/>
          </w:rPr>
          <w:fldChar w:fldCharType="begin"/>
        </w:r>
        <w:r w:rsidR="00466071">
          <w:rPr>
            <w:noProof/>
            <w:webHidden/>
          </w:rPr>
          <w:instrText xml:space="preserve"> PAGEREF _Toc372789623 \h </w:instrText>
        </w:r>
        <w:r w:rsidR="00466071">
          <w:rPr>
            <w:noProof/>
            <w:webHidden/>
          </w:rPr>
        </w:r>
        <w:r w:rsidR="00466071">
          <w:rPr>
            <w:noProof/>
            <w:webHidden/>
          </w:rPr>
          <w:fldChar w:fldCharType="separate"/>
        </w:r>
        <w:r>
          <w:rPr>
            <w:noProof/>
            <w:webHidden/>
          </w:rPr>
          <w:t>363</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24" w:history="1">
        <w:r w:rsidR="00466071" w:rsidRPr="00282EF5">
          <w:rPr>
            <w:rStyle w:val="Hyperlink"/>
            <w:noProof/>
          </w:rPr>
          <w:t>14.4.1 Ciclos do Escoamento</w:t>
        </w:r>
        <w:r w:rsidR="00466071">
          <w:rPr>
            <w:noProof/>
            <w:webHidden/>
          </w:rPr>
          <w:tab/>
        </w:r>
        <w:r w:rsidR="00466071">
          <w:rPr>
            <w:noProof/>
            <w:webHidden/>
          </w:rPr>
          <w:fldChar w:fldCharType="begin"/>
        </w:r>
        <w:r w:rsidR="00466071">
          <w:rPr>
            <w:noProof/>
            <w:webHidden/>
          </w:rPr>
          <w:instrText xml:space="preserve"> PAGEREF _Toc372789624 \h </w:instrText>
        </w:r>
        <w:r w:rsidR="00466071">
          <w:rPr>
            <w:noProof/>
            <w:webHidden/>
          </w:rPr>
        </w:r>
        <w:r w:rsidR="00466071">
          <w:rPr>
            <w:noProof/>
            <w:webHidden/>
          </w:rPr>
          <w:fldChar w:fldCharType="separate"/>
        </w:r>
        <w:r>
          <w:rPr>
            <w:noProof/>
            <w:webHidden/>
          </w:rPr>
          <w:t>363</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25" w:history="1">
        <w:r w:rsidR="00466071" w:rsidRPr="00282EF5">
          <w:rPr>
            <w:rStyle w:val="Hyperlink"/>
            <w:noProof/>
          </w:rPr>
          <w:t>14.5 Componentes do Escoamento</w:t>
        </w:r>
        <w:r w:rsidR="00466071">
          <w:rPr>
            <w:noProof/>
            <w:webHidden/>
          </w:rPr>
          <w:tab/>
        </w:r>
        <w:r w:rsidR="00466071">
          <w:rPr>
            <w:noProof/>
            <w:webHidden/>
          </w:rPr>
          <w:fldChar w:fldCharType="begin"/>
        </w:r>
        <w:r w:rsidR="00466071">
          <w:rPr>
            <w:noProof/>
            <w:webHidden/>
          </w:rPr>
          <w:instrText xml:space="preserve"> PAGEREF _Toc372789625 \h </w:instrText>
        </w:r>
        <w:r w:rsidR="00466071">
          <w:rPr>
            <w:noProof/>
            <w:webHidden/>
          </w:rPr>
        </w:r>
        <w:r w:rsidR="00466071">
          <w:rPr>
            <w:noProof/>
            <w:webHidden/>
          </w:rPr>
          <w:fldChar w:fldCharType="separate"/>
        </w:r>
        <w:r>
          <w:rPr>
            <w:noProof/>
            <w:webHidden/>
          </w:rPr>
          <w:t>366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26" w:history="1">
        <w:r w:rsidR="00466071" w:rsidRPr="00282EF5">
          <w:rPr>
            <w:rStyle w:val="Hyperlink"/>
            <w:noProof/>
          </w:rPr>
          <w:t>14.5.1 Fatores que Influenciam no Escoamento Superficial</w:t>
        </w:r>
        <w:r w:rsidR="00466071">
          <w:rPr>
            <w:noProof/>
            <w:webHidden/>
          </w:rPr>
          <w:tab/>
        </w:r>
        <w:r w:rsidR="00466071">
          <w:rPr>
            <w:noProof/>
            <w:webHidden/>
          </w:rPr>
          <w:fldChar w:fldCharType="begin"/>
        </w:r>
        <w:r w:rsidR="00466071">
          <w:rPr>
            <w:noProof/>
            <w:webHidden/>
          </w:rPr>
          <w:instrText xml:space="preserve"> PAGEREF _Toc372789626 \h </w:instrText>
        </w:r>
        <w:r w:rsidR="00466071">
          <w:rPr>
            <w:noProof/>
            <w:webHidden/>
          </w:rPr>
        </w:r>
        <w:r w:rsidR="00466071">
          <w:rPr>
            <w:noProof/>
            <w:webHidden/>
          </w:rPr>
          <w:fldChar w:fldCharType="separate"/>
        </w:r>
        <w:r>
          <w:rPr>
            <w:noProof/>
            <w:webHidden/>
          </w:rPr>
          <w:t>367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27" w:history="1">
        <w:r w:rsidR="00466071" w:rsidRPr="00282EF5">
          <w:rPr>
            <w:rStyle w:val="Hyperlink"/>
            <w:noProof/>
          </w:rPr>
          <w:t>1</w:t>
        </w:r>
        <w:r w:rsidR="00031935">
          <w:rPr>
            <w:rStyle w:val="Hyperlink"/>
            <w:noProof/>
          </w:rPr>
          <w:t>4</w:t>
        </w:r>
        <w:r w:rsidR="00466071" w:rsidRPr="00282EF5">
          <w:rPr>
            <w:rStyle w:val="Hyperlink"/>
            <w:noProof/>
          </w:rPr>
          <w:t>.5.2 Métodos de Avaliação do Escoamento Superficial</w:t>
        </w:r>
        <w:r w:rsidR="00466071">
          <w:rPr>
            <w:noProof/>
            <w:webHidden/>
          </w:rPr>
          <w:tab/>
        </w:r>
        <w:r w:rsidR="00466071">
          <w:rPr>
            <w:noProof/>
            <w:webHidden/>
          </w:rPr>
          <w:fldChar w:fldCharType="begin"/>
        </w:r>
        <w:r w:rsidR="00466071">
          <w:rPr>
            <w:noProof/>
            <w:webHidden/>
          </w:rPr>
          <w:instrText xml:space="preserve"> PAGEREF _Toc372789627 \h </w:instrText>
        </w:r>
        <w:r w:rsidR="00466071">
          <w:rPr>
            <w:noProof/>
            <w:webHidden/>
          </w:rPr>
        </w:r>
        <w:r w:rsidR="00466071">
          <w:rPr>
            <w:noProof/>
            <w:webHidden/>
          </w:rPr>
          <w:fldChar w:fldCharType="separate"/>
        </w:r>
        <w:r>
          <w:rPr>
            <w:noProof/>
            <w:webHidden/>
          </w:rPr>
          <w:t>368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28" w:history="1">
        <w:r w:rsidR="00466071" w:rsidRPr="00282EF5">
          <w:rPr>
            <w:rStyle w:val="Hyperlink"/>
            <w:noProof/>
          </w:rPr>
          <w:t>1</w:t>
        </w:r>
        <w:r w:rsidR="00031935">
          <w:rPr>
            <w:rStyle w:val="Hyperlink"/>
            <w:noProof/>
          </w:rPr>
          <w:t>4</w:t>
        </w:r>
        <w:r w:rsidR="00466071" w:rsidRPr="00282EF5">
          <w:rPr>
            <w:rStyle w:val="Hyperlink"/>
            <w:noProof/>
          </w:rPr>
          <w:t>.6 Drenagem Urbana em Microbacias</w:t>
        </w:r>
        <w:r w:rsidR="00466071">
          <w:rPr>
            <w:noProof/>
            <w:webHidden/>
          </w:rPr>
          <w:tab/>
        </w:r>
        <w:r w:rsidR="00466071">
          <w:rPr>
            <w:noProof/>
            <w:webHidden/>
          </w:rPr>
          <w:fldChar w:fldCharType="begin"/>
        </w:r>
        <w:r w:rsidR="00466071">
          <w:rPr>
            <w:noProof/>
            <w:webHidden/>
          </w:rPr>
          <w:instrText xml:space="preserve"> PAGEREF _Toc372789628 \h </w:instrText>
        </w:r>
        <w:r w:rsidR="00466071">
          <w:rPr>
            <w:noProof/>
            <w:webHidden/>
          </w:rPr>
        </w:r>
        <w:r w:rsidR="00466071">
          <w:rPr>
            <w:noProof/>
            <w:webHidden/>
          </w:rPr>
          <w:fldChar w:fldCharType="separate"/>
        </w:r>
        <w:r>
          <w:rPr>
            <w:noProof/>
            <w:webHidden/>
          </w:rPr>
          <w:t>371</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29" w:history="1">
        <w:r w:rsidR="00466071" w:rsidRPr="00282EF5">
          <w:rPr>
            <w:rStyle w:val="Hyperlink"/>
            <w:noProof/>
          </w:rPr>
          <w:t>1</w:t>
        </w:r>
        <w:r w:rsidR="00031935">
          <w:rPr>
            <w:rStyle w:val="Hyperlink"/>
            <w:noProof/>
          </w:rPr>
          <w:t>4</w:t>
        </w:r>
        <w:r w:rsidR="00466071" w:rsidRPr="00282EF5">
          <w:rPr>
            <w:rStyle w:val="Hyperlink"/>
            <w:noProof/>
          </w:rPr>
          <w:t>.7 Microdrenagem: Cenário Existente</w:t>
        </w:r>
        <w:r w:rsidR="00466071">
          <w:rPr>
            <w:noProof/>
            <w:webHidden/>
          </w:rPr>
          <w:tab/>
        </w:r>
        <w:r w:rsidR="00466071">
          <w:rPr>
            <w:noProof/>
            <w:webHidden/>
          </w:rPr>
          <w:fldChar w:fldCharType="begin"/>
        </w:r>
        <w:r w:rsidR="00466071">
          <w:rPr>
            <w:noProof/>
            <w:webHidden/>
          </w:rPr>
          <w:instrText xml:space="preserve"> PAGEREF _Toc372789629 \h </w:instrText>
        </w:r>
        <w:r w:rsidR="00466071">
          <w:rPr>
            <w:noProof/>
            <w:webHidden/>
          </w:rPr>
        </w:r>
        <w:r w:rsidR="00466071">
          <w:rPr>
            <w:noProof/>
            <w:webHidden/>
          </w:rPr>
          <w:fldChar w:fldCharType="separate"/>
        </w:r>
        <w:r>
          <w:rPr>
            <w:noProof/>
            <w:webHidden/>
          </w:rPr>
          <w:t>372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30" w:history="1">
        <w:r w:rsidR="00466071" w:rsidRPr="00282EF5">
          <w:rPr>
            <w:rStyle w:val="Hyperlink"/>
            <w:noProof/>
          </w:rPr>
          <w:t>1</w:t>
        </w:r>
        <w:r w:rsidR="00031935">
          <w:rPr>
            <w:rStyle w:val="Hyperlink"/>
            <w:noProof/>
          </w:rPr>
          <w:t>4</w:t>
        </w:r>
        <w:r w:rsidR="00466071" w:rsidRPr="00282EF5">
          <w:rPr>
            <w:rStyle w:val="Hyperlink"/>
            <w:noProof/>
          </w:rPr>
          <w:t>.8 Considerações Finais</w:t>
        </w:r>
        <w:r w:rsidR="00466071">
          <w:rPr>
            <w:noProof/>
            <w:webHidden/>
          </w:rPr>
          <w:tab/>
        </w:r>
        <w:r w:rsidR="00466071">
          <w:rPr>
            <w:noProof/>
            <w:webHidden/>
          </w:rPr>
          <w:fldChar w:fldCharType="begin"/>
        </w:r>
        <w:r w:rsidR="00466071">
          <w:rPr>
            <w:noProof/>
            <w:webHidden/>
          </w:rPr>
          <w:instrText xml:space="preserve"> PAGEREF _Toc372789630 \h </w:instrText>
        </w:r>
        <w:r w:rsidR="00466071">
          <w:rPr>
            <w:noProof/>
            <w:webHidden/>
          </w:rPr>
        </w:r>
        <w:r w:rsidR="00466071">
          <w:rPr>
            <w:noProof/>
            <w:webHidden/>
          </w:rPr>
          <w:fldChar w:fldCharType="separate"/>
        </w:r>
        <w:r>
          <w:rPr>
            <w:noProof/>
            <w:webHidden/>
          </w:rPr>
          <w:t>376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31" w:history="1">
        <w:r w:rsidR="00466071" w:rsidRPr="00282EF5">
          <w:rPr>
            <w:rStyle w:val="Hyperlink"/>
            <w:noProof/>
          </w:rPr>
          <w:t>1</w:t>
        </w:r>
        <w:r w:rsidR="00031935">
          <w:rPr>
            <w:rStyle w:val="Hyperlink"/>
            <w:noProof/>
          </w:rPr>
          <w:t>4</w:t>
        </w:r>
        <w:r w:rsidR="00466071" w:rsidRPr="00282EF5">
          <w:rPr>
            <w:rStyle w:val="Hyperlink"/>
            <w:noProof/>
          </w:rPr>
          <w:t>.9 Planejamento e Prevenção</w:t>
        </w:r>
        <w:r w:rsidR="00466071">
          <w:rPr>
            <w:noProof/>
            <w:webHidden/>
          </w:rPr>
          <w:tab/>
        </w:r>
        <w:r w:rsidR="00466071">
          <w:rPr>
            <w:noProof/>
            <w:webHidden/>
          </w:rPr>
          <w:fldChar w:fldCharType="begin"/>
        </w:r>
        <w:r w:rsidR="00466071">
          <w:rPr>
            <w:noProof/>
            <w:webHidden/>
          </w:rPr>
          <w:instrText xml:space="preserve"> PAGEREF _Toc372789631 \h </w:instrText>
        </w:r>
        <w:r w:rsidR="00466071">
          <w:rPr>
            <w:noProof/>
            <w:webHidden/>
          </w:rPr>
        </w:r>
        <w:r w:rsidR="00466071">
          <w:rPr>
            <w:noProof/>
            <w:webHidden/>
          </w:rPr>
          <w:fldChar w:fldCharType="separate"/>
        </w:r>
        <w:r>
          <w:rPr>
            <w:noProof/>
            <w:webHidden/>
          </w:rPr>
          <w:t>376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32" w:history="1">
        <w:r w:rsidR="00466071" w:rsidRPr="00282EF5">
          <w:rPr>
            <w:rStyle w:val="Hyperlink"/>
            <w:noProof/>
          </w:rPr>
          <w:t>1</w:t>
        </w:r>
        <w:r w:rsidR="00031935">
          <w:rPr>
            <w:rStyle w:val="Hyperlink"/>
            <w:noProof/>
          </w:rPr>
          <w:t>4</w:t>
        </w:r>
        <w:r w:rsidR="00466071" w:rsidRPr="00282EF5">
          <w:rPr>
            <w:rStyle w:val="Hyperlink"/>
            <w:noProof/>
          </w:rPr>
          <w:t>.10 Dados Necessários para a Elaboração de Projetos de Microdrenagem</w:t>
        </w:r>
        <w:r w:rsidR="00466071">
          <w:rPr>
            <w:noProof/>
            <w:webHidden/>
          </w:rPr>
          <w:tab/>
        </w:r>
        <w:r w:rsidR="00466071">
          <w:rPr>
            <w:noProof/>
            <w:webHidden/>
          </w:rPr>
          <w:fldChar w:fldCharType="begin"/>
        </w:r>
        <w:r w:rsidR="00466071">
          <w:rPr>
            <w:noProof/>
            <w:webHidden/>
          </w:rPr>
          <w:instrText xml:space="preserve"> PAGEREF _Toc372789632 \h </w:instrText>
        </w:r>
        <w:r w:rsidR="00466071">
          <w:rPr>
            <w:noProof/>
            <w:webHidden/>
          </w:rPr>
        </w:r>
        <w:r w:rsidR="00466071">
          <w:rPr>
            <w:noProof/>
            <w:webHidden/>
          </w:rPr>
          <w:fldChar w:fldCharType="separate"/>
        </w:r>
        <w:r>
          <w:rPr>
            <w:noProof/>
            <w:webHidden/>
          </w:rPr>
          <w:t>376</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33" w:history="1">
        <w:r w:rsidR="00466071" w:rsidRPr="00282EF5">
          <w:rPr>
            <w:rStyle w:val="Hyperlink"/>
            <w:noProof/>
          </w:rPr>
          <w:t>1</w:t>
        </w:r>
        <w:r w:rsidR="00031935">
          <w:rPr>
            <w:rStyle w:val="Hyperlink"/>
            <w:noProof/>
          </w:rPr>
          <w:t>4</w:t>
        </w:r>
        <w:r w:rsidR="00466071" w:rsidRPr="00282EF5">
          <w:rPr>
            <w:rStyle w:val="Hyperlink"/>
            <w:noProof/>
          </w:rPr>
          <w:t>.11 Configuração da drenagem</w:t>
        </w:r>
        <w:r w:rsidR="00466071">
          <w:rPr>
            <w:noProof/>
            <w:webHidden/>
          </w:rPr>
          <w:tab/>
        </w:r>
        <w:r w:rsidR="00466071">
          <w:rPr>
            <w:noProof/>
            <w:webHidden/>
          </w:rPr>
          <w:fldChar w:fldCharType="begin"/>
        </w:r>
        <w:r w:rsidR="00466071">
          <w:rPr>
            <w:noProof/>
            <w:webHidden/>
          </w:rPr>
          <w:instrText xml:space="preserve"> PAGEREF _Toc372789633 \h </w:instrText>
        </w:r>
        <w:r w:rsidR="00466071">
          <w:rPr>
            <w:noProof/>
            <w:webHidden/>
          </w:rPr>
        </w:r>
        <w:r w:rsidR="00466071">
          <w:rPr>
            <w:noProof/>
            <w:webHidden/>
          </w:rPr>
          <w:fldChar w:fldCharType="separate"/>
        </w:r>
        <w:r>
          <w:rPr>
            <w:noProof/>
            <w:webHidden/>
          </w:rPr>
          <w:t>377</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34" w:history="1">
        <w:r w:rsidR="00466071" w:rsidRPr="00282EF5">
          <w:rPr>
            <w:rStyle w:val="Hyperlink"/>
            <w:noProof/>
          </w:rPr>
          <w:t>1</w:t>
        </w:r>
        <w:r w:rsidR="00031935">
          <w:rPr>
            <w:rStyle w:val="Hyperlink"/>
            <w:noProof/>
          </w:rPr>
          <w:t>4</w:t>
        </w:r>
        <w:r w:rsidR="00466071" w:rsidRPr="00282EF5">
          <w:rPr>
            <w:rStyle w:val="Hyperlink"/>
            <w:noProof/>
          </w:rPr>
          <w:t>.11.1 Critérios para o traçado da Rede Pluvial</w:t>
        </w:r>
        <w:r w:rsidR="00466071">
          <w:rPr>
            <w:noProof/>
            <w:webHidden/>
          </w:rPr>
          <w:tab/>
        </w:r>
        <w:r w:rsidR="00466071">
          <w:rPr>
            <w:noProof/>
            <w:webHidden/>
          </w:rPr>
          <w:fldChar w:fldCharType="begin"/>
        </w:r>
        <w:r w:rsidR="00466071">
          <w:rPr>
            <w:noProof/>
            <w:webHidden/>
          </w:rPr>
          <w:instrText xml:space="preserve"> PAGEREF _Toc372789634 \h </w:instrText>
        </w:r>
        <w:r w:rsidR="00466071">
          <w:rPr>
            <w:noProof/>
            <w:webHidden/>
          </w:rPr>
        </w:r>
        <w:r w:rsidR="00466071">
          <w:rPr>
            <w:noProof/>
            <w:webHidden/>
          </w:rPr>
          <w:fldChar w:fldCharType="separate"/>
        </w:r>
        <w:r>
          <w:rPr>
            <w:noProof/>
            <w:webHidden/>
          </w:rPr>
          <w:t>378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35" w:history="1">
        <w:r w:rsidR="00466071" w:rsidRPr="00282EF5">
          <w:rPr>
            <w:rStyle w:val="Hyperlink"/>
            <w:noProof/>
          </w:rPr>
          <w:t>1</w:t>
        </w:r>
        <w:r w:rsidR="00031935">
          <w:rPr>
            <w:rStyle w:val="Hyperlink"/>
            <w:noProof/>
          </w:rPr>
          <w:t>4</w:t>
        </w:r>
        <w:r w:rsidR="00466071" w:rsidRPr="00282EF5">
          <w:rPr>
            <w:rStyle w:val="Hyperlink"/>
            <w:noProof/>
          </w:rPr>
          <w:t>.11.2 Componentes da Rede Hidráulica</w:t>
        </w:r>
        <w:r w:rsidR="00466071">
          <w:rPr>
            <w:noProof/>
            <w:webHidden/>
          </w:rPr>
          <w:tab/>
        </w:r>
        <w:r w:rsidR="00466071">
          <w:rPr>
            <w:noProof/>
            <w:webHidden/>
          </w:rPr>
          <w:fldChar w:fldCharType="begin"/>
        </w:r>
        <w:r w:rsidR="00466071">
          <w:rPr>
            <w:noProof/>
            <w:webHidden/>
          </w:rPr>
          <w:instrText xml:space="preserve"> PAGEREF _Toc372789635 \h </w:instrText>
        </w:r>
        <w:r w:rsidR="00466071">
          <w:rPr>
            <w:noProof/>
            <w:webHidden/>
          </w:rPr>
        </w:r>
        <w:r w:rsidR="00466071">
          <w:rPr>
            <w:noProof/>
            <w:webHidden/>
          </w:rPr>
          <w:fldChar w:fldCharType="separate"/>
        </w:r>
        <w:r>
          <w:rPr>
            <w:noProof/>
            <w:webHidden/>
          </w:rPr>
          <w:t>378</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36" w:history="1">
        <w:r w:rsidR="00466071" w:rsidRPr="00282EF5">
          <w:rPr>
            <w:rStyle w:val="Hyperlink"/>
            <w:noProof/>
          </w:rPr>
          <w:t>1</w:t>
        </w:r>
        <w:r w:rsidR="00031935">
          <w:rPr>
            <w:rStyle w:val="Hyperlink"/>
            <w:noProof/>
          </w:rPr>
          <w:t>4</w:t>
        </w:r>
        <w:r w:rsidR="00466071" w:rsidRPr="00282EF5">
          <w:rPr>
            <w:rStyle w:val="Hyperlink"/>
            <w:noProof/>
          </w:rPr>
          <w:t>.11.3 Controle da Vazão Utilizando Amortecimento</w:t>
        </w:r>
        <w:r w:rsidR="00466071">
          <w:rPr>
            <w:noProof/>
            <w:webHidden/>
          </w:rPr>
          <w:tab/>
        </w:r>
        <w:r w:rsidR="00466071">
          <w:rPr>
            <w:noProof/>
            <w:webHidden/>
          </w:rPr>
          <w:fldChar w:fldCharType="begin"/>
        </w:r>
        <w:r w:rsidR="00466071">
          <w:rPr>
            <w:noProof/>
            <w:webHidden/>
          </w:rPr>
          <w:instrText xml:space="preserve"> PAGEREF _Toc372789636 \h </w:instrText>
        </w:r>
        <w:r w:rsidR="00466071">
          <w:rPr>
            <w:noProof/>
            <w:webHidden/>
          </w:rPr>
        </w:r>
        <w:r w:rsidR="00466071">
          <w:rPr>
            <w:noProof/>
            <w:webHidden/>
          </w:rPr>
          <w:fldChar w:fldCharType="separate"/>
        </w:r>
        <w:r>
          <w:rPr>
            <w:noProof/>
            <w:webHidden/>
          </w:rPr>
          <w:t>379</w:t>
        </w:r>
        <w:r w:rsidR="00466071">
          <w:rPr>
            <w:noProof/>
            <w:webHidden/>
          </w:rPr>
          <w:fldChar w:fldCharType="end"/>
        </w:r>
      </w:hyperlink>
    </w:p>
    <w:p w:rsidR="00466071" w:rsidRDefault="004F77E2">
      <w:pPr>
        <w:pStyle w:val="Sumrio1"/>
        <w:rPr>
          <w:noProof/>
        </w:rPr>
      </w:pPr>
      <w:hyperlink w:anchor="_Toc372789637" w:history="1">
        <w:r w:rsidR="00466071" w:rsidRPr="00282EF5">
          <w:rPr>
            <w:rStyle w:val="Hyperlink"/>
            <w:noProof/>
          </w:rPr>
          <w:t>1</w:t>
        </w:r>
        <w:r w:rsidR="00031935">
          <w:rPr>
            <w:rStyle w:val="Hyperlink"/>
            <w:noProof/>
          </w:rPr>
          <w:t>4</w:t>
        </w:r>
        <w:r w:rsidR="00466071" w:rsidRPr="00282EF5">
          <w:rPr>
            <w:rStyle w:val="Hyperlink"/>
            <w:noProof/>
          </w:rPr>
          <w:t>.12 Macrodrenagem: Cenário Existente</w:t>
        </w:r>
        <w:r w:rsidR="00466071">
          <w:rPr>
            <w:noProof/>
            <w:webHidden/>
          </w:rPr>
          <w:tab/>
        </w:r>
        <w:r w:rsidR="00466071">
          <w:rPr>
            <w:noProof/>
            <w:webHidden/>
          </w:rPr>
          <w:fldChar w:fldCharType="begin"/>
        </w:r>
        <w:r w:rsidR="00466071">
          <w:rPr>
            <w:noProof/>
            <w:webHidden/>
          </w:rPr>
          <w:instrText xml:space="preserve"> PAGEREF _Toc372789637 \h </w:instrText>
        </w:r>
        <w:r w:rsidR="00466071">
          <w:rPr>
            <w:noProof/>
            <w:webHidden/>
          </w:rPr>
        </w:r>
        <w:r w:rsidR="00466071">
          <w:rPr>
            <w:noProof/>
            <w:webHidden/>
          </w:rPr>
          <w:fldChar w:fldCharType="separate"/>
        </w:r>
        <w:r>
          <w:rPr>
            <w:noProof/>
            <w:webHidden/>
          </w:rPr>
          <w:t>381</w:t>
        </w:r>
        <w:r w:rsidR="00466071">
          <w:rPr>
            <w:noProof/>
            <w:webHidden/>
          </w:rPr>
          <w:fldChar w:fldCharType="end"/>
        </w:r>
      </w:hyperlink>
    </w:p>
    <w:p w:rsidR="00031935" w:rsidRDefault="004F77E2" w:rsidP="00031935">
      <w:pPr>
        <w:pStyle w:val="Sumrio1"/>
        <w:rPr>
          <w:rFonts w:asciiTheme="minorHAnsi" w:eastAsiaTheme="minorEastAsia" w:hAnsiTheme="minorHAnsi"/>
          <w:noProof/>
          <w:sz w:val="22"/>
          <w:lang w:eastAsia="pt-BR"/>
        </w:rPr>
      </w:pPr>
      <w:hyperlink w:anchor="_Toc372789545" w:history="1">
        <w:r w:rsidR="00031935" w:rsidRPr="00282EF5">
          <w:rPr>
            <w:rStyle w:val="Hyperlink"/>
            <w:noProof/>
          </w:rPr>
          <w:t>1</w:t>
        </w:r>
        <w:r w:rsidR="00031935">
          <w:rPr>
            <w:rStyle w:val="Hyperlink"/>
            <w:noProof/>
          </w:rPr>
          <w:t>4</w:t>
        </w:r>
        <w:r w:rsidR="00031935" w:rsidRPr="00282EF5">
          <w:rPr>
            <w:rStyle w:val="Hyperlink"/>
            <w:noProof/>
          </w:rPr>
          <w:t>.</w:t>
        </w:r>
        <w:r w:rsidR="00031935">
          <w:rPr>
            <w:rStyle w:val="Hyperlink"/>
            <w:noProof/>
          </w:rPr>
          <w:t>13</w:t>
        </w:r>
        <w:r w:rsidR="00031935" w:rsidRPr="00282EF5">
          <w:rPr>
            <w:rStyle w:val="Hyperlink"/>
            <w:noProof/>
          </w:rPr>
          <w:t xml:space="preserve"> </w:t>
        </w:r>
        <w:r w:rsidR="00031935">
          <w:rPr>
            <w:rStyle w:val="Hyperlink"/>
            <w:noProof/>
          </w:rPr>
          <w:t>Comunicação Social</w:t>
        </w:r>
        <w:r w:rsidR="00031935">
          <w:rPr>
            <w:noProof/>
            <w:webHidden/>
          </w:rPr>
          <w:tab/>
          <w:t>373</w:t>
        </w:r>
      </w:hyperlink>
    </w:p>
    <w:p w:rsidR="00031935" w:rsidRDefault="004F77E2" w:rsidP="00031935">
      <w:pPr>
        <w:pStyle w:val="Sumrio1"/>
        <w:rPr>
          <w:rFonts w:asciiTheme="minorHAnsi" w:eastAsiaTheme="minorEastAsia" w:hAnsiTheme="minorHAnsi"/>
          <w:noProof/>
          <w:sz w:val="22"/>
          <w:lang w:eastAsia="pt-BR"/>
        </w:rPr>
      </w:pPr>
      <w:hyperlink w:anchor="_Toc372789546" w:history="1">
        <w:r w:rsidR="00031935" w:rsidRPr="00282EF5">
          <w:rPr>
            <w:rStyle w:val="Hyperlink"/>
            <w:noProof/>
          </w:rPr>
          <w:t>1</w:t>
        </w:r>
        <w:r w:rsidR="00031935">
          <w:rPr>
            <w:rStyle w:val="Hyperlink"/>
            <w:noProof/>
          </w:rPr>
          <w:t>4</w:t>
        </w:r>
        <w:r w:rsidR="00031935" w:rsidRPr="00282EF5">
          <w:rPr>
            <w:rStyle w:val="Hyperlink"/>
            <w:noProof/>
          </w:rPr>
          <w:t>.</w:t>
        </w:r>
        <w:r w:rsidR="00031935">
          <w:rPr>
            <w:rStyle w:val="Hyperlink"/>
            <w:noProof/>
          </w:rPr>
          <w:t>13</w:t>
        </w:r>
        <w:r w:rsidR="00031935" w:rsidRPr="00282EF5">
          <w:rPr>
            <w:rStyle w:val="Hyperlink"/>
            <w:noProof/>
          </w:rPr>
          <w:t xml:space="preserve">.1 </w:t>
        </w:r>
        <w:r w:rsidR="00031935">
          <w:rPr>
            <w:rStyle w:val="Hyperlink"/>
            <w:noProof/>
          </w:rPr>
          <w:t>Mobilização Comunitária</w:t>
        </w:r>
        <w:r w:rsidR="00031935">
          <w:rPr>
            <w:noProof/>
            <w:webHidden/>
          </w:rPr>
          <w:tab/>
          <w:t>373</w:t>
        </w:r>
      </w:hyperlink>
    </w:p>
    <w:p w:rsidR="00031935" w:rsidRDefault="004F77E2" w:rsidP="00031935">
      <w:pPr>
        <w:pStyle w:val="Sumrio1"/>
        <w:rPr>
          <w:rFonts w:asciiTheme="minorHAnsi" w:eastAsiaTheme="minorEastAsia" w:hAnsiTheme="minorHAnsi"/>
          <w:noProof/>
          <w:sz w:val="22"/>
          <w:lang w:eastAsia="pt-BR"/>
        </w:rPr>
      </w:pPr>
      <w:hyperlink w:anchor="_Toc372789547" w:history="1">
        <w:r w:rsidR="00031935" w:rsidRPr="00282EF5">
          <w:rPr>
            <w:rStyle w:val="Hyperlink"/>
            <w:noProof/>
          </w:rPr>
          <w:t>1</w:t>
        </w:r>
        <w:r w:rsidR="00031935">
          <w:rPr>
            <w:rStyle w:val="Hyperlink"/>
            <w:noProof/>
          </w:rPr>
          <w:t>4</w:t>
        </w:r>
        <w:r w:rsidR="00031935" w:rsidRPr="00282EF5">
          <w:rPr>
            <w:rStyle w:val="Hyperlink"/>
            <w:noProof/>
          </w:rPr>
          <w:t>.</w:t>
        </w:r>
        <w:r w:rsidR="00031935">
          <w:rPr>
            <w:rStyle w:val="Hyperlink"/>
            <w:noProof/>
          </w:rPr>
          <w:t>13</w:t>
        </w:r>
        <w:r w:rsidR="00031935" w:rsidRPr="00282EF5">
          <w:rPr>
            <w:rStyle w:val="Hyperlink"/>
            <w:noProof/>
          </w:rPr>
          <w:t xml:space="preserve">.2 </w:t>
        </w:r>
        <w:r w:rsidR="00031935" w:rsidRPr="00302A16">
          <w:rPr>
            <w:rStyle w:val="Hyperlink"/>
            <w:noProof/>
          </w:rPr>
          <w:t>Alguns problemas levantados pela comunidade durante a realização das audiências públicas do PMSB</w:t>
        </w:r>
        <w:r w:rsidR="00031935">
          <w:rPr>
            <w:noProof/>
            <w:webHidden/>
          </w:rPr>
          <w:tab/>
          <w:t>373</w:t>
        </w:r>
      </w:hyperlink>
    </w:p>
    <w:p w:rsidR="00466071" w:rsidRDefault="004F77E2">
      <w:pPr>
        <w:pStyle w:val="Sumrio1"/>
        <w:rPr>
          <w:rFonts w:asciiTheme="minorHAnsi" w:eastAsiaTheme="minorEastAsia" w:hAnsiTheme="minorHAnsi"/>
          <w:noProof/>
          <w:sz w:val="22"/>
          <w:lang w:eastAsia="pt-BR"/>
        </w:rPr>
      </w:pPr>
      <w:hyperlink w:anchor="_Toc372789638" w:history="1">
        <w:r w:rsidR="00466071" w:rsidRPr="00282EF5">
          <w:rPr>
            <w:rStyle w:val="Hyperlink"/>
            <w:noProof/>
          </w:rPr>
          <w:t>1</w:t>
        </w:r>
        <w:r w:rsidR="00031935">
          <w:rPr>
            <w:rStyle w:val="Hyperlink"/>
            <w:noProof/>
          </w:rPr>
          <w:t>4</w:t>
        </w:r>
        <w:r w:rsidR="00466071" w:rsidRPr="00282EF5">
          <w:rPr>
            <w:rStyle w:val="Hyperlink"/>
            <w:noProof/>
          </w:rPr>
          <w:t>.1</w:t>
        </w:r>
        <w:r w:rsidR="00031935">
          <w:rPr>
            <w:rStyle w:val="Hyperlink"/>
            <w:noProof/>
          </w:rPr>
          <w:t>4</w:t>
        </w:r>
        <w:r w:rsidR="00466071" w:rsidRPr="00282EF5">
          <w:rPr>
            <w:rStyle w:val="Hyperlink"/>
            <w:noProof/>
          </w:rPr>
          <w:t xml:space="preserve"> Planejamento Proposto</w:t>
        </w:r>
        <w:r w:rsidR="00466071">
          <w:rPr>
            <w:noProof/>
            <w:webHidden/>
          </w:rPr>
          <w:tab/>
        </w:r>
        <w:r w:rsidR="00466071">
          <w:rPr>
            <w:noProof/>
            <w:webHidden/>
          </w:rPr>
          <w:fldChar w:fldCharType="begin"/>
        </w:r>
        <w:r w:rsidR="00466071">
          <w:rPr>
            <w:noProof/>
            <w:webHidden/>
          </w:rPr>
          <w:instrText xml:space="preserve"> PAGEREF _Toc372789638 \h </w:instrText>
        </w:r>
        <w:r w:rsidR="00466071">
          <w:rPr>
            <w:noProof/>
            <w:webHidden/>
          </w:rPr>
        </w:r>
        <w:r w:rsidR="00466071">
          <w:rPr>
            <w:noProof/>
            <w:webHidden/>
          </w:rPr>
          <w:fldChar w:fldCharType="separate"/>
        </w:r>
        <w:r>
          <w:rPr>
            <w:noProof/>
            <w:webHidden/>
          </w:rPr>
          <w:t>382</w:t>
        </w:r>
        <w:r w:rsidR="00466071">
          <w:rPr>
            <w:noProof/>
            <w:webHidden/>
          </w:rPr>
          <w:fldChar w:fldCharType="end"/>
        </w:r>
      </w:hyperlink>
    </w:p>
    <w:p w:rsidR="00466071" w:rsidRDefault="004F77E2">
      <w:pPr>
        <w:pStyle w:val="Sumrio1"/>
        <w:rPr>
          <w:rFonts w:asciiTheme="minorHAnsi" w:eastAsiaTheme="minorEastAsia" w:hAnsiTheme="minorHAnsi"/>
          <w:noProof/>
          <w:sz w:val="22"/>
          <w:lang w:eastAsia="pt-BR"/>
        </w:rPr>
      </w:pPr>
      <w:hyperlink w:anchor="_Toc372789639" w:history="1">
        <w:r w:rsidR="00466071" w:rsidRPr="00282EF5">
          <w:rPr>
            <w:rStyle w:val="Hyperlink"/>
            <w:noProof/>
          </w:rPr>
          <w:t>1</w:t>
        </w:r>
        <w:r w:rsidR="00031935">
          <w:rPr>
            <w:rStyle w:val="Hyperlink"/>
            <w:noProof/>
          </w:rPr>
          <w:t>4</w:t>
        </w:r>
        <w:r w:rsidR="00466071" w:rsidRPr="00282EF5">
          <w:rPr>
            <w:rStyle w:val="Hyperlink"/>
            <w:noProof/>
          </w:rPr>
          <w:t>.1</w:t>
        </w:r>
        <w:r w:rsidR="00031935">
          <w:rPr>
            <w:rStyle w:val="Hyperlink"/>
            <w:noProof/>
          </w:rPr>
          <w:t>4</w:t>
        </w:r>
        <w:r w:rsidR="00466071" w:rsidRPr="00282EF5">
          <w:rPr>
            <w:rStyle w:val="Hyperlink"/>
            <w:noProof/>
          </w:rPr>
          <w:t>.1 Etapas do Planejamento, Dimensionamento e Verificação</w:t>
        </w:r>
        <w:r w:rsidR="00466071">
          <w:rPr>
            <w:noProof/>
            <w:webHidden/>
          </w:rPr>
          <w:tab/>
        </w:r>
        <w:r w:rsidR="00466071">
          <w:rPr>
            <w:noProof/>
            <w:webHidden/>
          </w:rPr>
          <w:fldChar w:fldCharType="begin"/>
        </w:r>
        <w:r w:rsidR="00466071">
          <w:rPr>
            <w:noProof/>
            <w:webHidden/>
          </w:rPr>
          <w:instrText xml:space="preserve"> PAGEREF _Toc372789639 \h </w:instrText>
        </w:r>
        <w:r w:rsidR="00466071">
          <w:rPr>
            <w:noProof/>
            <w:webHidden/>
          </w:rPr>
        </w:r>
        <w:r w:rsidR="00466071">
          <w:rPr>
            <w:noProof/>
            <w:webHidden/>
          </w:rPr>
          <w:fldChar w:fldCharType="separate"/>
        </w:r>
        <w:r>
          <w:rPr>
            <w:noProof/>
            <w:webHidden/>
          </w:rPr>
          <w:t>387</w:t>
        </w:r>
        <w:r w:rsidR="00466071">
          <w:rPr>
            <w:noProof/>
            <w:webHidden/>
          </w:rPr>
          <w:fldChar w:fldCharType="end"/>
        </w:r>
      </w:hyperlink>
    </w:p>
    <w:p w:rsidR="000C310E" w:rsidRDefault="00B16C6C" w:rsidP="005C4DCE">
      <w:pPr>
        <w:pStyle w:val="Sumrio1"/>
        <w:rPr>
          <w:sz w:val="32"/>
          <w:szCs w:val="32"/>
        </w:rPr>
      </w:pPr>
      <w:r w:rsidRPr="00D35B10">
        <w:fldChar w:fldCharType="end"/>
      </w:r>
      <w:r w:rsidR="00466071">
        <w:t xml:space="preserve"> </w:t>
      </w:r>
      <w:r w:rsidR="005C4DCE">
        <w:t>REFERENCIAS CONSULTADAS...........................................................</w:t>
      </w:r>
      <w:r w:rsidR="00466071">
        <w:t>.....</w:t>
      </w:r>
      <w:r w:rsidR="005C4DCE">
        <w:t>.............381</w:t>
      </w:r>
    </w:p>
    <w:p w:rsidR="000C310E" w:rsidRDefault="000C310E" w:rsidP="005C4DCE">
      <w:pPr>
        <w:pStyle w:val="Sumrio1"/>
      </w:pPr>
    </w:p>
    <w:p w:rsidR="000C310E" w:rsidRDefault="000C310E" w:rsidP="005C4DCE">
      <w:pPr>
        <w:pStyle w:val="Sumrio1"/>
      </w:pPr>
    </w:p>
    <w:p w:rsidR="000C310E" w:rsidRDefault="000C310E" w:rsidP="005C4DCE">
      <w:pPr>
        <w:pStyle w:val="Sumrio1"/>
      </w:pPr>
    </w:p>
    <w:p w:rsidR="0043439F" w:rsidRPr="00E94D50" w:rsidRDefault="0043439F" w:rsidP="0043439F">
      <w:pPr>
        <w:jc w:val="center"/>
        <w:rPr>
          <w:rFonts w:cs="Times New Roman"/>
          <w:b/>
          <w:sz w:val="32"/>
          <w:szCs w:val="32"/>
        </w:rPr>
      </w:pPr>
    </w:p>
    <w:p w:rsidR="00437716" w:rsidRDefault="00437716">
      <w:pPr>
        <w:spacing w:after="200" w:line="276" w:lineRule="auto"/>
        <w:rPr>
          <w:rFonts w:cs="Times New Roman"/>
          <w:b/>
          <w:szCs w:val="32"/>
        </w:rPr>
      </w:pPr>
      <w:r>
        <w:br w:type="page"/>
      </w:r>
    </w:p>
    <w:p w:rsidR="0043439F" w:rsidRPr="00347E31" w:rsidRDefault="000D3824" w:rsidP="00347E31">
      <w:pPr>
        <w:pStyle w:val="TituloPrincipal"/>
        <w:spacing w:after="360" w:line="240" w:lineRule="auto"/>
      </w:pPr>
      <w:r w:rsidRPr="00E90E6C">
        <w:lastRenderedPageBreak/>
        <w:t>LISTA DE FIGURAS</w:t>
      </w:r>
    </w:p>
    <w:p w:rsidR="009A0C4A" w:rsidRPr="009A0C4A" w:rsidRDefault="00B16C6C"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r w:rsidRPr="009A0C4A">
        <w:rPr>
          <w:rFonts w:cs="Times New Roman"/>
          <w:b w:val="0"/>
          <w:sz w:val="32"/>
          <w:szCs w:val="32"/>
        </w:rPr>
        <w:fldChar w:fldCharType="begin"/>
      </w:r>
      <w:r w:rsidR="00146231" w:rsidRPr="009A0C4A">
        <w:rPr>
          <w:rFonts w:cs="Times New Roman"/>
          <w:b w:val="0"/>
          <w:sz w:val="32"/>
          <w:szCs w:val="32"/>
        </w:rPr>
        <w:instrText xml:space="preserve"> TOC \h \z \c "Figura" </w:instrText>
      </w:r>
      <w:r w:rsidRPr="009A0C4A">
        <w:rPr>
          <w:rFonts w:cs="Times New Roman"/>
          <w:b w:val="0"/>
          <w:sz w:val="32"/>
          <w:szCs w:val="32"/>
        </w:rPr>
        <w:fldChar w:fldCharType="separate"/>
      </w:r>
      <w:hyperlink w:anchor="_Toc372740084" w:history="1">
        <w:r w:rsidR="009A0C4A" w:rsidRPr="009A0C4A">
          <w:rPr>
            <w:rStyle w:val="Hyperlink"/>
            <w:b w:val="0"/>
            <w:noProof/>
          </w:rPr>
          <w:t>Figura 1</w:t>
        </w:r>
        <w:r w:rsidR="00AE65D3">
          <w:rPr>
            <w:rStyle w:val="Hyperlink"/>
            <w:b w:val="0"/>
            <w:noProof/>
          </w:rPr>
          <w:t xml:space="preserve"> </w:t>
        </w:r>
        <w:r w:rsidR="009A0C4A" w:rsidRPr="009A0C4A">
          <w:rPr>
            <w:rStyle w:val="Hyperlink"/>
            <w:b w:val="0"/>
            <w:noProof/>
          </w:rPr>
          <w:t>- Inserção no contexto regional: microrregião de Aimorés e seus municípios</w:t>
        </w:r>
        <w:r w:rsidR="009A0C4A" w:rsidRPr="009A0C4A">
          <w:rPr>
            <w:b w:val="0"/>
            <w:noProof/>
            <w:webHidden/>
          </w:rPr>
          <w:tab/>
        </w:r>
        <w:r w:rsidRPr="009A0C4A">
          <w:rPr>
            <w:b w:val="0"/>
            <w:noProof/>
            <w:webHidden/>
          </w:rPr>
          <w:fldChar w:fldCharType="begin"/>
        </w:r>
        <w:r w:rsidR="009A0C4A" w:rsidRPr="009A0C4A">
          <w:rPr>
            <w:b w:val="0"/>
            <w:noProof/>
            <w:webHidden/>
          </w:rPr>
          <w:instrText xml:space="preserve"> PAGEREF _Toc372740084 \h </w:instrText>
        </w:r>
        <w:r w:rsidRPr="009A0C4A">
          <w:rPr>
            <w:b w:val="0"/>
            <w:noProof/>
            <w:webHidden/>
          </w:rPr>
        </w:r>
        <w:r w:rsidRPr="009A0C4A">
          <w:rPr>
            <w:b w:val="0"/>
            <w:noProof/>
            <w:webHidden/>
          </w:rPr>
          <w:fldChar w:fldCharType="separate"/>
        </w:r>
        <w:r w:rsidR="004F77E2">
          <w:rPr>
            <w:b w:val="0"/>
            <w:noProof/>
            <w:webHidden/>
          </w:rPr>
          <w:t>36</w:t>
        </w:r>
        <w:r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85" w:history="1">
        <w:r w:rsidR="009A0C4A" w:rsidRPr="009A0C4A">
          <w:rPr>
            <w:rStyle w:val="Hyperlink"/>
            <w:b w:val="0"/>
            <w:noProof/>
          </w:rPr>
          <w:t>Figura 2 - Rodovias do município de Aimorés e do estado de Minas Gerais.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_Toc372740085 \h </w:instrText>
        </w:r>
        <w:r w:rsidR="00B16C6C" w:rsidRPr="009A0C4A">
          <w:rPr>
            <w:b w:val="0"/>
            <w:noProof/>
            <w:webHidden/>
          </w:rPr>
        </w:r>
        <w:r w:rsidR="00B16C6C" w:rsidRPr="009A0C4A">
          <w:rPr>
            <w:b w:val="0"/>
            <w:noProof/>
            <w:webHidden/>
          </w:rPr>
          <w:fldChar w:fldCharType="separate"/>
        </w:r>
        <w:r>
          <w:rPr>
            <w:b w:val="0"/>
            <w:noProof/>
            <w:webHidden/>
          </w:rPr>
          <w:t>38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86" w:history="1">
        <w:r w:rsidR="009A0C4A" w:rsidRPr="009A0C4A">
          <w:rPr>
            <w:rStyle w:val="Hyperlink"/>
            <w:b w:val="0"/>
            <w:noProof/>
          </w:rPr>
          <w:t>Figura 3 - Ferrovias do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_Toc372740086 \h </w:instrText>
        </w:r>
        <w:r w:rsidR="00B16C6C" w:rsidRPr="009A0C4A">
          <w:rPr>
            <w:b w:val="0"/>
            <w:noProof/>
            <w:webHidden/>
          </w:rPr>
        </w:r>
        <w:r w:rsidR="00B16C6C" w:rsidRPr="009A0C4A">
          <w:rPr>
            <w:b w:val="0"/>
            <w:noProof/>
            <w:webHidden/>
          </w:rPr>
          <w:fldChar w:fldCharType="separate"/>
        </w:r>
        <w:r>
          <w:rPr>
            <w:b w:val="0"/>
            <w:noProof/>
            <w:webHidden/>
          </w:rPr>
          <w:t>39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87" w:history="1">
        <w:r w:rsidR="009A0C4A" w:rsidRPr="009A0C4A">
          <w:rPr>
            <w:rStyle w:val="Hyperlink"/>
            <w:b w:val="0"/>
            <w:noProof/>
          </w:rPr>
          <w:t>Figura 4 - Crescimento Populacional nos anos de 1970 a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_Toc372740087 \h </w:instrText>
        </w:r>
        <w:r w:rsidR="00B16C6C" w:rsidRPr="009A0C4A">
          <w:rPr>
            <w:b w:val="0"/>
            <w:noProof/>
            <w:webHidden/>
          </w:rPr>
        </w:r>
        <w:r w:rsidR="00B16C6C" w:rsidRPr="009A0C4A">
          <w:rPr>
            <w:b w:val="0"/>
            <w:noProof/>
            <w:webHidden/>
          </w:rPr>
          <w:fldChar w:fldCharType="separate"/>
        </w:r>
        <w:r>
          <w:rPr>
            <w:b w:val="0"/>
            <w:noProof/>
            <w:webHidden/>
          </w:rPr>
          <w:t>41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88" w:history="1">
        <w:r w:rsidR="009A0C4A" w:rsidRPr="009A0C4A">
          <w:rPr>
            <w:rStyle w:val="Hyperlink"/>
            <w:b w:val="0"/>
            <w:noProof/>
          </w:rPr>
          <w:t>Figura 5 - Localização dos distritos e do distrito sede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_Toc372740088 \h </w:instrText>
        </w:r>
        <w:r w:rsidR="00B16C6C" w:rsidRPr="009A0C4A">
          <w:rPr>
            <w:b w:val="0"/>
            <w:noProof/>
            <w:webHidden/>
          </w:rPr>
        </w:r>
        <w:r w:rsidR="00B16C6C" w:rsidRPr="009A0C4A">
          <w:rPr>
            <w:b w:val="0"/>
            <w:noProof/>
            <w:webHidden/>
          </w:rPr>
          <w:fldChar w:fldCharType="separate"/>
        </w:r>
        <w:r>
          <w:rPr>
            <w:b w:val="0"/>
            <w:noProof/>
            <w:webHidden/>
          </w:rPr>
          <w:t>43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89" w:history="1">
        <w:r w:rsidR="009A0C4A" w:rsidRPr="009A0C4A">
          <w:rPr>
            <w:rStyle w:val="Hyperlink"/>
            <w:b w:val="0"/>
            <w:noProof/>
          </w:rPr>
          <w:t>Figura 6 - Localização do município de Aimorés nas bacias hidrográficas, das áreas urbanizadas e das áreas rurais, segundo o censo de 2010 do IBGE.</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_Toc372740089 \h </w:instrText>
        </w:r>
        <w:r w:rsidR="00B16C6C" w:rsidRPr="009A0C4A">
          <w:rPr>
            <w:b w:val="0"/>
            <w:noProof/>
            <w:webHidden/>
          </w:rPr>
        </w:r>
        <w:r w:rsidR="00B16C6C" w:rsidRPr="009A0C4A">
          <w:rPr>
            <w:b w:val="0"/>
            <w:noProof/>
            <w:webHidden/>
          </w:rPr>
          <w:fldChar w:fldCharType="separate"/>
        </w:r>
        <w:r>
          <w:rPr>
            <w:b w:val="0"/>
            <w:noProof/>
            <w:webHidden/>
          </w:rPr>
          <w:t>45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90" w:history="1">
        <w:r w:rsidR="009A0C4A" w:rsidRPr="009A0C4A">
          <w:rPr>
            <w:rStyle w:val="Hyperlink"/>
            <w:b w:val="0"/>
            <w:noProof/>
          </w:rPr>
          <w:t>Figura 7 - Estrutura etária da população nos anos de 2000.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_Toc372740090 \h </w:instrText>
        </w:r>
        <w:r w:rsidR="00B16C6C" w:rsidRPr="009A0C4A">
          <w:rPr>
            <w:b w:val="0"/>
            <w:noProof/>
            <w:webHidden/>
          </w:rPr>
        </w:r>
        <w:r w:rsidR="00B16C6C" w:rsidRPr="009A0C4A">
          <w:rPr>
            <w:b w:val="0"/>
            <w:noProof/>
            <w:webHidden/>
          </w:rPr>
          <w:fldChar w:fldCharType="separate"/>
        </w:r>
        <w:r>
          <w:rPr>
            <w:b w:val="0"/>
            <w:noProof/>
            <w:webHidden/>
          </w:rPr>
          <w:t>46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91" w:history="1">
        <w:r w:rsidR="009A0C4A" w:rsidRPr="009A0C4A">
          <w:rPr>
            <w:rStyle w:val="Hyperlink"/>
            <w:b w:val="0"/>
            <w:noProof/>
          </w:rPr>
          <w:t>Figura 8 - Estrutura etária da população nos anos de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_Toc372740091 \h </w:instrText>
        </w:r>
        <w:r w:rsidR="00B16C6C" w:rsidRPr="009A0C4A">
          <w:rPr>
            <w:b w:val="0"/>
            <w:noProof/>
            <w:webHidden/>
          </w:rPr>
        </w:r>
        <w:r w:rsidR="00B16C6C" w:rsidRPr="009A0C4A">
          <w:rPr>
            <w:b w:val="0"/>
            <w:noProof/>
            <w:webHidden/>
          </w:rPr>
          <w:fldChar w:fldCharType="separate"/>
        </w:r>
        <w:r>
          <w:rPr>
            <w:b w:val="0"/>
            <w:noProof/>
            <w:webHidden/>
          </w:rPr>
          <w:t>47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92" w:history="1">
        <w:r w:rsidR="009A0C4A" w:rsidRPr="009A0C4A">
          <w:rPr>
            <w:rStyle w:val="Hyperlink"/>
            <w:b w:val="0"/>
            <w:noProof/>
          </w:rPr>
          <w:t>Figura 9 - Clima do Município de Aimorés – Minas Gerais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_Toc372740092 \h </w:instrText>
        </w:r>
        <w:r w:rsidR="00B16C6C" w:rsidRPr="009A0C4A">
          <w:rPr>
            <w:b w:val="0"/>
            <w:noProof/>
            <w:webHidden/>
          </w:rPr>
        </w:r>
        <w:r w:rsidR="00B16C6C" w:rsidRPr="009A0C4A">
          <w:rPr>
            <w:b w:val="0"/>
            <w:noProof/>
            <w:webHidden/>
          </w:rPr>
          <w:fldChar w:fldCharType="separate"/>
        </w:r>
        <w:r>
          <w:rPr>
            <w:b w:val="0"/>
            <w:noProof/>
            <w:webHidden/>
          </w:rPr>
          <w:t>50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93" w:history="1">
        <w:r w:rsidR="00AE65D3">
          <w:rPr>
            <w:rStyle w:val="Hyperlink"/>
            <w:b w:val="0"/>
            <w:noProof/>
          </w:rPr>
          <w:t xml:space="preserve">Figura 10 - </w:t>
        </w:r>
        <w:r w:rsidR="009A0C4A" w:rsidRPr="009A0C4A">
          <w:rPr>
            <w:rStyle w:val="Hyperlink"/>
            <w:b w:val="0"/>
            <w:noProof/>
          </w:rPr>
          <w:t>Temperaturas Médias no Município de Aimorés – Minas Gerais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_Toc372740093 \h </w:instrText>
        </w:r>
        <w:r w:rsidR="00B16C6C" w:rsidRPr="009A0C4A">
          <w:rPr>
            <w:b w:val="0"/>
            <w:noProof/>
            <w:webHidden/>
          </w:rPr>
        </w:r>
        <w:r w:rsidR="00B16C6C" w:rsidRPr="009A0C4A">
          <w:rPr>
            <w:b w:val="0"/>
            <w:noProof/>
            <w:webHidden/>
          </w:rPr>
          <w:fldChar w:fldCharType="separate"/>
        </w:r>
        <w:r>
          <w:rPr>
            <w:b w:val="0"/>
            <w:noProof/>
            <w:webHidden/>
          </w:rPr>
          <w:t>51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94" w:history="1">
        <w:r w:rsidR="009A0C4A" w:rsidRPr="009A0C4A">
          <w:rPr>
            <w:rStyle w:val="Hyperlink"/>
            <w:b w:val="0"/>
            <w:noProof/>
          </w:rPr>
          <w:t>Figura 11 - Mapa Geológico do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_Toc372740094 \h </w:instrText>
        </w:r>
        <w:r w:rsidR="00B16C6C" w:rsidRPr="009A0C4A">
          <w:rPr>
            <w:b w:val="0"/>
            <w:noProof/>
            <w:webHidden/>
          </w:rPr>
        </w:r>
        <w:r w:rsidR="00B16C6C" w:rsidRPr="009A0C4A">
          <w:rPr>
            <w:b w:val="0"/>
            <w:noProof/>
            <w:webHidden/>
          </w:rPr>
          <w:fldChar w:fldCharType="separate"/>
        </w:r>
        <w:r>
          <w:rPr>
            <w:b w:val="0"/>
            <w:noProof/>
            <w:webHidden/>
          </w:rPr>
          <w:t>52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95" w:history="1">
        <w:r w:rsidR="009A0C4A" w:rsidRPr="009A0C4A">
          <w:rPr>
            <w:rStyle w:val="Hyperlink"/>
            <w:b w:val="0"/>
            <w:noProof/>
          </w:rPr>
          <w:t>Figura 12</w:t>
        </w:r>
        <w:r w:rsidR="00AE65D3">
          <w:rPr>
            <w:rStyle w:val="Hyperlink"/>
            <w:b w:val="0"/>
            <w:noProof/>
          </w:rPr>
          <w:t xml:space="preserve"> </w:t>
        </w:r>
        <w:r w:rsidR="009A0C4A" w:rsidRPr="009A0C4A">
          <w:rPr>
            <w:rStyle w:val="Hyperlink"/>
            <w:b w:val="0"/>
            <w:noProof/>
          </w:rPr>
          <w:t>- Processos Morfodinâmicos e Formas de Relevo no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_Toc372740095 \h </w:instrText>
        </w:r>
        <w:r w:rsidR="00B16C6C" w:rsidRPr="009A0C4A">
          <w:rPr>
            <w:b w:val="0"/>
            <w:noProof/>
            <w:webHidden/>
          </w:rPr>
        </w:r>
        <w:r w:rsidR="00B16C6C" w:rsidRPr="009A0C4A">
          <w:rPr>
            <w:b w:val="0"/>
            <w:noProof/>
            <w:webHidden/>
          </w:rPr>
          <w:fldChar w:fldCharType="separate"/>
        </w:r>
        <w:r>
          <w:rPr>
            <w:b w:val="0"/>
            <w:noProof/>
            <w:webHidden/>
          </w:rPr>
          <w:t>54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96" w:history="1">
        <w:r w:rsidR="009A0C4A" w:rsidRPr="009A0C4A">
          <w:rPr>
            <w:rStyle w:val="Hyperlink"/>
            <w:b w:val="0"/>
            <w:noProof/>
          </w:rPr>
          <w:t>Figura 13</w:t>
        </w:r>
        <w:r w:rsidR="00AE65D3">
          <w:rPr>
            <w:rStyle w:val="Hyperlink"/>
            <w:b w:val="0"/>
            <w:noProof/>
          </w:rPr>
          <w:t xml:space="preserve"> </w:t>
        </w:r>
        <w:r w:rsidR="009A0C4A" w:rsidRPr="009A0C4A">
          <w:rPr>
            <w:rStyle w:val="Hyperlink"/>
            <w:b w:val="0"/>
            <w:noProof/>
          </w:rPr>
          <w:t>- Material resultante (colúvio) de grandes deslizamentos no Distrito de Alto Capim.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_Toc372740096 \h </w:instrText>
        </w:r>
        <w:r w:rsidR="00B16C6C" w:rsidRPr="009A0C4A">
          <w:rPr>
            <w:b w:val="0"/>
            <w:noProof/>
            <w:webHidden/>
          </w:rPr>
        </w:r>
        <w:r w:rsidR="00B16C6C" w:rsidRPr="009A0C4A">
          <w:rPr>
            <w:b w:val="0"/>
            <w:noProof/>
            <w:webHidden/>
          </w:rPr>
          <w:fldChar w:fldCharType="separate"/>
        </w:r>
        <w:r>
          <w:rPr>
            <w:b w:val="0"/>
            <w:noProof/>
            <w:webHidden/>
          </w:rPr>
          <w:t>56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97" w:history="1">
        <w:r w:rsidR="009A0C4A" w:rsidRPr="009A0C4A">
          <w:rPr>
            <w:rStyle w:val="Hyperlink"/>
            <w:b w:val="0"/>
            <w:noProof/>
          </w:rPr>
          <w:t>Figura 14 - Degrau oriundo de um deslizamento no Distrito de Tabaúna.</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_Toc372740097 \h </w:instrText>
        </w:r>
        <w:r w:rsidR="00B16C6C" w:rsidRPr="009A0C4A">
          <w:rPr>
            <w:b w:val="0"/>
            <w:noProof/>
            <w:webHidden/>
          </w:rPr>
        </w:r>
        <w:r w:rsidR="00B16C6C" w:rsidRPr="009A0C4A">
          <w:rPr>
            <w:b w:val="0"/>
            <w:noProof/>
            <w:webHidden/>
          </w:rPr>
          <w:fldChar w:fldCharType="separate"/>
        </w:r>
        <w:r>
          <w:rPr>
            <w:b w:val="0"/>
            <w:noProof/>
            <w:webHidden/>
          </w:rPr>
          <w:t>57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98" w:history="1">
        <w:r w:rsidR="009A0C4A" w:rsidRPr="009A0C4A">
          <w:rPr>
            <w:rStyle w:val="Hyperlink"/>
            <w:b w:val="0"/>
            <w:noProof/>
          </w:rPr>
          <w:t>Figura 15</w:t>
        </w:r>
        <w:r w:rsidR="00AE65D3">
          <w:rPr>
            <w:rStyle w:val="Hyperlink"/>
            <w:b w:val="0"/>
            <w:noProof/>
          </w:rPr>
          <w:t xml:space="preserve"> </w:t>
        </w:r>
        <w:r w:rsidR="009A0C4A" w:rsidRPr="009A0C4A">
          <w:rPr>
            <w:rStyle w:val="Hyperlink"/>
            <w:b w:val="0"/>
            <w:noProof/>
          </w:rPr>
          <w:t>- Classes de solos identificadas no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_Toc372740098 \h </w:instrText>
        </w:r>
        <w:r w:rsidR="00B16C6C" w:rsidRPr="009A0C4A">
          <w:rPr>
            <w:b w:val="0"/>
            <w:noProof/>
            <w:webHidden/>
          </w:rPr>
        </w:r>
        <w:r w:rsidR="00B16C6C" w:rsidRPr="009A0C4A">
          <w:rPr>
            <w:b w:val="0"/>
            <w:noProof/>
            <w:webHidden/>
          </w:rPr>
          <w:fldChar w:fldCharType="separate"/>
        </w:r>
        <w:r>
          <w:rPr>
            <w:b w:val="0"/>
            <w:noProof/>
            <w:webHidden/>
          </w:rPr>
          <w:t>59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099" w:history="1">
        <w:r w:rsidR="00AE65D3">
          <w:rPr>
            <w:rStyle w:val="Hyperlink"/>
            <w:b w:val="0"/>
            <w:noProof/>
          </w:rPr>
          <w:t>Figura 16 -</w:t>
        </w:r>
        <w:r w:rsidR="009A0C4A" w:rsidRPr="009A0C4A">
          <w:rPr>
            <w:rStyle w:val="Hyperlink"/>
            <w:b w:val="0"/>
            <w:noProof/>
          </w:rPr>
          <w:t xml:space="preserve"> Setas indicando a área de ocorrência de Latossolos no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_Toc372740099 \h </w:instrText>
        </w:r>
        <w:r w:rsidR="00B16C6C" w:rsidRPr="009A0C4A">
          <w:rPr>
            <w:b w:val="0"/>
            <w:noProof/>
            <w:webHidden/>
          </w:rPr>
        </w:r>
        <w:r w:rsidR="00B16C6C" w:rsidRPr="009A0C4A">
          <w:rPr>
            <w:b w:val="0"/>
            <w:noProof/>
            <w:webHidden/>
          </w:rPr>
          <w:fldChar w:fldCharType="separate"/>
        </w:r>
        <w:r>
          <w:rPr>
            <w:b w:val="0"/>
            <w:noProof/>
            <w:webHidden/>
          </w:rPr>
          <w:t>60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00" w:history="1">
        <w:r w:rsidR="009A0C4A" w:rsidRPr="009A0C4A">
          <w:rPr>
            <w:rStyle w:val="Hyperlink"/>
            <w:b w:val="0"/>
            <w:noProof/>
          </w:rPr>
          <w:t>Figura 17 - Argissolos – Processos erosivos em área de ocorrência de Argissolos no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_Toc372740100 \h </w:instrText>
        </w:r>
        <w:r w:rsidR="00B16C6C" w:rsidRPr="009A0C4A">
          <w:rPr>
            <w:b w:val="0"/>
            <w:noProof/>
            <w:webHidden/>
          </w:rPr>
        </w:r>
        <w:r w:rsidR="00B16C6C" w:rsidRPr="009A0C4A">
          <w:rPr>
            <w:b w:val="0"/>
            <w:noProof/>
            <w:webHidden/>
          </w:rPr>
          <w:fldChar w:fldCharType="separate"/>
        </w:r>
        <w:r>
          <w:rPr>
            <w:b w:val="0"/>
            <w:noProof/>
            <w:webHidden/>
          </w:rPr>
          <w:t>62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01" w:history="1">
        <w:r w:rsidR="00AE65D3">
          <w:rPr>
            <w:rStyle w:val="Hyperlink"/>
            <w:b w:val="0"/>
            <w:noProof/>
          </w:rPr>
          <w:t xml:space="preserve">Figura 18  - </w:t>
        </w:r>
        <w:r w:rsidR="009A0C4A" w:rsidRPr="009A0C4A">
          <w:rPr>
            <w:rStyle w:val="Hyperlink"/>
            <w:b w:val="0"/>
            <w:noProof/>
          </w:rPr>
          <w:t>Processos erosivos em área de ocorrência de Neossolos Litólicos no Distrito de Tabaúna –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_Toc372740101 \h </w:instrText>
        </w:r>
        <w:r w:rsidR="00B16C6C" w:rsidRPr="009A0C4A">
          <w:rPr>
            <w:b w:val="0"/>
            <w:noProof/>
            <w:webHidden/>
          </w:rPr>
        </w:r>
        <w:r w:rsidR="00B16C6C" w:rsidRPr="009A0C4A">
          <w:rPr>
            <w:b w:val="0"/>
            <w:noProof/>
            <w:webHidden/>
          </w:rPr>
          <w:fldChar w:fldCharType="separate"/>
        </w:r>
        <w:r>
          <w:rPr>
            <w:b w:val="0"/>
            <w:noProof/>
            <w:webHidden/>
          </w:rPr>
          <w:t>64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02" w:history="1">
        <w:r w:rsidR="00AE65D3">
          <w:rPr>
            <w:rStyle w:val="Hyperlink"/>
            <w:b w:val="0"/>
            <w:noProof/>
          </w:rPr>
          <w:t xml:space="preserve">Figura 19 - </w:t>
        </w:r>
        <w:r w:rsidR="009A0C4A" w:rsidRPr="009A0C4A">
          <w:rPr>
            <w:rStyle w:val="Hyperlink"/>
            <w:b w:val="0"/>
            <w:noProof/>
          </w:rPr>
          <w:t>Área de ocorrência de Neossolo Flúvico (Rio Capim).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_Toc372740102 \h </w:instrText>
        </w:r>
        <w:r w:rsidR="00B16C6C" w:rsidRPr="009A0C4A">
          <w:rPr>
            <w:b w:val="0"/>
            <w:noProof/>
            <w:webHidden/>
          </w:rPr>
        </w:r>
        <w:r w:rsidR="00B16C6C" w:rsidRPr="009A0C4A">
          <w:rPr>
            <w:b w:val="0"/>
            <w:noProof/>
            <w:webHidden/>
          </w:rPr>
          <w:fldChar w:fldCharType="separate"/>
        </w:r>
        <w:r>
          <w:rPr>
            <w:b w:val="0"/>
            <w:noProof/>
            <w:webHidden/>
          </w:rPr>
          <w:t>65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03" w:history="1">
        <w:r w:rsidR="00AE65D3">
          <w:rPr>
            <w:rStyle w:val="Hyperlink"/>
            <w:b w:val="0"/>
            <w:noProof/>
          </w:rPr>
          <w:t xml:space="preserve">Figura 20 - </w:t>
        </w:r>
        <w:r w:rsidR="009A0C4A" w:rsidRPr="009A0C4A">
          <w:rPr>
            <w:rStyle w:val="Hyperlink"/>
            <w:b w:val="0"/>
            <w:noProof/>
          </w:rPr>
          <w:t>Área de ocorrência de Gleissolos no Rio Capim-Aimorés.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_Toc372740103 \h </w:instrText>
        </w:r>
        <w:r w:rsidR="00B16C6C" w:rsidRPr="009A0C4A">
          <w:rPr>
            <w:b w:val="0"/>
            <w:noProof/>
            <w:webHidden/>
          </w:rPr>
        </w:r>
        <w:r w:rsidR="00B16C6C" w:rsidRPr="009A0C4A">
          <w:rPr>
            <w:b w:val="0"/>
            <w:noProof/>
            <w:webHidden/>
          </w:rPr>
          <w:fldChar w:fldCharType="separate"/>
        </w:r>
        <w:r>
          <w:rPr>
            <w:b w:val="0"/>
            <w:noProof/>
            <w:webHidden/>
          </w:rPr>
          <w:t>66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04" w:history="1">
        <w:r w:rsidR="00AE65D3">
          <w:rPr>
            <w:rStyle w:val="Hyperlink"/>
            <w:b w:val="0"/>
            <w:noProof/>
          </w:rPr>
          <w:t>Figura 21 -</w:t>
        </w:r>
        <w:r w:rsidR="009A0C4A" w:rsidRPr="009A0C4A">
          <w:rPr>
            <w:rStyle w:val="Hyperlink"/>
            <w:b w:val="0"/>
            <w:noProof/>
          </w:rPr>
          <w:t xml:space="preserve"> Bioma de inserção do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_Toc372740104 \h </w:instrText>
        </w:r>
        <w:r w:rsidR="00B16C6C" w:rsidRPr="009A0C4A">
          <w:rPr>
            <w:b w:val="0"/>
            <w:noProof/>
            <w:webHidden/>
          </w:rPr>
        </w:r>
        <w:r w:rsidR="00B16C6C" w:rsidRPr="009A0C4A">
          <w:rPr>
            <w:b w:val="0"/>
            <w:noProof/>
            <w:webHidden/>
          </w:rPr>
          <w:fldChar w:fldCharType="separate"/>
        </w:r>
        <w:r>
          <w:rPr>
            <w:b w:val="0"/>
            <w:noProof/>
            <w:webHidden/>
          </w:rPr>
          <w:t>67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05" w:history="1">
        <w:r w:rsidR="009A0C4A" w:rsidRPr="009A0C4A">
          <w:rPr>
            <w:rStyle w:val="Hyperlink"/>
            <w:b w:val="0"/>
            <w:noProof/>
          </w:rPr>
          <w:t>Figura 22 - Cobertura vegetal no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_Toc372740105 \h </w:instrText>
        </w:r>
        <w:r w:rsidR="00B16C6C" w:rsidRPr="009A0C4A">
          <w:rPr>
            <w:b w:val="0"/>
            <w:noProof/>
            <w:webHidden/>
          </w:rPr>
        </w:r>
        <w:r w:rsidR="00B16C6C" w:rsidRPr="009A0C4A">
          <w:rPr>
            <w:b w:val="0"/>
            <w:noProof/>
            <w:webHidden/>
          </w:rPr>
          <w:fldChar w:fldCharType="separate"/>
        </w:r>
        <w:r>
          <w:rPr>
            <w:b w:val="0"/>
            <w:noProof/>
            <w:webHidden/>
          </w:rPr>
          <w:t>68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06" w:history="1">
        <w:r w:rsidR="00AE65D3">
          <w:rPr>
            <w:rStyle w:val="Hyperlink"/>
            <w:b w:val="0"/>
            <w:noProof/>
          </w:rPr>
          <w:t>Figura 23 -</w:t>
        </w:r>
        <w:r w:rsidR="009A0C4A" w:rsidRPr="009A0C4A">
          <w:rPr>
            <w:rStyle w:val="Hyperlink"/>
            <w:b w:val="0"/>
            <w:noProof/>
          </w:rPr>
          <w:t xml:space="preserve"> Bacias Hidrográficas que abrangem 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_Toc372740106 \h </w:instrText>
        </w:r>
        <w:r w:rsidR="00B16C6C" w:rsidRPr="009A0C4A">
          <w:rPr>
            <w:b w:val="0"/>
            <w:noProof/>
            <w:webHidden/>
          </w:rPr>
        </w:r>
        <w:r w:rsidR="00B16C6C" w:rsidRPr="009A0C4A">
          <w:rPr>
            <w:b w:val="0"/>
            <w:noProof/>
            <w:webHidden/>
          </w:rPr>
          <w:fldChar w:fldCharType="separate"/>
        </w:r>
        <w:r>
          <w:rPr>
            <w:b w:val="0"/>
            <w:noProof/>
            <w:webHidden/>
          </w:rPr>
          <w:t>69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07" w:history="1">
        <w:r w:rsidR="00AE65D3">
          <w:rPr>
            <w:rStyle w:val="Hyperlink"/>
            <w:b w:val="0"/>
            <w:noProof/>
          </w:rPr>
          <w:t>Figura 24 -</w:t>
        </w:r>
        <w:r w:rsidR="009A0C4A" w:rsidRPr="009A0C4A">
          <w:rPr>
            <w:rStyle w:val="Hyperlink"/>
            <w:b w:val="0"/>
            <w:noProof/>
          </w:rPr>
          <w:t xml:space="preserve"> Assoreamento e formação de Ilhas no rio Manhuaçu no Distrito de Tabaúna-Aimorés.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_Toc372740107 \h </w:instrText>
        </w:r>
        <w:r w:rsidR="00B16C6C" w:rsidRPr="009A0C4A">
          <w:rPr>
            <w:b w:val="0"/>
            <w:noProof/>
            <w:webHidden/>
          </w:rPr>
        </w:r>
        <w:r w:rsidR="00B16C6C" w:rsidRPr="009A0C4A">
          <w:rPr>
            <w:b w:val="0"/>
            <w:noProof/>
            <w:webHidden/>
          </w:rPr>
          <w:fldChar w:fldCharType="separate"/>
        </w:r>
        <w:r>
          <w:rPr>
            <w:b w:val="0"/>
            <w:noProof/>
            <w:webHidden/>
          </w:rPr>
          <w:t>70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08" w:history="1">
        <w:r w:rsidR="00AE65D3">
          <w:rPr>
            <w:rStyle w:val="Hyperlink"/>
            <w:b w:val="0"/>
            <w:noProof/>
          </w:rPr>
          <w:t>Figura 25 -</w:t>
        </w:r>
        <w:r w:rsidR="009A0C4A" w:rsidRPr="009A0C4A">
          <w:rPr>
            <w:rStyle w:val="Hyperlink"/>
            <w:b w:val="0"/>
            <w:noProof/>
          </w:rPr>
          <w:t xml:space="preserve"> Assoreamento e formação de Ilhas no Rio Capim –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_Toc372740108 \h </w:instrText>
        </w:r>
        <w:r w:rsidR="00B16C6C" w:rsidRPr="009A0C4A">
          <w:rPr>
            <w:b w:val="0"/>
            <w:noProof/>
            <w:webHidden/>
          </w:rPr>
        </w:r>
        <w:r w:rsidR="00B16C6C" w:rsidRPr="009A0C4A">
          <w:rPr>
            <w:b w:val="0"/>
            <w:noProof/>
            <w:webHidden/>
          </w:rPr>
          <w:fldChar w:fldCharType="separate"/>
        </w:r>
        <w:r>
          <w:rPr>
            <w:b w:val="0"/>
            <w:noProof/>
            <w:webHidden/>
          </w:rPr>
          <w:t>71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09" w:history="1">
        <w:r w:rsidR="009A0C4A" w:rsidRPr="009A0C4A">
          <w:rPr>
            <w:rStyle w:val="Hyperlink"/>
            <w:b w:val="0"/>
            <w:noProof/>
          </w:rPr>
          <w:t>Figura 26 - Saneamento como direito público e social</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_Toc372740109 \h </w:instrText>
        </w:r>
        <w:r w:rsidR="00B16C6C" w:rsidRPr="009A0C4A">
          <w:rPr>
            <w:b w:val="0"/>
            <w:noProof/>
            <w:webHidden/>
          </w:rPr>
        </w:r>
        <w:r w:rsidR="00B16C6C" w:rsidRPr="009A0C4A">
          <w:rPr>
            <w:b w:val="0"/>
            <w:noProof/>
            <w:webHidden/>
          </w:rPr>
          <w:fldChar w:fldCharType="separate"/>
        </w:r>
        <w:r>
          <w:rPr>
            <w:b w:val="0"/>
            <w:noProof/>
            <w:webHidden/>
          </w:rPr>
          <w:t>76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10" w:history="1">
        <w:r w:rsidR="009A0C4A" w:rsidRPr="009A0C4A">
          <w:rPr>
            <w:rStyle w:val="Hyperlink"/>
            <w:b w:val="0"/>
            <w:noProof/>
          </w:rPr>
          <w:t>Figura 27 - Distribuição da população, por sexo, segundo os grupos de idade, Aimorés, Minas Gerais,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_Toc372740110 \h </w:instrText>
        </w:r>
        <w:r w:rsidR="00B16C6C" w:rsidRPr="009A0C4A">
          <w:rPr>
            <w:b w:val="0"/>
            <w:noProof/>
            <w:webHidden/>
          </w:rPr>
        </w:r>
        <w:r w:rsidR="00B16C6C" w:rsidRPr="009A0C4A">
          <w:rPr>
            <w:b w:val="0"/>
            <w:noProof/>
            <w:webHidden/>
          </w:rPr>
          <w:fldChar w:fldCharType="separate"/>
        </w:r>
        <w:r>
          <w:rPr>
            <w:b w:val="0"/>
            <w:noProof/>
            <w:webHidden/>
          </w:rPr>
          <w:t>82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11" w:history="1">
        <w:r w:rsidR="009A0C4A" w:rsidRPr="009A0C4A">
          <w:rPr>
            <w:rStyle w:val="Hyperlink"/>
            <w:b w:val="0"/>
            <w:noProof/>
          </w:rPr>
          <w:t>Figura 28 - Percentual de moradores segundo condição de ocupação, Aimorés/MG, 1991/2010.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_Toc372740111 \h </w:instrText>
        </w:r>
        <w:r w:rsidR="00B16C6C" w:rsidRPr="009A0C4A">
          <w:rPr>
            <w:b w:val="0"/>
            <w:noProof/>
            <w:webHidden/>
          </w:rPr>
        </w:r>
        <w:r w:rsidR="00B16C6C" w:rsidRPr="009A0C4A">
          <w:rPr>
            <w:b w:val="0"/>
            <w:noProof/>
            <w:webHidden/>
          </w:rPr>
          <w:fldChar w:fldCharType="separate"/>
        </w:r>
        <w:r>
          <w:rPr>
            <w:b w:val="0"/>
            <w:noProof/>
            <w:webHidden/>
          </w:rPr>
          <w:t>83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12" w:history="1">
        <w:r w:rsidR="009A0C4A" w:rsidRPr="009A0C4A">
          <w:rPr>
            <w:rStyle w:val="Hyperlink"/>
            <w:b w:val="0"/>
            <w:noProof/>
          </w:rPr>
          <w:t>Figura 29 - Percentual de moradores com acesso a água, sistema de esgoto e de coleta de lixo, Aimorés/MG, 1991/2010.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_Toc372740112 \h </w:instrText>
        </w:r>
        <w:r w:rsidR="00B16C6C" w:rsidRPr="009A0C4A">
          <w:rPr>
            <w:b w:val="0"/>
            <w:noProof/>
            <w:webHidden/>
          </w:rPr>
        </w:r>
        <w:r w:rsidR="00B16C6C" w:rsidRPr="009A0C4A">
          <w:rPr>
            <w:b w:val="0"/>
            <w:noProof/>
            <w:webHidden/>
          </w:rPr>
          <w:fldChar w:fldCharType="separate"/>
        </w:r>
        <w:r>
          <w:rPr>
            <w:b w:val="0"/>
            <w:noProof/>
            <w:webHidden/>
          </w:rPr>
          <w:t>84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13" w:history="1">
        <w:r w:rsidR="009A0C4A" w:rsidRPr="009A0C4A">
          <w:rPr>
            <w:rStyle w:val="Hyperlink"/>
            <w:b w:val="0"/>
            <w:noProof/>
          </w:rPr>
          <w:t>Figura 30 - Especificação do PIB de Aimorés/MG, 2011.</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_Toc372740113 \h </w:instrText>
        </w:r>
        <w:r w:rsidR="00B16C6C" w:rsidRPr="009A0C4A">
          <w:rPr>
            <w:b w:val="0"/>
            <w:noProof/>
            <w:webHidden/>
          </w:rPr>
        </w:r>
        <w:r w:rsidR="00B16C6C" w:rsidRPr="009A0C4A">
          <w:rPr>
            <w:b w:val="0"/>
            <w:noProof/>
            <w:webHidden/>
          </w:rPr>
          <w:fldChar w:fldCharType="separate"/>
        </w:r>
        <w:r>
          <w:rPr>
            <w:b w:val="0"/>
            <w:noProof/>
            <w:webHidden/>
          </w:rPr>
          <w:t>87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14" w:history="1">
        <w:r w:rsidR="009A0C4A" w:rsidRPr="009A0C4A">
          <w:rPr>
            <w:rStyle w:val="Hyperlink"/>
            <w:b w:val="0"/>
            <w:noProof/>
          </w:rPr>
          <w:t>Figura 31</w:t>
        </w:r>
        <w:r w:rsidR="00AE65D3">
          <w:rPr>
            <w:rStyle w:val="Hyperlink"/>
            <w:b w:val="0"/>
            <w:noProof/>
          </w:rPr>
          <w:t xml:space="preserve"> </w:t>
        </w:r>
        <w:r w:rsidR="009A0C4A" w:rsidRPr="009A0C4A">
          <w:rPr>
            <w:rStyle w:val="Hyperlink"/>
            <w:b w:val="0"/>
            <w:noProof/>
          </w:rPr>
          <w:t>- Indicadores da situação da Educação, Aimorés/MG,2010.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_Toc372740114 \h </w:instrText>
        </w:r>
        <w:r w:rsidR="00B16C6C" w:rsidRPr="009A0C4A">
          <w:rPr>
            <w:b w:val="0"/>
            <w:noProof/>
            <w:webHidden/>
          </w:rPr>
        </w:r>
        <w:r w:rsidR="00B16C6C" w:rsidRPr="009A0C4A">
          <w:rPr>
            <w:b w:val="0"/>
            <w:noProof/>
            <w:webHidden/>
          </w:rPr>
          <w:fldChar w:fldCharType="separate"/>
        </w:r>
        <w:r>
          <w:rPr>
            <w:b w:val="0"/>
            <w:noProof/>
            <w:webHidden/>
          </w:rPr>
          <w:t>92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15" w:history="1">
        <w:r w:rsidR="009A0C4A" w:rsidRPr="009A0C4A">
          <w:rPr>
            <w:rStyle w:val="Hyperlink"/>
            <w:b w:val="0"/>
            <w:noProof/>
          </w:rPr>
          <w:t>Figura 32 -Taxa de mortalidade de menores de 5 anos, Aimorés/MG, 1995/2011.</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_Toc372740115 \h </w:instrText>
        </w:r>
        <w:r w:rsidR="00B16C6C" w:rsidRPr="009A0C4A">
          <w:rPr>
            <w:b w:val="0"/>
            <w:noProof/>
            <w:webHidden/>
          </w:rPr>
        </w:r>
        <w:r w:rsidR="00B16C6C" w:rsidRPr="009A0C4A">
          <w:rPr>
            <w:b w:val="0"/>
            <w:noProof/>
            <w:webHidden/>
          </w:rPr>
          <w:fldChar w:fldCharType="separate"/>
        </w:r>
        <w:r>
          <w:rPr>
            <w:b w:val="0"/>
            <w:noProof/>
            <w:webHidden/>
          </w:rPr>
          <w:t>99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16" w:history="1">
        <w:r w:rsidR="009A0C4A" w:rsidRPr="009A0C4A">
          <w:rPr>
            <w:rStyle w:val="Hyperlink"/>
            <w:b w:val="0"/>
            <w:noProof/>
          </w:rPr>
          <w:t>Figura 33 - Percentual de crianças nascidas vivas por número de consultas pré-natais, Aimorés/MG, 2011.</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_Toc372740116 \h </w:instrText>
        </w:r>
        <w:r w:rsidR="00B16C6C" w:rsidRPr="009A0C4A">
          <w:rPr>
            <w:b w:val="0"/>
            <w:noProof/>
            <w:webHidden/>
          </w:rPr>
        </w:r>
        <w:r w:rsidR="00B16C6C" w:rsidRPr="009A0C4A">
          <w:rPr>
            <w:b w:val="0"/>
            <w:noProof/>
            <w:webHidden/>
          </w:rPr>
          <w:fldChar w:fldCharType="separate"/>
        </w:r>
        <w:r>
          <w:rPr>
            <w:b w:val="0"/>
            <w:noProof/>
            <w:webHidden/>
          </w:rPr>
          <w:t>100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17" w:history="1">
        <w:r w:rsidR="009A0C4A" w:rsidRPr="009A0C4A">
          <w:rPr>
            <w:rStyle w:val="Hyperlink"/>
            <w:b w:val="0"/>
            <w:noProof/>
          </w:rPr>
          <w:t>Figura 34 - Percentual de crianças menores de 1 ano com vacinação em dia, Aimorés/MG, 2000/2012.</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_Toc372740117 \h </w:instrText>
        </w:r>
        <w:r w:rsidR="00B16C6C" w:rsidRPr="009A0C4A">
          <w:rPr>
            <w:b w:val="0"/>
            <w:noProof/>
            <w:webHidden/>
          </w:rPr>
        </w:r>
        <w:r w:rsidR="00B16C6C" w:rsidRPr="009A0C4A">
          <w:rPr>
            <w:b w:val="0"/>
            <w:noProof/>
            <w:webHidden/>
          </w:rPr>
          <w:fldChar w:fldCharType="separate"/>
        </w:r>
        <w:r>
          <w:rPr>
            <w:b w:val="0"/>
            <w:noProof/>
            <w:webHidden/>
          </w:rPr>
          <w:t>101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18" w:history="1">
        <w:r w:rsidR="009A0C4A" w:rsidRPr="009A0C4A">
          <w:rPr>
            <w:rStyle w:val="Hyperlink"/>
            <w:b w:val="0"/>
            <w:noProof/>
          </w:rPr>
          <w:t>Figura 35 - Dimensões do IDH e suas contribuições, Aimorés, MG, 2000.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_Toc372740118 \h </w:instrText>
        </w:r>
        <w:r w:rsidR="00B16C6C" w:rsidRPr="009A0C4A">
          <w:rPr>
            <w:b w:val="0"/>
            <w:noProof/>
            <w:webHidden/>
          </w:rPr>
        </w:r>
        <w:r w:rsidR="00B16C6C" w:rsidRPr="009A0C4A">
          <w:rPr>
            <w:b w:val="0"/>
            <w:noProof/>
            <w:webHidden/>
          </w:rPr>
          <w:fldChar w:fldCharType="separate"/>
        </w:r>
        <w:r>
          <w:rPr>
            <w:b w:val="0"/>
            <w:noProof/>
            <w:webHidden/>
          </w:rPr>
          <w:t>107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19" w:history="1">
        <w:r w:rsidR="009A0C4A" w:rsidRPr="009A0C4A">
          <w:rPr>
            <w:rStyle w:val="Hyperlink"/>
            <w:b w:val="0"/>
            <w:noProof/>
          </w:rPr>
          <w:t>Figura 36 - Dimensões do IDH e suas contribuições, Aimorés, MG, 2000.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_Toc372740119 \h </w:instrText>
        </w:r>
        <w:r w:rsidR="00B16C6C" w:rsidRPr="009A0C4A">
          <w:rPr>
            <w:b w:val="0"/>
            <w:noProof/>
            <w:webHidden/>
          </w:rPr>
        </w:r>
        <w:r w:rsidR="00B16C6C" w:rsidRPr="009A0C4A">
          <w:rPr>
            <w:b w:val="0"/>
            <w:noProof/>
            <w:webHidden/>
          </w:rPr>
          <w:fldChar w:fldCharType="separate"/>
        </w:r>
        <w:r>
          <w:rPr>
            <w:b w:val="0"/>
            <w:noProof/>
            <w:webHidden/>
          </w:rPr>
          <w:t>110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20" w:history="1">
        <w:r w:rsidR="009A0C4A" w:rsidRPr="009A0C4A">
          <w:rPr>
            <w:rStyle w:val="Hyperlink"/>
            <w:b w:val="0"/>
            <w:noProof/>
          </w:rPr>
          <w:t>Figura 37 - Esquema Geral de um Sistema de Abastecimento de Água.</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_Toc372740120 \h </w:instrText>
        </w:r>
        <w:r w:rsidR="00B16C6C" w:rsidRPr="009A0C4A">
          <w:rPr>
            <w:b w:val="0"/>
            <w:noProof/>
            <w:webHidden/>
          </w:rPr>
        </w:r>
        <w:r w:rsidR="00B16C6C" w:rsidRPr="009A0C4A">
          <w:rPr>
            <w:b w:val="0"/>
            <w:noProof/>
            <w:webHidden/>
          </w:rPr>
          <w:fldChar w:fldCharType="separate"/>
        </w:r>
        <w:r>
          <w:rPr>
            <w:b w:val="0"/>
            <w:noProof/>
            <w:webHidden/>
          </w:rPr>
          <w:t>149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21" w:history="1">
        <w:r w:rsidR="009A0C4A" w:rsidRPr="009A0C4A">
          <w:rPr>
            <w:rStyle w:val="Hyperlink"/>
            <w:b w:val="0"/>
            <w:noProof/>
          </w:rPr>
          <w:t>Figura 38 - Pontos de Captação de água bruta no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_Toc372740121 \h </w:instrText>
        </w:r>
        <w:r w:rsidR="00B16C6C" w:rsidRPr="009A0C4A">
          <w:rPr>
            <w:b w:val="0"/>
            <w:noProof/>
            <w:webHidden/>
          </w:rPr>
        </w:r>
        <w:r w:rsidR="00B16C6C" w:rsidRPr="009A0C4A">
          <w:rPr>
            <w:b w:val="0"/>
            <w:noProof/>
            <w:webHidden/>
          </w:rPr>
          <w:fldChar w:fldCharType="separate"/>
        </w:r>
        <w:r>
          <w:rPr>
            <w:b w:val="0"/>
            <w:noProof/>
            <w:webHidden/>
          </w:rPr>
          <w:t>152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22" w:history="1">
        <w:r w:rsidR="009A0C4A" w:rsidRPr="009A0C4A">
          <w:rPr>
            <w:rStyle w:val="Hyperlink"/>
            <w:b w:val="0"/>
            <w:noProof/>
          </w:rPr>
          <w:t>Figura 39 - Local de Captação no rio Manhuaçu (Local: 24K 0279712 7844239/Altitude: 88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_Toc372740122 \h </w:instrText>
        </w:r>
        <w:r w:rsidR="00B16C6C" w:rsidRPr="009A0C4A">
          <w:rPr>
            <w:b w:val="0"/>
            <w:noProof/>
            <w:webHidden/>
          </w:rPr>
        </w:r>
        <w:r w:rsidR="00B16C6C" w:rsidRPr="009A0C4A">
          <w:rPr>
            <w:b w:val="0"/>
            <w:noProof/>
            <w:webHidden/>
          </w:rPr>
          <w:fldChar w:fldCharType="separate"/>
        </w:r>
        <w:r>
          <w:rPr>
            <w:b w:val="0"/>
            <w:noProof/>
            <w:webHidden/>
          </w:rPr>
          <w:t>162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23" w:history="1">
        <w:r w:rsidR="009A0C4A" w:rsidRPr="009A0C4A">
          <w:rPr>
            <w:rStyle w:val="Hyperlink"/>
            <w:b w:val="0"/>
            <w:noProof/>
          </w:rPr>
          <w:t>Figura 40 - Vista da tomada de água no rio é realizada por uma caixa de coleta protegida por gradeamento. (Local: 24K 0279712 7844239/Altitude: 88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_Toc372740123 \h </w:instrText>
        </w:r>
        <w:r w:rsidR="00B16C6C" w:rsidRPr="009A0C4A">
          <w:rPr>
            <w:b w:val="0"/>
            <w:noProof/>
            <w:webHidden/>
          </w:rPr>
        </w:r>
        <w:r w:rsidR="00B16C6C" w:rsidRPr="009A0C4A">
          <w:rPr>
            <w:b w:val="0"/>
            <w:noProof/>
            <w:webHidden/>
          </w:rPr>
          <w:fldChar w:fldCharType="separate"/>
        </w:r>
        <w:r>
          <w:rPr>
            <w:b w:val="0"/>
            <w:noProof/>
            <w:webHidden/>
          </w:rPr>
          <w:t>163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24" w:history="1">
        <w:r w:rsidR="009A0C4A" w:rsidRPr="009A0C4A">
          <w:rPr>
            <w:rStyle w:val="Hyperlink"/>
            <w:b w:val="0"/>
            <w:noProof/>
          </w:rPr>
          <w:t>Figura 41 - Vista de parte da estrutura do Desarenador (Local: 24K 0279712 7844239/Altitude: 88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_Toc372740124 \h </w:instrText>
        </w:r>
        <w:r w:rsidR="00B16C6C" w:rsidRPr="009A0C4A">
          <w:rPr>
            <w:b w:val="0"/>
            <w:noProof/>
            <w:webHidden/>
          </w:rPr>
        </w:r>
        <w:r w:rsidR="00B16C6C" w:rsidRPr="009A0C4A">
          <w:rPr>
            <w:b w:val="0"/>
            <w:noProof/>
            <w:webHidden/>
          </w:rPr>
          <w:fldChar w:fldCharType="separate"/>
        </w:r>
        <w:r>
          <w:rPr>
            <w:b w:val="0"/>
            <w:noProof/>
            <w:webHidden/>
          </w:rPr>
          <w:t>164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25" w:history="1">
        <w:r w:rsidR="009A0C4A" w:rsidRPr="009A0C4A">
          <w:rPr>
            <w:rStyle w:val="Hyperlink"/>
            <w:b w:val="0"/>
            <w:noProof/>
          </w:rPr>
          <w:t>Figura 42 - Aspecto visual do bombeamento da água (Local: 24K 0279712 7844239/Altitude: 88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_Toc372740125 \h </w:instrText>
        </w:r>
        <w:r w:rsidR="00B16C6C" w:rsidRPr="009A0C4A">
          <w:rPr>
            <w:b w:val="0"/>
            <w:noProof/>
            <w:webHidden/>
          </w:rPr>
        </w:r>
        <w:r w:rsidR="00B16C6C" w:rsidRPr="009A0C4A">
          <w:rPr>
            <w:b w:val="0"/>
            <w:noProof/>
            <w:webHidden/>
          </w:rPr>
          <w:fldChar w:fldCharType="separate"/>
        </w:r>
        <w:r>
          <w:rPr>
            <w:b w:val="0"/>
            <w:noProof/>
            <w:webHidden/>
          </w:rPr>
          <w:t>165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26" w:history="1">
        <w:r w:rsidR="009A0C4A" w:rsidRPr="009A0C4A">
          <w:rPr>
            <w:rStyle w:val="Hyperlink"/>
            <w:b w:val="0"/>
            <w:noProof/>
          </w:rPr>
          <w:t>Figura 43 - Casa de Bombas (Local: 24K 0279712 7844239/Altitude: 88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_Toc372740126 \h </w:instrText>
        </w:r>
        <w:r w:rsidR="00B16C6C" w:rsidRPr="009A0C4A">
          <w:rPr>
            <w:b w:val="0"/>
            <w:noProof/>
            <w:webHidden/>
          </w:rPr>
        </w:r>
        <w:r w:rsidR="00B16C6C" w:rsidRPr="009A0C4A">
          <w:rPr>
            <w:b w:val="0"/>
            <w:noProof/>
            <w:webHidden/>
          </w:rPr>
          <w:fldChar w:fldCharType="separate"/>
        </w:r>
        <w:r>
          <w:rPr>
            <w:b w:val="0"/>
            <w:noProof/>
            <w:webHidden/>
          </w:rPr>
          <w:t>165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27" w:history="1">
        <w:r w:rsidR="009A0C4A" w:rsidRPr="009A0C4A">
          <w:rPr>
            <w:rStyle w:val="Hyperlink"/>
            <w:b w:val="0"/>
            <w:noProof/>
          </w:rPr>
          <w:t>Figura 44 - Conjunto de Moto-Bombas (Local: 24K 0279712 7844239/Altitude: 88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_Toc372740127 \h </w:instrText>
        </w:r>
        <w:r w:rsidR="00B16C6C" w:rsidRPr="009A0C4A">
          <w:rPr>
            <w:b w:val="0"/>
            <w:noProof/>
            <w:webHidden/>
          </w:rPr>
        </w:r>
        <w:r w:rsidR="00B16C6C" w:rsidRPr="009A0C4A">
          <w:rPr>
            <w:b w:val="0"/>
            <w:noProof/>
            <w:webHidden/>
          </w:rPr>
          <w:fldChar w:fldCharType="separate"/>
        </w:r>
        <w:r>
          <w:rPr>
            <w:b w:val="0"/>
            <w:noProof/>
            <w:webHidden/>
          </w:rPr>
          <w:t>166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28" w:history="1">
        <w:r w:rsidR="009A0C4A" w:rsidRPr="009A0C4A">
          <w:rPr>
            <w:rStyle w:val="Hyperlink"/>
            <w:b w:val="0"/>
            <w:noProof/>
          </w:rPr>
          <w:t>Figura 45 - Estação Elevatória do Sistema Aimorés no Morro do Anésio (Local: 24K 0281454 7842822/Altitude: 117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_Toc372740128 \h </w:instrText>
        </w:r>
        <w:r w:rsidR="00B16C6C" w:rsidRPr="009A0C4A">
          <w:rPr>
            <w:b w:val="0"/>
            <w:noProof/>
            <w:webHidden/>
          </w:rPr>
        </w:r>
        <w:r w:rsidR="00B16C6C" w:rsidRPr="009A0C4A">
          <w:rPr>
            <w:b w:val="0"/>
            <w:noProof/>
            <w:webHidden/>
          </w:rPr>
          <w:fldChar w:fldCharType="separate"/>
        </w:r>
        <w:r>
          <w:rPr>
            <w:b w:val="0"/>
            <w:noProof/>
            <w:webHidden/>
          </w:rPr>
          <w:t>168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29" w:history="1">
        <w:r w:rsidR="009A0C4A" w:rsidRPr="009A0C4A">
          <w:rPr>
            <w:rStyle w:val="Hyperlink"/>
            <w:b w:val="0"/>
            <w:noProof/>
          </w:rPr>
          <w:t>Figura 46 - Aspecto visual da captação de água bruta por meio de poço artesiano (Local: 24K 0253242 7815185/Altitude: 259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_Toc372740129 \h </w:instrText>
        </w:r>
        <w:r w:rsidR="00B16C6C" w:rsidRPr="009A0C4A">
          <w:rPr>
            <w:b w:val="0"/>
            <w:noProof/>
            <w:webHidden/>
          </w:rPr>
        </w:r>
        <w:r w:rsidR="00B16C6C" w:rsidRPr="009A0C4A">
          <w:rPr>
            <w:b w:val="0"/>
            <w:noProof/>
            <w:webHidden/>
          </w:rPr>
          <w:fldChar w:fldCharType="separate"/>
        </w:r>
        <w:r>
          <w:rPr>
            <w:b w:val="0"/>
            <w:noProof/>
            <w:webHidden/>
          </w:rPr>
          <w:t>170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30" w:history="1">
        <w:r w:rsidR="009A0C4A" w:rsidRPr="009A0C4A">
          <w:rPr>
            <w:rStyle w:val="Hyperlink"/>
            <w:b w:val="0"/>
            <w:noProof/>
          </w:rPr>
          <w:t>Figura 47 - Aerador (Local: 24K 0253045 7815118/Altitude: 263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_Toc372740130 \h </w:instrText>
        </w:r>
        <w:r w:rsidR="00B16C6C" w:rsidRPr="009A0C4A">
          <w:rPr>
            <w:b w:val="0"/>
            <w:noProof/>
            <w:webHidden/>
          </w:rPr>
        </w:r>
        <w:r w:rsidR="00B16C6C" w:rsidRPr="009A0C4A">
          <w:rPr>
            <w:b w:val="0"/>
            <w:noProof/>
            <w:webHidden/>
          </w:rPr>
          <w:fldChar w:fldCharType="separate"/>
        </w:r>
        <w:r>
          <w:rPr>
            <w:b w:val="0"/>
            <w:noProof/>
            <w:webHidden/>
          </w:rPr>
          <w:t>171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31" w:history="1">
        <w:r w:rsidR="009A0C4A" w:rsidRPr="009A0C4A">
          <w:rPr>
            <w:rStyle w:val="Hyperlink"/>
            <w:b w:val="0"/>
            <w:noProof/>
          </w:rPr>
          <w:t>Figura 48 - Unidade de Filtragem Lenta (Local: 24K 0253045 7815118/Altitude: 263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_Toc372740131 \h </w:instrText>
        </w:r>
        <w:r w:rsidR="00B16C6C" w:rsidRPr="009A0C4A">
          <w:rPr>
            <w:b w:val="0"/>
            <w:noProof/>
            <w:webHidden/>
          </w:rPr>
        </w:r>
        <w:r w:rsidR="00B16C6C" w:rsidRPr="009A0C4A">
          <w:rPr>
            <w:b w:val="0"/>
            <w:noProof/>
            <w:webHidden/>
          </w:rPr>
          <w:fldChar w:fldCharType="separate"/>
        </w:r>
        <w:r>
          <w:rPr>
            <w:b w:val="0"/>
            <w:noProof/>
            <w:webHidden/>
          </w:rPr>
          <w:t>171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32" w:history="1">
        <w:r w:rsidR="009A0C4A" w:rsidRPr="009A0C4A">
          <w:rPr>
            <w:rStyle w:val="Hyperlink"/>
            <w:b w:val="0"/>
            <w:noProof/>
          </w:rPr>
          <w:t>Figura 49 - Aspecto visual da captação de água bruta localizado no rio Capim Anésio (Local: 24K 0265946 7834742/Altitude: 147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_Toc372740132 \h </w:instrText>
        </w:r>
        <w:r w:rsidR="00B16C6C" w:rsidRPr="009A0C4A">
          <w:rPr>
            <w:b w:val="0"/>
            <w:noProof/>
            <w:webHidden/>
          </w:rPr>
        </w:r>
        <w:r w:rsidR="00B16C6C" w:rsidRPr="009A0C4A">
          <w:rPr>
            <w:b w:val="0"/>
            <w:noProof/>
            <w:webHidden/>
          </w:rPr>
          <w:fldChar w:fldCharType="separate"/>
        </w:r>
        <w:r>
          <w:rPr>
            <w:b w:val="0"/>
            <w:noProof/>
            <w:webHidden/>
          </w:rPr>
          <w:t>173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33" w:history="1">
        <w:r w:rsidR="009A0C4A" w:rsidRPr="009A0C4A">
          <w:rPr>
            <w:rStyle w:val="Hyperlink"/>
            <w:b w:val="0"/>
            <w:noProof/>
          </w:rPr>
          <w:t>Figura 50 - Vista da Casa de Química (Local: 24K 0281372 7843151 /Altitude: 177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_Toc372740133 \h </w:instrText>
        </w:r>
        <w:r w:rsidR="00B16C6C" w:rsidRPr="009A0C4A">
          <w:rPr>
            <w:b w:val="0"/>
            <w:noProof/>
            <w:webHidden/>
          </w:rPr>
        </w:r>
        <w:r w:rsidR="00B16C6C" w:rsidRPr="009A0C4A">
          <w:rPr>
            <w:b w:val="0"/>
            <w:noProof/>
            <w:webHidden/>
          </w:rPr>
          <w:fldChar w:fldCharType="separate"/>
        </w:r>
        <w:r>
          <w:rPr>
            <w:b w:val="0"/>
            <w:noProof/>
            <w:webHidden/>
          </w:rPr>
          <w:t>174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34" w:history="1">
        <w:r w:rsidR="009A0C4A" w:rsidRPr="009A0C4A">
          <w:rPr>
            <w:rStyle w:val="Hyperlink"/>
            <w:b w:val="0"/>
            <w:noProof/>
          </w:rPr>
          <w:t>Figura 51 - Floculador (Local: 24K 0281372 7843151 /Altitude: 177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_Toc372740134 \h </w:instrText>
        </w:r>
        <w:r w:rsidR="00B16C6C" w:rsidRPr="009A0C4A">
          <w:rPr>
            <w:b w:val="0"/>
            <w:noProof/>
            <w:webHidden/>
          </w:rPr>
        </w:r>
        <w:r w:rsidR="00B16C6C" w:rsidRPr="009A0C4A">
          <w:rPr>
            <w:b w:val="0"/>
            <w:noProof/>
            <w:webHidden/>
          </w:rPr>
          <w:fldChar w:fldCharType="separate"/>
        </w:r>
        <w:r>
          <w:rPr>
            <w:b w:val="0"/>
            <w:noProof/>
            <w:webHidden/>
          </w:rPr>
          <w:t>174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35" w:history="1">
        <w:r w:rsidR="009A0C4A" w:rsidRPr="009A0C4A">
          <w:rPr>
            <w:rStyle w:val="Hyperlink"/>
            <w:b w:val="0"/>
            <w:noProof/>
          </w:rPr>
          <w:t>Figura 52 - Decantador (Local: 24K 0281372 7843151 /Altitude: 177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_Toc372740135 \h </w:instrText>
        </w:r>
        <w:r w:rsidR="00B16C6C" w:rsidRPr="009A0C4A">
          <w:rPr>
            <w:b w:val="0"/>
            <w:noProof/>
            <w:webHidden/>
          </w:rPr>
        </w:r>
        <w:r w:rsidR="00B16C6C" w:rsidRPr="009A0C4A">
          <w:rPr>
            <w:b w:val="0"/>
            <w:noProof/>
            <w:webHidden/>
          </w:rPr>
          <w:fldChar w:fldCharType="separate"/>
        </w:r>
        <w:r>
          <w:rPr>
            <w:b w:val="0"/>
            <w:noProof/>
            <w:webHidden/>
          </w:rPr>
          <w:t>175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36" w:history="1">
        <w:r w:rsidR="009A0C4A" w:rsidRPr="009A0C4A">
          <w:rPr>
            <w:rStyle w:val="Hyperlink"/>
            <w:b w:val="0"/>
            <w:noProof/>
          </w:rPr>
          <w:t>Figura 53 - Caixa de Passagem (Local: 24K 0281372 7843151 /Altitude: 177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_Toc372740136 \h </w:instrText>
        </w:r>
        <w:r w:rsidR="00B16C6C" w:rsidRPr="009A0C4A">
          <w:rPr>
            <w:b w:val="0"/>
            <w:noProof/>
            <w:webHidden/>
          </w:rPr>
        </w:r>
        <w:r w:rsidR="00B16C6C" w:rsidRPr="009A0C4A">
          <w:rPr>
            <w:b w:val="0"/>
            <w:noProof/>
            <w:webHidden/>
          </w:rPr>
          <w:fldChar w:fldCharType="separate"/>
        </w:r>
        <w:r>
          <w:rPr>
            <w:b w:val="0"/>
            <w:noProof/>
            <w:webHidden/>
          </w:rPr>
          <w:t>175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37" w:history="1">
        <w:r w:rsidR="009A0C4A" w:rsidRPr="009A0C4A">
          <w:rPr>
            <w:rStyle w:val="Hyperlink"/>
            <w:b w:val="0"/>
            <w:noProof/>
          </w:rPr>
          <w:t>Figura 54 - Unidade de Filtragem Lenta (Local: 24K 0281372 7843151 /Altitude: 177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_Toc372740137 \h </w:instrText>
        </w:r>
        <w:r w:rsidR="00B16C6C" w:rsidRPr="009A0C4A">
          <w:rPr>
            <w:b w:val="0"/>
            <w:noProof/>
            <w:webHidden/>
          </w:rPr>
        </w:r>
        <w:r w:rsidR="00B16C6C" w:rsidRPr="009A0C4A">
          <w:rPr>
            <w:b w:val="0"/>
            <w:noProof/>
            <w:webHidden/>
          </w:rPr>
          <w:fldChar w:fldCharType="separate"/>
        </w:r>
        <w:r>
          <w:rPr>
            <w:b w:val="0"/>
            <w:noProof/>
            <w:webHidden/>
          </w:rPr>
          <w:t>176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38" w:history="1">
        <w:r w:rsidR="009A0C4A" w:rsidRPr="009A0C4A">
          <w:rPr>
            <w:rStyle w:val="Hyperlink"/>
            <w:b w:val="0"/>
            <w:noProof/>
          </w:rPr>
          <w:t>Figura 55 - Área de adição de cloro e flúor (Local: 24K 0281372 7843151 /Altitude: 177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_Toc372740138 \h </w:instrText>
        </w:r>
        <w:r w:rsidR="00B16C6C" w:rsidRPr="009A0C4A">
          <w:rPr>
            <w:b w:val="0"/>
            <w:noProof/>
            <w:webHidden/>
          </w:rPr>
        </w:r>
        <w:r w:rsidR="00B16C6C" w:rsidRPr="009A0C4A">
          <w:rPr>
            <w:b w:val="0"/>
            <w:noProof/>
            <w:webHidden/>
          </w:rPr>
          <w:fldChar w:fldCharType="separate"/>
        </w:r>
        <w:r>
          <w:rPr>
            <w:b w:val="0"/>
            <w:noProof/>
            <w:webHidden/>
          </w:rPr>
          <w:t>176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39" w:history="1">
        <w:r w:rsidR="009A0C4A" w:rsidRPr="009A0C4A">
          <w:rPr>
            <w:rStyle w:val="Hyperlink"/>
            <w:b w:val="0"/>
            <w:noProof/>
          </w:rPr>
          <w:t>Figura 56 - Reservatório do sistema (Local: 24K 0281372 7843151 /Altitude: 177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_Toc372740139 \h </w:instrText>
        </w:r>
        <w:r w:rsidR="00B16C6C" w:rsidRPr="009A0C4A">
          <w:rPr>
            <w:b w:val="0"/>
            <w:noProof/>
            <w:webHidden/>
          </w:rPr>
        </w:r>
        <w:r w:rsidR="00B16C6C" w:rsidRPr="009A0C4A">
          <w:rPr>
            <w:b w:val="0"/>
            <w:noProof/>
            <w:webHidden/>
          </w:rPr>
          <w:fldChar w:fldCharType="separate"/>
        </w:r>
        <w:r>
          <w:rPr>
            <w:b w:val="0"/>
            <w:noProof/>
            <w:webHidden/>
          </w:rPr>
          <w:t>177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40" w:history="1">
        <w:r w:rsidR="009A0C4A" w:rsidRPr="009A0C4A">
          <w:rPr>
            <w:rStyle w:val="Hyperlink"/>
            <w:b w:val="0"/>
            <w:noProof/>
          </w:rPr>
          <w:t>Figura 57 - Aspecto visual da captação de água bruta localizado no rio Capim (Local: 24K 0263730 7823202 / Altitude: 202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_Toc372740140 \h </w:instrText>
        </w:r>
        <w:r w:rsidR="00B16C6C" w:rsidRPr="009A0C4A">
          <w:rPr>
            <w:b w:val="0"/>
            <w:noProof/>
            <w:webHidden/>
          </w:rPr>
        </w:r>
        <w:r w:rsidR="00B16C6C" w:rsidRPr="009A0C4A">
          <w:rPr>
            <w:b w:val="0"/>
            <w:noProof/>
            <w:webHidden/>
          </w:rPr>
          <w:fldChar w:fldCharType="separate"/>
        </w:r>
        <w:r>
          <w:rPr>
            <w:b w:val="0"/>
            <w:noProof/>
            <w:webHidden/>
          </w:rPr>
          <w:t>178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41" w:history="1">
        <w:r w:rsidR="009A0C4A" w:rsidRPr="009A0C4A">
          <w:rPr>
            <w:rStyle w:val="Hyperlink"/>
            <w:b w:val="0"/>
            <w:noProof/>
          </w:rPr>
          <w:t>Figura 58 - Aspecto visual do lançamento de esgoto doméstico próximo ao ponto de captação de água bruta no Rio Capim (Local: 24K 0263730 7823202 / Altitude: 202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_Toc372740141 \h </w:instrText>
        </w:r>
        <w:r w:rsidR="00B16C6C" w:rsidRPr="009A0C4A">
          <w:rPr>
            <w:b w:val="0"/>
            <w:noProof/>
            <w:webHidden/>
          </w:rPr>
        </w:r>
        <w:r w:rsidR="00B16C6C" w:rsidRPr="009A0C4A">
          <w:rPr>
            <w:b w:val="0"/>
            <w:noProof/>
            <w:webHidden/>
          </w:rPr>
          <w:fldChar w:fldCharType="separate"/>
        </w:r>
        <w:r>
          <w:rPr>
            <w:b w:val="0"/>
            <w:noProof/>
            <w:webHidden/>
          </w:rPr>
          <w:t>178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42" w:history="1">
        <w:r w:rsidR="009A0C4A" w:rsidRPr="009A0C4A">
          <w:rPr>
            <w:rStyle w:val="Hyperlink"/>
            <w:b w:val="0"/>
            <w:noProof/>
          </w:rPr>
          <w:t>Figura 59 - Aspecto visual do lançamento de esgoto doméstico próximo ao ponto de captação de água bruta no rio Capim (Local: 24K 0263730 7823202 / Altitude: 202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_Toc372740142 \h </w:instrText>
        </w:r>
        <w:r w:rsidR="00B16C6C" w:rsidRPr="009A0C4A">
          <w:rPr>
            <w:b w:val="0"/>
            <w:noProof/>
            <w:webHidden/>
          </w:rPr>
        </w:r>
        <w:r w:rsidR="00B16C6C" w:rsidRPr="009A0C4A">
          <w:rPr>
            <w:b w:val="0"/>
            <w:noProof/>
            <w:webHidden/>
          </w:rPr>
          <w:fldChar w:fldCharType="separate"/>
        </w:r>
        <w:r>
          <w:rPr>
            <w:b w:val="0"/>
            <w:noProof/>
            <w:webHidden/>
          </w:rPr>
          <w:t>179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43" w:history="1">
        <w:r w:rsidR="009A0C4A" w:rsidRPr="009A0C4A">
          <w:rPr>
            <w:rStyle w:val="Hyperlink"/>
            <w:b w:val="0"/>
            <w:noProof/>
          </w:rPr>
          <w:t>Figura 60 - Aspecto visual da captação de água bruta localizado no rio Capim (Local: 24K 0263730 7823202 / Altitude: 202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_Toc372740143 \h </w:instrText>
        </w:r>
        <w:r w:rsidR="00B16C6C" w:rsidRPr="009A0C4A">
          <w:rPr>
            <w:b w:val="0"/>
            <w:noProof/>
            <w:webHidden/>
          </w:rPr>
        </w:r>
        <w:r w:rsidR="00B16C6C" w:rsidRPr="009A0C4A">
          <w:rPr>
            <w:b w:val="0"/>
            <w:noProof/>
            <w:webHidden/>
          </w:rPr>
          <w:fldChar w:fldCharType="separate"/>
        </w:r>
        <w:r>
          <w:rPr>
            <w:b w:val="0"/>
            <w:noProof/>
            <w:webHidden/>
          </w:rPr>
          <w:t>180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44" w:history="1">
        <w:r w:rsidR="009A0C4A" w:rsidRPr="009A0C4A">
          <w:rPr>
            <w:rStyle w:val="Hyperlink"/>
            <w:b w:val="0"/>
            <w:noProof/>
          </w:rPr>
          <w:t>Figura 61 - Casa de Química (Local: 24K 0263973 7823449 / Altitude: 222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_Toc372740144 \h </w:instrText>
        </w:r>
        <w:r w:rsidR="00B16C6C" w:rsidRPr="009A0C4A">
          <w:rPr>
            <w:b w:val="0"/>
            <w:noProof/>
            <w:webHidden/>
          </w:rPr>
        </w:r>
        <w:r w:rsidR="00B16C6C" w:rsidRPr="009A0C4A">
          <w:rPr>
            <w:b w:val="0"/>
            <w:noProof/>
            <w:webHidden/>
          </w:rPr>
          <w:fldChar w:fldCharType="separate"/>
        </w:r>
        <w:r>
          <w:rPr>
            <w:b w:val="0"/>
            <w:noProof/>
            <w:webHidden/>
          </w:rPr>
          <w:t>181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45" w:history="1">
        <w:r w:rsidR="009A0C4A" w:rsidRPr="009A0C4A">
          <w:rPr>
            <w:rStyle w:val="Hyperlink"/>
            <w:b w:val="0"/>
            <w:noProof/>
          </w:rPr>
          <w:t>Figura 62 - Adição de Sulfeto de Alumínio (Local: 24K 0263973 7823449 / Altitude: 222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_Toc372740145 \h </w:instrText>
        </w:r>
        <w:r w:rsidR="00B16C6C" w:rsidRPr="009A0C4A">
          <w:rPr>
            <w:b w:val="0"/>
            <w:noProof/>
            <w:webHidden/>
          </w:rPr>
        </w:r>
        <w:r w:rsidR="00B16C6C" w:rsidRPr="009A0C4A">
          <w:rPr>
            <w:b w:val="0"/>
            <w:noProof/>
            <w:webHidden/>
          </w:rPr>
          <w:fldChar w:fldCharType="separate"/>
        </w:r>
        <w:r>
          <w:rPr>
            <w:b w:val="0"/>
            <w:noProof/>
            <w:webHidden/>
          </w:rPr>
          <w:t>181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46" w:history="1">
        <w:r w:rsidR="009A0C4A" w:rsidRPr="009A0C4A">
          <w:rPr>
            <w:rStyle w:val="Hyperlink"/>
            <w:b w:val="0"/>
            <w:noProof/>
          </w:rPr>
          <w:t>Figura 63 - Floculador (Local: 24K 0263973 7823449 / Altitude: 222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_Toc372740146 \h </w:instrText>
        </w:r>
        <w:r w:rsidR="00B16C6C" w:rsidRPr="009A0C4A">
          <w:rPr>
            <w:b w:val="0"/>
            <w:noProof/>
            <w:webHidden/>
          </w:rPr>
        </w:r>
        <w:r w:rsidR="00B16C6C" w:rsidRPr="009A0C4A">
          <w:rPr>
            <w:b w:val="0"/>
            <w:noProof/>
            <w:webHidden/>
          </w:rPr>
          <w:fldChar w:fldCharType="separate"/>
        </w:r>
        <w:r>
          <w:rPr>
            <w:b w:val="0"/>
            <w:noProof/>
            <w:webHidden/>
          </w:rPr>
          <w:t>182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47" w:history="1">
        <w:r w:rsidR="009A0C4A" w:rsidRPr="009A0C4A">
          <w:rPr>
            <w:rStyle w:val="Hyperlink"/>
            <w:b w:val="0"/>
            <w:noProof/>
          </w:rPr>
          <w:t>Figura 64 - Decantador (Local: 24K 0263973 7823449 / Altitude: 222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_Toc372740147 \h </w:instrText>
        </w:r>
        <w:r w:rsidR="00B16C6C" w:rsidRPr="009A0C4A">
          <w:rPr>
            <w:b w:val="0"/>
            <w:noProof/>
            <w:webHidden/>
          </w:rPr>
        </w:r>
        <w:r w:rsidR="00B16C6C" w:rsidRPr="009A0C4A">
          <w:rPr>
            <w:b w:val="0"/>
            <w:noProof/>
            <w:webHidden/>
          </w:rPr>
          <w:fldChar w:fldCharType="separate"/>
        </w:r>
        <w:r>
          <w:rPr>
            <w:b w:val="0"/>
            <w:noProof/>
            <w:webHidden/>
          </w:rPr>
          <w:t>182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48" w:history="1">
        <w:r w:rsidR="009A0C4A" w:rsidRPr="009A0C4A">
          <w:rPr>
            <w:rStyle w:val="Hyperlink"/>
            <w:b w:val="0"/>
            <w:noProof/>
          </w:rPr>
          <w:t>Figura 65 - Unidade de Filtragem Lenta (Local: 24K 0263973 7823449 / Altitude: 222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_Toc372740148 \h </w:instrText>
        </w:r>
        <w:r w:rsidR="00B16C6C" w:rsidRPr="009A0C4A">
          <w:rPr>
            <w:b w:val="0"/>
            <w:noProof/>
            <w:webHidden/>
          </w:rPr>
        </w:r>
        <w:r w:rsidR="00B16C6C" w:rsidRPr="009A0C4A">
          <w:rPr>
            <w:b w:val="0"/>
            <w:noProof/>
            <w:webHidden/>
          </w:rPr>
          <w:fldChar w:fldCharType="separate"/>
        </w:r>
        <w:r>
          <w:rPr>
            <w:b w:val="0"/>
            <w:noProof/>
            <w:webHidden/>
          </w:rPr>
          <w:t>183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49" w:history="1">
        <w:r w:rsidR="009A0C4A" w:rsidRPr="009A0C4A">
          <w:rPr>
            <w:rStyle w:val="Hyperlink"/>
            <w:b w:val="0"/>
            <w:noProof/>
          </w:rPr>
          <w:t>Figura 66 - Vista de parte da estrutura onde é realizada a cloração da água bruta (Local: 24K 0263973 7823449 / Altitude: 222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_Toc372740149 \h </w:instrText>
        </w:r>
        <w:r w:rsidR="00B16C6C" w:rsidRPr="009A0C4A">
          <w:rPr>
            <w:b w:val="0"/>
            <w:noProof/>
            <w:webHidden/>
          </w:rPr>
        </w:r>
        <w:r w:rsidR="00B16C6C" w:rsidRPr="009A0C4A">
          <w:rPr>
            <w:b w:val="0"/>
            <w:noProof/>
            <w:webHidden/>
          </w:rPr>
          <w:fldChar w:fldCharType="separate"/>
        </w:r>
        <w:r>
          <w:rPr>
            <w:b w:val="0"/>
            <w:noProof/>
            <w:webHidden/>
          </w:rPr>
          <w:t>183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50" w:history="1">
        <w:r w:rsidR="009A0C4A" w:rsidRPr="009A0C4A">
          <w:rPr>
            <w:rStyle w:val="Hyperlink"/>
            <w:b w:val="0"/>
            <w:noProof/>
          </w:rPr>
          <w:t>Figura 67 - Estação Elevatória de água (Local: 24K 0263973 7823449 / Altitude: 222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_Toc372740150 \h </w:instrText>
        </w:r>
        <w:r w:rsidR="00B16C6C" w:rsidRPr="009A0C4A">
          <w:rPr>
            <w:b w:val="0"/>
            <w:noProof/>
            <w:webHidden/>
          </w:rPr>
        </w:r>
        <w:r w:rsidR="00B16C6C" w:rsidRPr="009A0C4A">
          <w:rPr>
            <w:b w:val="0"/>
            <w:noProof/>
            <w:webHidden/>
          </w:rPr>
          <w:fldChar w:fldCharType="separate"/>
        </w:r>
        <w:r>
          <w:rPr>
            <w:b w:val="0"/>
            <w:noProof/>
            <w:webHidden/>
          </w:rPr>
          <w:t>184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51" w:history="1">
        <w:r w:rsidR="009A0C4A" w:rsidRPr="009A0C4A">
          <w:rPr>
            <w:rStyle w:val="Hyperlink"/>
            <w:b w:val="0"/>
            <w:noProof/>
          </w:rPr>
          <w:t>Figura 68 - Reservatório (Local: 24K 0263973 7823449 / Altitude: 222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_Toc372740151 \h </w:instrText>
        </w:r>
        <w:r w:rsidR="00B16C6C" w:rsidRPr="009A0C4A">
          <w:rPr>
            <w:b w:val="0"/>
            <w:noProof/>
            <w:webHidden/>
          </w:rPr>
        </w:r>
        <w:r w:rsidR="00B16C6C" w:rsidRPr="009A0C4A">
          <w:rPr>
            <w:b w:val="0"/>
            <w:noProof/>
            <w:webHidden/>
          </w:rPr>
          <w:fldChar w:fldCharType="separate"/>
        </w:r>
        <w:r>
          <w:rPr>
            <w:b w:val="0"/>
            <w:noProof/>
            <w:webHidden/>
          </w:rPr>
          <w:t>184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52" w:history="1">
        <w:r w:rsidR="009A0C4A" w:rsidRPr="009A0C4A">
          <w:rPr>
            <w:rStyle w:val="Hyperlink"/>
            <w:b w:val="0"/>
            <w:noProof/>
          </w:rPr>
          <w:t>Figura 69 - Vista parcial da pequena barragem no córrego Vala do Ubá para captação de água bruta (Local: 24K 0264463 7817859 / Altitude: 215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_Toc372740152 \h </w:instrText>
        </w:r>
        <w:r w:rsidR="00B16C6C" w:rsidRPr="009A0C4A">
          <w:rPr>
            <w:b w:val="0"/>
            <w:noProof/>
            <w:webHidden/>
          </w:rPr>
        </w:r>
        <w:r w:rsidR="00B16C6C" w:rsidRPr="009A0C4A">
          <w:rPr>
            <w:b w:val="0"/>
            <w:noProof/>
            <w:webHidden/>
          </w:rPr>
          <w:fldChar w:fldCharType="separate"/>
        </w:r>
        <w:r>
          <w:rPr>
            <w:b w:val="0"/>
            <w:noProof/>
            <w:webHidden/>
          </w:rPr>
          <w:t>185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53" w:history="1">
        <w:r w:rsidR="009A0C4A" w:rsidRPr="009A0C4A">
          <w:rPr>
            <w:rStyle w:val="Hyperlink"/>
            <w:b w:val="0"/>
            <w:noProof/>
          </w:rPr>
          <w:t>Figura 70 - Moto-bomba utilizada de captação de água bruta no córrego Vala do Ubá (Local: 24K 0264463 7817859 / Altitude: 215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_Toc372740153 \h </w:instrText>
        </w:r>
        <w:r w:rsidR="00B16C6C" w:rsidRPr="009A0C4A">
          <w:rPr>
            <w:b w:val="0"/>
            <w:noProof/>
            <w:webHidden/>
          </w:rPr>
        </w:r>
        <w:r w:rsidR="00B16C6C" w:rsidRPr="009A0C4A">
          <w:rPr>
            <w:b w:val="0"/>
            <w:noProof/>
            <w:webHidden/>
          </w:rPr>
          <w:fldChar w:fldCharType="separate"/>
        </w:r>
        <w:r>
          <w:rPr>
            <w:b w:val="0"/>
            <w:noProof/>
            <w:webHidden/>
          </w:rPr>
          <w:t>186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54" w:history="1">
        <w:r w:rsidR="009A0C4A" w:rsidRPr="009A0C4A">
          <w:rPr>
            <w:rStyle w:val="Hyperlink"/>
            <w:b w:val="0"/>
            <w:noProof/>
          </w:rPr>
          <w:t>Figura 71 - Casa de Química (Local: 24K 0260829 7814145 / Altitude: 252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_Toc372740154 \h </w:instrText>
        </w:r>
        <w:r w:rsidR="00B16C6C" w:rsidRPr="009A0C4A">
          <w:rPr>
            <w:b w:val="0"/>
            <w:noProof/>
            <w:webHidden/>
          </w:rPr>
        </w:r>
        <w:r w:rsidR="00B16C6C" w:rsidRPr="009A0C4A">
          <w:rPr>
            <w:b w:val="0"/>
            <w:noProof/>
            <w:webHidden/>
          </w:rPr>
          <w:fldChar w:fldCharType="separate"/>
        </w:r>
        <w:r>
          <w:rPr>
            <w:b w:val="0"/>
            <w:noProof/>
            <w:webHidden/>
          </w:rPr>
          <w:t>187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55" w:history="1">
        <w:r w:rsidR="009A0C4A" w:rsidRPr="009A0C4A">
          <w:rPr>
            <w:rStyle w:val="Hyperlink"/>
            <w:b w:val="0"/>
            <w:noProof/>
          </w:rPr>
          <w:t>Figura 72 - Floculador (Local: 24K 0260829 7814145 / Altitude: 252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_Toc372740155 \h </w:instrText>
        </w:r>
        <w:r w:rsidR="00B16C6C" w:rsidRPr="009A0C4A">
          <w:rPr>
            <w:b w:val="0"/>
            <w:noProof/>
            <w:webHidden/>
          </w:rPr>
        </w:r>
        <w:r w:rsidR="00B16C6C" w:rsidRPr="009A0C4A">
          <w:rPr>
            <w:b w:val="0"/>
            <w:noProof/>
            <w:webHidden/>
          </w:rPr>
          <w:fldChar w:fldCharType="separate"/>
        </w:r>
        <w:r>
          <w:rPr>
            <w:b w:val="0"/>
            <w:noProof/>
            <w:webHidden/>
          </w:rPr>
          <w:t>187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56" w:history="1">
        <w:r w:rsidR="009A0C4A" w:rsidRPr="009A0C4A">
          <w:rPr>
            <w:rStyle w:val="Hyperlink"/>
            <w:b w:val="0"/>
            <w:noProof/>
          </w:rPr>
          <w:t>Figura 73 - Decantador (Local: 24K 0260829 7814145 / Altitude: 252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_Toc372740156 \h </w:instrText>
        </w:r>
        <w:r w:rsidR="00B16C6C" w:rsidRPr="009A0C4A">
          <w:rPr>
            <w:b w:val="0"/>
            <w:noProof/>
            <w:webHidden/>
          </w:rPr>
        </w:r>
        <w:r w:rsidR="00B16C6C" w:rsidRPr="009A0C4A">
          <w:rPr>
            <w:b w:val="0"/>
            <w:noProof/>
            <w:webHidden/>
          </w:rPr>
          <w:fldChar w:fldCharType="separate"/>
        </w:r>
        <w:r>
          <w:rPr>
            <w:b w:val="0"/>
            <w:noProof/>
            <w:webHidden/>
          </w:rPr>
          <w:t>188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57" w:history="1">
        <w:r w:rsidR="009A0C4A" w:rsidRPr="009A0C4A">
          <w:rPr>
            <w:rStyle w:val="Hyperlink"/>
            <w:b w:val="0"/>
            <w:noProof/>
          </w:rPr>
          <w:t>Figura 74 - Unidade de Filtro Descendente (Local: 24K 0260829 7814145 / Altitude: 252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_Toc372740157 \h </w:instrText>
        </w:r>
        <w:r w:rsidR="00B16C6C" w:rsidRPr="009A0C4A">
          <w:rPr>
            <w:b w:val="0"/>
            <w:noProof/>
            <w:webHidden/>
          </w:rPr>
        </w:r>
        <w:r w:rsidR="00B16C6C" w:rsidRPr="009A0C4A">
          <w:rPr>
            <w:b w:val="0"/>
            <w:noProof/>
            <w:webHidden/>
          </w:rPr>
          <w:fldChar w:fldCharType="separate"/>
        </w:r>
        <w:r>
          <w:rPr>
            <w:b w:val="0"/>
            <w:noProof/>
            <w:webHidden/>
          </w:rPr>
          <w:t>188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58" w:history="1">
        <w:r w:rsidR="009A0C4A" w:rsidRPr="009A0C4A">
          <w:rPr>
            <w:rStyle w:val="Hyperlink"/>
            <w:b w:val="0"/>
            <w:noProof/>
          </w:rPr>
          <w:t>Figura 75 Figura 75 - Caixa de Passagem (Local: 24K 0260829 7814145 / Altitude: 252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_Toc372740158 \h </w:instrText>
        </w:r>
        <w:r w:rsidR="00B16C6C" w:rsidRPr="009A0C4A">
          <w:rPr>
            <w:b w:val="0"/>
            <w:noProof/>
            <w:webHidden/>
          </w:rPr>
        </w:r>
        <w:r w:rsidR="00B16C6C" w:rsidRPr="009A0C4A">
          <w:rPr>
            <w:b w:val="0"/>
            <w:noProof/>
            <w:webHidden/>
          </w:rPr>
          <w:fldChar w:fldCharType="separate"/>
        </w:r>
        <w:r>
          <w:rPr>
            <w:b w:val="0"/>
            <w:noProof/>
            <w:webHidden/>
          </w:rPr>
          <w:t>189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59" w:history="1">
        <w:r w:rsidR="009A0C4A" w:rsidRPr="009A0C4A">
          <w:rPr>
            <w:rStyle w:val="Hyperlink"/>
            <w:b w:val="0"/>
            <w:noProof/>
          </w:rPr>
          <w:t>Figura 76 - Unidade de Dosagem de Cloro e Flúor (Local: 24K 0260829 7814145 / Altitude: 252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_Toc372740159 \h </w:instrText>
        </w:r>
        <w:r w:rsidR="00B16C6C" w:rsidRPr="009A0C4A">
          <w:rPr>
            <w:b w:val="0"/>
            <w:noProof/>
            <w:webHidden/>
          </w:rPr>
        </w:r>
        <w:r w:rsidR="00B16C6C" w:rsidRPr="009A0C4A">
          <w:rPr>
            <w:b w:val="0"/>
            <w:noProof/>
            <w:webHidden/>
          </w:rPr>
          <w:fldChar w:fldCharType="separate"/>
        </w:r>
        <w:r>
          <w:rPr>
            <w:b w:val="0"/>
            <w:noProof/>
            <w:webHidden/>
          </w:rPr>
          <w:t>189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60" w:history="1">
        <w:r w:rsidR="009A0C4A" w:rsidRPr="009A0C4A">
          <w:rPr>
            <w:rStyle w:val="Hyperlink"/>
            <w:b w:val="0"/>
            <w:noProof/>
          </w:rPr>
          <w:t>Figura 77 - Aspecto visual da captação de água bruta localizado no rio Manhuaçu (Local: 24K 0257430 7842313 / Altitude: 178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_Toc372740160 \h </w:instrText>
        </w:r>
        <w:r w:rsidR="00B16C6C" w:rsidRPr="009A0C4A">
          <w:rPr>
            <w:b w:val="0"/>
            <w:noProof/>
            <w:webHidden/>
          </w:rPr>
        </w:r>
        <w:r w:rsidR="00B16C6C" w:rsidRPr="009A0C4A">
          <w:rPr>
            <w:b w:val="0"/>
            <w:noProof/>
            <w:webHidden/>
          </w:rPr>
          <w:fldChar w:fldCharType="separate"/>
        </w:r>
        <w:r>
          <w:rPr>
            <w:b w:val="0"/>
            <w:noProof/>
            <w:webHidden/>
          </w:rPr>
          <w:t>190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61" w:history="1">
        <w:r w:rsidR="009A0C4A" w:rsidRPr="009A0C4A">
          <w:rPr>
            <w:rStyle w:val="Hyperlink"/>
            <w:b w:val="0"/>
            <w:noProof/>
          </w:rPr>
          <w:t>Figura 78 - Aspecto visual da entrada de água bruta na ETA (Local: 24K 0257631 7841957 / Altitude: 179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_Toc372740161 \h </w:instrText>
        </w:r>
        <w:r w:rsidR="00B16C6C" w:rsidRPr="009A0C4A">
          <w:rPr>
            <w:b w:val="0"/>
            <w:noProof/>
            <w:webHidden/>
          </w:rPr>
        </w:r>
        <w:r w:rsidR="00B16C6C" w:rsidRPr="009A0C4A">
          <w:rPr>
            <w:b w:val="0"/>
            <w:noProof/>
            <w:webHidden/>
          </w:rPr>
          <w:fldChar w:fldCharType="separate"/>
        </w:r>
        <w:r>
          <w:rPr>
            <w:b w:val="0"/>
            <w:noProof/>
            <w:webHidden/>
          </w:rPr>
          <w:t>191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62" w:history="1">
        <w:r w:rsidR="009A0C4A" w:rsidRPr="009A0C4A">
          <w:rPr>
            <w:rStyle w:val="Hyperlink"/>
            <w:b w:val="0"/>
            <w:noProof/>
          </w:rPr>
          <w:t>Figura 79 - Adição de Sulfato de Alumínio (Local: 24K 0257631 7841957 / Altitude: 179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_Toc372740162 \h </w:instrText>
        </w:r>
        <w:r w:rsidR="00B16C6C" w:rsidRPr="009A0C4A">
          <w:rPr>
            <w:b w:val="0"/>
            <w:noProof/>
            <w:webHidden/>
          </w:rPr>
        </w:r>
        <w:r w:rsidR="00B16C6C" w:rsidRPr="009A0C4A">
          <w:rPr>
            <w:b w:val="0"/>
            <w:noProof/>
            <w:webHidden/>
          </w:rPr>
          <w:fldChar w:fldCharType="separate"/>
        </w:r>
        <w:r>
          <w:rPr>
            <w:b w:val="0"/>
            <w:noProof/>
            <w:webHidden/>
          </w:rPr>
          <w:t>192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63" w:history="1">
        <w:r w:rsidR="009A0C4A" w:rsidRPr="009A0C4A">
          <w:rPr>
            <w:rStyle w:val="Hyperlink"/>
            <w:b w:val="0"/>
            <w:noProof/>
          </w:rPr>
          <w:t>Figura 80 - Floculador (Local: 24K 0257631 7841957 / Altitude: 179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_Toc372740163 \h </w:instrText>
        </w:r>
        <w:r w:rsidR="00B16C6C" w:rsidRPr="009A0C4A">
          <w:rPr>
            <w:b w:val="0"/>
            <w:noProof/>
            <w:webHidden/>
          </w:rPr>
        </w:r>
        <w:r w:rsidR="00B16C6C" w:rsidRPr="009A0C4A">
          <w:rPr>
            <w:b w:val="0"/>
            <w:noProof/>
            <w:webHidden/>
          </w:rPr>
          <w:fldChar w:fldCharType="separate"/>
        </w:r>
        <w:r>
          <w:rPr>
            <w:b w:val="0"/>
            <w:noProof/>
            <w:webHidden/>
          </w:rPr>
          <w:t>192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64" w:history="1">
        <w:r w:rsidR="009A0C4A" w:rsidRPr="009A0C4A">
          <w:rPr>
            <w:rStyle w:val="Hyperlink"/>
            <w:b w:val="0"/>
            <w:noProof/>
          </w:rPr>
          <w:t>Figura 81 - Decantador (Local: 24K 0257631 7841957 / Altitude: 179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_Toc372740164 \h </w:instrText>
        </w:r>
        <w:r w:rsidR="00B16C6C" w:rsidRPr="009A0C4A">
          <w:rPr>
            <w:b w:val="0"/>
            <w:noProof/>
            <w:webHidden/>
          </w:rPr>
        </w:r>
        <w:r w:rsidR="00B16C6C" w:rsidRPr="009A0C4A">
          <w:rPr>
            <w:b w:val="0"/>
            <w:noProof/>
            <w:webHidden/>
          </w:rPr>
          <w:fldChar w:fldCharType="separate"/>
        </w:r>
        <w:r>
          <w:rPr>
            <w:b w:val="0"/>
            <w:noProof/>
            <w:webHidden/>
          </w:rPr>
          <w:t>193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65" w:history="1">
        <w:r w:rsidR="009A0C4A" w:rsidRPr="009A0C4A">
          <w:rPr>
            <w:rStyle w:val="Hyperlink"/>
            <w:b w:val="0"/>
            <w:noProof/>
          </w:rPr>
          <w:t>Figura 82 - Unidade de Filtragem Lenta (Local: 24K 0257631 7841957 / Altitude: 179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_Toc372740165 \h </w:instrText>
        </w:r>
        <w:r w:rsidR="00B16C6C" w:rsidRPr="009A0C4A">
          <w:rPr>
            <w:b w:val="0"/>
            <w:noProof/>
            <w:webHidden/>
          </w:rPr>
        </w:r>
        <w:r w:rsidR="00B16C6C" w:rsidRPr="009A0C4A">
          <w:rPr>
            <w:b w:val="0"/>
            <w:noProof/>
            <w:webHidden/>
          </w:rPr>
          <w:fldChar w:fldCharType="separate"/>
        </w:r>
        <w:r>
          <w:rPr>
            <w:b w:val="0"/>
            <w:noProof/>
            <w:webHidden/>
          </w:rPr>
          <w:t>193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66" w:history="1">
        <w:r w:rsidR="009A0C4A" w:rsidRPr="009A0C4A">
          <w:rPr>
            <w:rStyle w:val="Hyperlink"/>
            <w:b w:val="0"/>
            <w:noProof/>
          </w:rPr>
          <w:t>Figura 83 - Unidade de dosagem de Cloro e Flúor (Local: 24K 0257631 7841957 / Altitude: 179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_Toc372740166 \h </w:instrText>
        </w:r>
        <w:r w:rsidR="00B16C6C" w:rsidRPr="009A0C4A">
          <w:rPr>
            <w:b w:val="0"/>
            <w:noProof/>
            <w:webHidden/>
          </w:rPr>
        </w:r>
        <w:r w:rsidR="00B16C6C" w:rsidRPr="009A0C4A">
          <w:rPr>
            <w:b w:val="0"/>
            <w:noProof/>
            <w:webHidden/>
          </w:rPr>
          <w:fldChar w:fldCharType="separate"/>
        </w:r>
        <w:r>
          <w:rPr>
            <w:b w:val="0"/>
            <w:noProof/>
            <w:webHidden/>
          </w:rPr>
          <w:t>194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67" w:history="1">
        <w:r w:rsidR="009A0C4A" w:rsidRPr="009A0C4A">
          <w:rPr>
            <w:rStyle w:val="Hyperlink"/>
            <w:b w:val="0"/>
            <w:noProof/>
          </w:rPr>
          <w:t>Figura 84 - Reservatório (Local: 24K 0257631 7841957 / Altitude: 179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_Toc372740167 \h </w:instrText>
        </w:r>
        <w:r w:rsidR="00B16C6C" w:rsidRPr="009A0C4A">
          <w:rPr>
            <w:b w:val="0"/>
            <w:noProof/>
            <w:webHidden/>
          </w:rPr>
        </w:r>
        <w:r w:rsidR="00B16C6C" w:rsidRPr="009A0C4A">
          <w:rPr>
            <w:b w:val="0"/>
            <w:noProof/>
            <w:webHidden/>
          </w:rPr>
          <w:fldChar w:fldCharType="separate"/>
        </w:r>
        <w:r>
          <w:rPr>
            <w:b w:val="0"/>
            <w:noProof/>
            <w:webHidden/>
          </w:rPr>
          <w:t>195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68" w:history="1">
        <w:r w:rsidR="009A0C4A" w:rsidRPr="009A0C4A">
          <w:rPr>
            <w:rStyle w:val="Hyperlink"/>
            <w:b w:val="0"/>
            <w:noProof/>
          </w:rPr>
          <w:t>Figura 85 - Estação de Tratamento de Água de Santo Antônio do Rio Doce (Local: 24 K 0288435 7842556/ Altitude: 110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_Toc372740168 \h </w:instrText>
        </w:r>
        <w:r w:rsidR="00B16C6C" w:rsidRPr="009A0C4A">
          <w:rPr>
            <w:b w:val="0"/>
            <w:noProof/>
            <w:webHidden/>
          </w:rPr>
        </w:r>
        <w:r w:rsidR="00B16C6C" w:rsidRPr="009A0C4A">
          <w:rPr>
            <w:b w:val="0"/>
            <w:noProof/>
            <w:webHidden/>
          </w:rPr>
          <w:fldChar w:fldCharType="separate"/>
        </w:r>
        <w:r>
          <w:rPr>
            <w:b w:val="0"/>
            <w:noProof/>
            <w:webHidden/>
          </w:rPr>
          <w:t>196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69" w:history="1">
        <w:r w:rsidR="009A0C4A" w:rsidRPr="009A0C4A">
          <w:rPr>
            <w:rStyle w:val="Hyperlink"/>
            <w:b w:val="0"/>
            <w:noProof/>
          </w:rPr>
          <w:t>Figura 86 - Aspecto visual da captação de água bruta localizada no rio Doce (Local: 24K 0288330 7842085 / Altitude: 110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_Toc372740169 \h </w:instrText>
        </w:r>
        <w:r w:rsidR="00B16C6C" w:rsidRPr="009A0C4A">
          <w:rPr>
            <w:b w:val="0"/>
            <w:noProof/>
            <w:webHidden/>
          </w:rPr>
        </w:r>
        <w:r w:rsidR="00B16C6C" w:rsidRPr="009A0C4A">
          <w:rPr>
            <w:b w:val="0"/>
            <w:noProof/>
            <w:webHidden/>
          </w:rPr>
          <w:fldChar w:fldCharType="separate"/>
        </w:r>
        <w:r>
          <w:rPr>
            <w:b w:val="0"/>
            <w:noProof/>
            <w:webHidden/>
          </w:rPr>
          <w:t>197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70" w:history="1">
        <w:r w:rsidR="009A0C4A" w:rsidRPr="009A0C4A">
          <w:rPr>
            <w:rStyle w:val="Hyperlink"/>
            <w:b w:val="0"/>
            <w:noProof/>
          </w:rPr>
          <w:t>Figura 87 - Aspecto visual da entrada de água bruta na estação para tratamento (Local: 24K 0288435 7842556/ Altitude: 110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_Toc372740170 \h </w:instrText>
        </w:r>
        <w:r w:rsidR="00B16C6C" w:rsidRPr="009A0C4A">
          <w:rPr>
            <w:b w:val="0"/>
            <w:noProof/>
            <w:webHidden/>
          </w:rPr>
        </w:r>
        <w:r w:rsidR="00B16C6C" w:rsidRPr="009A0C4A">
          <w:rPr>
            <w:b w:val="0"/>
            <w:noProof/>
            <w:webHidden/>
          </w:rPr>
          <w:fldChar w:fldCharType="separate"/>
        </w:r>
        <w:r>
          <w:rPr>
            <w:b w:val="0"/>
            <w:noProof/>
            <w:webHidden/>
          </w:rPr>
          <w:t>198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71" w:history="1">
        <w:r w:rsidR="009A0C4A" w:rsidRPr="009A0C4A">
          <w:rPr>
            <w:rStyle w:val="Hyperlink"/>
            <w:b w:val="0"/>
            <w:noProof/>
          </w:rPr>
          <w:t>Figura 88 - Adição de Sulfato de Alumínio na água bruta (Local: 24K 0288435 7842556/ Altitude: 110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_Toc372740171 \h </w:instrText>
        </w:r>
        <w:r w:rsidR="00B16C6C" w:rsidRPr="009A0C4A">
          <w:rPr>
            <w:b w:val="0"/>
            <w:noProof/>
            <w:webHidden/>
          </w:rPr>
        </w:r>
        <w:r w:rsidR="00B16C6C" w:rsidRPr="009A0C4A">
          <w:rPr>
            <w:b w:val="0"/>
            <w:noProof/>
            <w:webHidden/>
          </w:rPr>
          <w:fldChar w:fldCharType="separate"/>
        </w:r>
        <w:r>
          <w:rPr>
            <w:b w:val="0"/>
            <w:noProof/>
            <w:webHidden/>
          </w:rPr>
          <w:t>198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72" w:history="1">
        <w:r w:rsidR="009A0C4A" w:rsidRPr="009A0C4A">
          <w:rPr>
            <w:rStyle w:val="Hyperlink"/>
            <w:b w:val="0"/>
            <w:noProof/>
          </w:rPr>
          <w:t>Figura 89 - Floculador (Local: 24K 0288435 7842556/ Altitude: 110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_Toc372740172 \h </w:instrText>
        </w:r>
        <w:r w:rsidR="00B16C6C" w:rsidRPr="009A0C4A">
          <w:rPr>
            <w:b w:val="0"/>
            <w:noProof/>
            <w:webHidden/>
          </w:rPr>
        </w:r>
        <w:r w:rsidR="00B16C6C" w:rsidRPr="009A0C4A">
          <w:rPr>
            <w:b w:val="0"/>
            <w:noProof/>
            <w:webHidden/>
          </w:rPr>
          <w:fldChar w:fldCharType="separate"/>
        </w:r>
        <w:r>
          <w:rPr>
            <w:b w:val="0"/>
            <w:noProof/>
            <w:webHidden/>
          </w:rPr>
          <w:t>199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73" w:history="1">
        <w:r w:rsidR="009A0C4A" w:rsidRPr="009A0C4A">
          <w:rPr>
            <w:rStyle w:val="Hyperlink"/>
            <w:b w:val="0"/>
            <w:noProof/>
          </w:rPr>
          <w:t>Figura 90 - Filtro (Local: 24K 0288435 7842556/ Altitude: 110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_Toc372740173 \h </w:instrText>
        </w:r>
        <w:r w:rsidR="00B16C6C" w:rsidRPr="009A0C4A">
          <w:rPr>
            <w:b w:val="0"/>
            <w:noProof/>
            <w:webHidden/>
          </w:rPr>
        </w:r>
        <w:r w:rsidR="00B16C6C" w:rsidRPr="009A0C4A">
          <w:rPr>
            <w:b w:val="0"/>
            <w:noProof/>
            <w:webHidden/>
          </w:rPr>
          <w:fldChar w:fldCharType="separate"/>
        </w:r>
        <w:r>
          <w:rPr>
            <w:b w:val="0"/>
            <w:noProof/>
            <w:webHidden/>
          </w:rPr>
          <w:t>199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74" w:history="1">
        <w:r w:rsidR="009A0C4A" w:rsidRPr="009A0C4A">
          <w:rPr>
            <w:rStyle w:val="Hyperlink"/>
            <w:b w:val="0"/>
            <w:noProof/>
          </w:rPr>
          <w:t>Figura 91 - Filtro (Local: 24K 0288435 7842556/ Altitude: 110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_Toc372740174 \h </w:instrText>
        </w:r>
        <w:r w:rsidR="00B16C6C" w:rsidRPr="009A0C4A">
          <w:rPr>
            <w:b w:val="0"/>
            <w:noProof/>
            <w:webHidden/>
          </w:rPr>
        </w:r>
        <w:r w:rsidR="00B16C6C" w:rsidRPr="009A0C4A">
          <w:rPr>
            <w:b w:val="0"/>
            <w:noProof/>
            <w:webHidden/>
          </w:rPr>
          <w:fldChar w:fldCharType="separate"/>
        </w:r>
        <w:r>
          <w:rPr>
            <w:b w:val="0"/>
            <w:noProof/>
            <w:webHidden/>
          </w:rPr>
          <w:t>200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75" w:history="1">
        <w:r w:rsidR="009A0C4A" w:rsidRPr="009A0C4A">
          <w:rPr>
            <w:rStyle w:val="Hyperlink"/>
            <w:b w:val="0"/>
            <w:noProof/>
          </w:rPr>
          <w:t>Figura 92 - Reservatório (Local: 24K 0288435 7842556/ Altitude: 110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_Toc372740175 \h </w:instrText>
        </w:r>
        <w:r w:rsidR="00B16C6C" w:rsidRPr="009A0C4A">
          <w:rPr>
            <w:b w:val="0"/>
            <w:noProof/>
            <w:webHidden/>
          </w:rPr>
        </w:r>
        <w:r w:rsidR="00B16C6C" w:rsidRPr="009A0C4A">
          <w:rPr>
            <w:b w:val="0"/>
            <w:noProof/>
            <w:webHidden/>
          </w:rPr>
          <w:fldChar w:fldCharType="separate"/>
        </w:r>
        <w:r>
          <w:rPr>
            <w:b w:val="0"/>
            <w:noProof/>
            <w:webHidden/>
          </w:rPr>
          <w:t>201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76" w:history="1">
        <w:r w:rsidR="009A0C4A" w:rsidRPr="009A0C4A">
          <w:rPr>
            <w:rStyle w:val="Hyperlink"/>
            <w:b w:val="0"/>
            <w:noProof/>
          </w:rPr>
          <w:t>Figura 93 - Aspecto visual do poço de captação 1 de água bruta (Local: 24K 0258917 7826208 / Altitude: 208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_Toc372740176 \h </w:instrText>
        </w:r>
        <w:r w:rsidR="00B16C6C" w:rsidRPr="009A0C4A">
          <w:rPr>
            <w:b w:val="0"/>
            <w:noProof/>
            <w:webHidden/>
          </w:rPr>
        </w:r>
        <w:r w:rsidR="00B16C6C" w:rsidRPr="009A0C4A">
          <w:rPr>
            <w:b w:val="0"/>
            <w:noProof/>
            <w:webHidden/>
          </w:rPr>
          <w:fldChar w:fldCharType="separate"/>
        </w:r>
        <w:r>
          <w:rPr>
            <w:b w:val="0"/>
            <w:noProof/>
            <w:webHidden/>
          </w:rPr>
          <w:t>202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77" w:history="1">
        <w:r w:rsidR="009A0C4A" w:rsidRPr="009A0C4A">
          <w:rPr>
            <w:rStyle w:val="Hyperlink"/>
            <w:b w:val="0"/>
            <w:noProof/>
          </w:rPr>
          <w:t>Figura 94 - Aspecto visual da entrada de água bruta na estação de tratamento (Local: 24K 0259014 7826177 / Altitude: 233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_Toc372740177 \h </w:instrText>
        </w:r>
        <w:r w:rsidR="00B16C6C" w:rsidRPr="009A0C4A">
          <w:rPr>
            <w:b w:val="0"/>
            <w:noProof/>
            <w:webHidden/>
          </w:rPr>
        </w:r>
        <w:r w:rsidR="00B16C6C" w:rsidRPr="009A0C4A">
          <w:rPr>
            <w:b w:val="0"/>
            <w:noProof/>
            <w:webHidden/>
          </w:rPr>
          <w:fldChar w:fldCharType="separate"/>
        </w:r>
        <w:r>
          <w:rPr>
            <w:b w:val="0"/>
            <w:noProof/>
            <w:webHidden/>
          </w:rPr>
          <w:t>203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78" w:history="1">
        <w:r w:rsidR="009A0C4A" w:rsidRPr="009A0C4A">
          <w:rPr>
            <w:rStyle w:val="Hyperlink"/>
            <w:b w:val="0"/>
            <w:noProof/>
          </w:rPr>
          <w:t>Figura 95 - Floculador (Local: 24K 0259014 7826177 / Altitude: 233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_Toc372740178 \h </w:instrText>
        </w:r>
        <w:r w:rsidR="00B16C6C" w:rsidRPr="009A0C4A">
          <w:rPr>
            <w:b w:val="0"/>
            <w:noProof/>
            <w:webHidden/>
          </w:rPr>
        </w:r>
        <w:r w:rsidR="00B16C6C" w:rsidRPr="009A0C4A">
          <w:rPr>
            <w:b w:val="0"/>
            <w:noProof/>
            <w:webHidden/>
          </w:rPr>
          <w:fldChar w:fldCharType="separate"/>
        </w:r>
        <w:r>
          <w:rPr>
            <w:b w:val="0"/>
            <w:noProof/>
            <w:webHidden/>
          </w:rPr>
          <w:t>204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79" w:history="1">
        <w:r w:rsidR="009A0C4A" w:rsidRPr="009A0C4A">
          <w:rPr>
            <w:rStyle w:val="Hyperlink"/>
            <w:b w:val="0"/>
            <w:noProof/>
          </w:rPr>
          <w:t>Figura 96 - Decantador (Local: 24K 0259014 7826177 / Altitude: 233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_Toc372740179 \h </w:instrText>
        </w:r>
        <w:r w:rsidR="00B16C6C" w:rsidRPr="009A0C4A">
          <w:rPr>
            <w:b w:val="0"/>
            <w:noProof/>
            <w:webHidden/>
          </w:rPr>
        </w:r>
        <w:r w:rsidR="00B16C6C" w:rsidRPr="009A0C4A">
          <w:rPr>
            <w:b w:val="0"/>
            <w:noProof/>
            <w:webHidden/>
          </w:rPr>
          <w:fldChar w:fldCharType="separate"/>
        </w:r>
        <w:r>
          <w:rPr>
            <w:b w:val="0"/>
            <w:noProof/>
            <w:webHidden/>
          </w:rPr>
          <w:t>204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80" w:history="1">
        <w:r w:rsidR="009A0C4A" w:rsidRPr="009A0C4A">
          <w:rPr>
            <w:rStyle w:val="Hyperlink"/>
            <w:b w:val="0"/>
            <w:noProof/>
          </w:rPr>
          <w:t>Figura 97 - Passagem do Floculador para o Decantador (Local: 24K 0259014 7826177 / Altitude: 233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_Toc372740180 \h </w:instrText>
        </w:r>
        <w:r w:rsidR="00B16C6C" w:rsidRPr="009A0C4A">
          <w:rPr>
            <w:b w:val="0"/>
            <w:noProof/>
            <w:webHidden/>
          </w:rPr>
        </w:r>
        <w:r w:rsidR="00B16C6C" w:rsidRPr="009A0C4A">
          <w:rPr>
            <w:b w:val="0"/>
            <w:noProof/>
            <w:webHidden/>
          </w:rPr>
          <w:fldChar w:fldCharType="separate"/>
        </w:r>
        <w:r>
          <w:rPr>
            <w:b w:val="0"/>
            <w:noProof/>
            <w:webHidden/>
          </w:rPr>
          <w:t>205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81" w:history="1">
        <w:r w:rsidR="009A0C4A" w:rsidRPr="009A0C4A">
          <w:rPr>
            <w:rStyle w:val="Hyperlink"/>
            <w:b w:val="0"/>
            <w:noProof/>
          </w:rPr>
          <w:t>Figura 98 - Sistema de Filtro (Local: 24K 0259014 7826177 / Altitude: 233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_Toc372740181 \h </w:instrText>
        </w:r>
        <w:r w:rsidR="00B16C6C" w:rsidRPr="009A0C4A">
          <w:rPr>
            <w:b w:val="0"/>
            <w:noProof/>
            <w:webHidden/>
          </w:rPr>
        </w:r>
        <w:r w:rsidR="00B16C6C" w:rsidRPr="009A0C4A">
          <w:rPr>
            <w:b w:val="0"/>
            <w:noProof/>
            <w:webHidden/>
          </w:rPr>
          <w:fldChar w:fldCharType="separate"/>
        </w:r>
        <w:r>
          <w:rPr>
            <w:b w:val="0"/>
            <w:noProof/>
            <w:webHidden/>
          </w:rPr>
          <w:t>205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82" w:history="1">
        <w:r w:rsidR="009A0C4A" w:rsidRPr="009A0C4A">
          <w:rPr>
            <w:rStyle w:val="Hyperlink"/>
            <w:b w:val="0"/>
            <w:noProof/>
          </w:rPr>
          <w:t>Figura 99 - Casa de Cloração (Local: 24K 0259014 7826177 / Altitude: 233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_Toc372740182 \h </w:instrText>
        </w:r>
        <w:r w:rsidR="00B16C6C" w:rsidRPr="009A0C4A">
          <w:rPr>
            <w:b w:val="0"/>
            <w:noProof/>
            <w:webHidden/>
          </w:rPr>
        </w:r>
        <w:r w:rsidR="00B16C6C" w:rsidRPr="009A0C4A">
          <w:rPr>
            <w:b w:val="0"/>
            <w:noProof/>
            <w:webHidden/>
          </w:rPr>
          <w:fldChar w:fldCharType="separate"/>
        </w:r>
        <w:r>
          <w:rPr>
            <w:b w:val="0"/>
            <w:noProof/>
            <w:webHidden/>
          </w:rPr>
          <w:t>206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83" w:history="1">
        <w:r w:rsidR="009A0C4A" w:rsidRPr="009A0C4A">
          <w:rPr>
            <w:rStyle w:val="Hyperlink"/>
            <w:b w:val="0"/>
            <w:noProof/>
          </w:rPr>
          <w:t>Figura 100 - Reservatório (Local: 24K 0259014 7826177 / Altitude: 233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_Toc372740183 \h </w:instrText>
        </w:r>
        <w:r w:rsidR="00B16C6C" w:rsidRPr="009A0C4A">
          <w:rPr>
            <w:b w:val="0"/>
            <w:noProof/>
            <w:webHidden/>
          </w:rPr>
        </w:r>
        <w:r w:rsidR="00B16C6C" w:rsidRPr="009A0C4A">
          <w:rPr>
            <w:b w:val="0"/>
            <w:noProof/>
            <w:webHidden/>
          </w:rPr>
          <w:fldChar w:fldCharType="separate"/>
        </w:r>
        <w:r>
          <w:rPr>
            <w:b w:val="0"/>
            <w:noProof/>
            <w:webHidden/>
          </w:rPr>
          <w:t>206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84" w:history="1">
        <w:r w:rsidR="009A0C4A" w:rsidRPr="009A0C4A">
          <w:rPr>
            <w:rStyle w:val="Hyperlink"/>
            <w:b w:val="0"/>
            <w:noProof/>
          </w:rPr>
          <w:t>Figura 101 - Aspecto visual da captação de água bruta em nascente (Local: 24K 0265651 7801846 / Altitude: 499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_Toc372740184 \h </w:instrText>
        </w:r>
        <w:r w:rsidR="00B16C6C" w:rsidRPr="009A0C4A">
          <w:rPr>
            <w:b w:val="0"/>
            <w:noProof/>
            <w:webHidden/>
          </w:rPr>
        </w:r>
        <w:r w:rsidR="00B16C6C" w:rsidRPr="009A0C4A">
          <w:rPr>
            <w:b w:val="0"/>
            <w:noProof/>
            <w:webHidden/>
          </w:rPr>
          <w:fldChar w:fldCharType="separate"/>
        </w:r>
        <w:r>
          <w:rPr>
            <w:b w:val="0"/>
            <w:noProof/>
            <w:webHidden/>
          </w:rPr>
          <w:t>208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85" w:history="1">
        <w:r w:rsidR="009A0C4A" w:rsidRPr="009A0C4A">
          <w:rPr>
            <w:rStyle w:val="Hyperlink"/>
            <w:b w:val="0"/>
            <w:noProof/>
          </w:rPr>
          <w:t>Figura 102 - Aspecto visual da estrutura de captação de água bruta realizado por meio de poço artesiano (Local: 24K 0264566 7818014 / Altitude: 211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_Toc372740185 \h </w:instrText>
        </w:r>
        <w:r w:rsidR="00B16C6C" w:rsidRPr="009A0C4A">
          <w:rPr>
            <w:b w:val="0"/>
            <w:noProof/>
            <w:webHidden/>
          </w:rPr>
        </w:r>
        <w:r w:rsidR="00B16C6C" w:rsidRPr="009A0C4A">
          <w:rPr>
            <w:b w:val="0"/>
            <w:noProof/>
            <w:webHidden/>
          </w:rPr>
          <w:fldChar w:fldCharType="separate"/>
        </w:r>
        <w:r>
          <w:rPr>
            <w:b w:val="0"/>
            <w:noProof/>
            <w:webHidden/>
          </w:rPr>
          <w:t>209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86" w:history="1">
        <w:r w:rsidR="009A0C4A" w:rsidRPr="009A0C4A">
          <w:rPr>
            <w:rStyle w:val="Hyperlink"/>
            <w:b w:val="0"/>
            <w:noProof/>
          </w:rPr>
          <w:t>Figura 103 - Estação de Tratamento de Água (Local: 24K 0264463 7817859/ Altitude: 206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_Toc372740186 \h </w:instrText>
        </w:r>
        <w:r w:rsidR="00B16C6C" w:rsidRPr="009A0C4A">
          <w:rPr>
            <w:b w:val="0"/>
            <w:noProof/>
            <w:webHidden/>
          </w:rPr>
        </w:r>
        <w:r w:rsidR="00B16C6C" w:rsidRPr="009A0C4A">
          <w:rPr>
            <w:b w:val="0"/>
            <w:noProof/>
            <w:webHidden/>
          </w:rPr>
          <w:fldChar w:fldCharType="separate"/>
        </w:r>
        <w:r>
          <w:rPr>
            <w:b w:val="0"/>
            <w:noProof/>
            <w:webHidden/>
          </w:rPr>
          <w:t>210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87" w:history="1">
        <w:r w:rsidR="009A0C4A" w:rsidRPr="009A0C4A">
          <w:rPr>
            <w:rStyle w:val="Hyperlink"/>
            <w:b w:val="0"/>
            <w:noProof/>
          </w:rPr>
          <w:t>Figura 104 - Reservatório (Local: 24K 0264463 7817859/ Altitude: 206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_Toc372740187 \h </w:instrText>
        </w:r>
        <w:r w:rsidR="00B16C6C" w:rsidRPr="009A0C4A">
          <w:rPr>
            <w:b w:val="0"/>
            <w:noProof/>
            <w:webHidden/>
          </w:rPr>
        </w:r>
        <w:r w:rsidR="00B16C6C" w:rsidRPr="009A0C4A">
          <w:rPr>
            <w:b w:val="0"/>
            <w:noProof/>
            <w:webHidden/>
          </w:rPr>
          <w:fldChar w:fldCharType="separate"/>
        </w:r>
        <w:r>
          <w:rPr>
            <w:b w:val="0"/>
            <w:noProof/>
            <w:webHidden/>
          </w:rPr>
          <w:t>210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88" w:history="1">
        <w:r w:rsidR="009A0C4A" w:rsidRPr="009A0C4A">
          <w:rPr>
            <w:rStyle w:val="Hyperlink"/>
            <w:b w:val="0"/>
            <w:noProof/>
          </w:rPr>
          <w:t>Figura 105 - Aspecto visual da estrutura de proteção da captação de água bruta em poço raso (Local: 24K 0250785 7834484 / Altitude: 192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_Toc372740188 \h </w:instrText>
        </w:r>
        <w:r w:rsidR="00B16C6C" w:rsidRPr="009A0C4A">
          <w:rPr>
            <w:b w:val="0"/>
            <w:noProof/>
            <w:webHidden/>
          </w:rPr>
        </w:r>
        <w:r w:rsidR="00B16C6C" w:rsidRPr="009A0C4A">
          <w:rPr>
            <w:b w:val="0"/>
            <w:noProof/>
            <w:webHidden/>
          </w:rPr>
          <w:fldChar w:fldCharType="separate"/>
        </w:r>
        <w:r>
          <w:rPr>
            <w:b w:val="0"/>
            <w:noProof/>
            <w:webHidden/>
          </w:rPr>
          <w:t>211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89" w:history="1">
        <w:r w:rsidR="009A0C4A" w:rsidRPr="009A0C4A">
          <w:rPr>
            <w:rStyle w:val="Hyperlink"/>
            <w:b w:val="0"/>
            <w:noProof/>
          </w:rPr>
          <w:t>Figura 106 - Estação de Tratamento de Água (Local: 24K 0250785 7834456/ Altitude: 218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_Toc372740189 \h </w:instrText>
        </w:r>
        <w:r w:rsidR="00B16C6C" w:rsidRPr="009A0C4A">
          <w:rPr>
            <w:b w:val="0"/>
            <w:noProof/>
            <w:webHidden/>
          </w:rPr>
        </w:r>
        <w:r w:rsidR="00B16C6C" w:rsidRPr="009A0C4A">
          <w:rPr>
            <w:b w:val="0"/>
            <w:noProof/>
            <w:webHidden/>
          </w:rPr>
          <w:fldChar w:fldCharType="separate"/>
        </w:r>
        <w:r>
          <w:rPr>
            <w:b w:val="0"/>
            <w:noProof/>
            <w:webHidden/>
          </w:rPr>
          <w:t>212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90" w:history="1">
        <w:r w:rsidR="009A0C4A" w:rsidRPr="009A0C4A">
          <w:rPr>
            <w:rStyle w:val="Hyperlink"/>
            <w:b w:val="0"/>
            <w:noProof/>
          </w:rPr>
          <w:t>Figura 107 - Reservatório (Local: 24K 0250785 7834456/ Altitude: 218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_Toc372740190 \h </w:instrText>
        </w:r>
        <w:r w:rsidR="00B16C6C" w:rsidRPr="009A0C4A">
          <w:rPr>
            <w:b w:val="0"/>
            <w:noProof/>
            <w:webHidden/>
          </w:rPr>
        </w:r>
        <w:r w:rsidR="00B16C6C" w:rsidRPr="009A0C4A">
          <w:rPr>
            <w:b w:val="0"/>
            <w:noProof/>
            <w:webHidden/>
          </w:rPr>
          <w:fldChar w:fldCharType="separate"/>
        </w:r>
        <w:r>
          <w:rPr>
            <w:b w:val="0"/>
            <w:noProof/>
            <w:webHidden/>
          </w:rPr>
          <w:t>212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91" w:history="1">
        <w:r w:rsidR="009A0C4A" w:rsidRPr="009A0C4A">
          <w:rPr>
            <w:rStyle w:val="Hyperlink"/>
            <w:b w:val="0"/>
            <w:noProof/>
          </w:rPr>
          <w:t>Figura 108 -  Aspecto visual da estrutura de proteção da captação de água bruta por poço raso (Local: 24K 0251225 7819821 / Altitude: 227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_Toc372740191 \h </w:instrText>
        </w:r>
        <w:r w:rsidR="00B16C6C" w:rsidRPr="009A0C4A">
          <w:rPr>
            <w:b w:val="0"/>
            <w:noProof/>
            <w:webHidden/>
          </w:rPr>
        </w:r>
        <w:r w:rsidR="00B16C6C" w:rsidRPr="009A0C4A">
          <w:rPr>
            <w:b w:val="0"/>
            <w:noProof/>
            <w:webHidden/>
          </w:rPr>
          <w:fldChar w:fldCharType="separate"/>
        </w:r>
        <w:r>
          <w:rPr>
            <w:b w:val="0"/>
            <w:noProof/>
            <w:webHidden/>
          </w:rPr>
          <w:t>213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92" w:history="1">
        <w:r w:rsidR="009A0C4A" w:rsidRPr="009A0C4A">
          <w:rPr>
            <w:rStyle w:val="Hyperlink"/>
            <w:b w:val="0"/>
            <w:noProof/>
          </w:rPr>
          <w:t>Figura 109 - Estação de Tratamento de Água (Local: 24K 0251188 7819836/ Altitude:234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_Toc372740192 \h </w:instrText>
        </w:r>
        <w:r w:rsidR="00B16C6C" w:rsidRPr="009A0C4A">
          <w:rPr>
            <w:b w:val="0"/>
            <w:noProof/>
            <w:webHidden/>
          </w:rPr>
        </w:r>
        <w:r w:rsidR="00B16C6C" w:rsidRPr="009A0C4A">
          <w:rPr>
            <w:b w:val="0"/>
            <w:noProof/>
            <w:webHidden/>
          </w:rPr>
          <w:fldChar w:fldCharType="separate"/>
        </w:r>
        <w:r>
          <w:rPr>
            <w:b w:val="0"/>
            <w:noProof/>
            <w:webHidden/>
          </w:rPr>
          <w:t>214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93" w:history="1">
        <w:r w:rsidR="009A0C4A" w:rsidRPr="009A0C4A">
          <w:rPr>
            <w:rStyle w:val="Hyperlink"/>
            <w:b w:val="0"/>
            <w:noProof/>
          </w:rPr>
          <w:t>Figura 110 - ETA e Reservatório (Local: 24K  0251188 7819836/ Altitude:234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_Toc372740193 \h </w:instrText>
        </w:r>
        <w:r w:rsidR="00B16C6C" w:rsidRPr="009A0C4A">
          <w:rPr>
            <w:b w:val="0"/>
            <w:noProof/>
            <w:webHidden/>
          </w:rPr>
        </w:r>
        <w:r w:rsidR="00B16C6C" w:rsidRPr="009A0C4A">
          <w:rPr>
            <w:b w:val="0"/>
            <w:noProof/>
            <w:webHidden/>
          </w:rPr>
          <w:fldChar w:fldCharType="separate"/>
        </w:r>
        <w:r>
          <w:rPr>
            <w:b w:val="0"/>
            <w:noProof/>
            <w:webHidden/>
          </w:rPr>
          <w:t>215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94" w:history="1">
        <w:r w:rsidR="009A0C4A" w:rsidRPr="009A0C4A">
          <w:rPr>
            <w:rStyle w:val="Hyperlink"/>
            <w:b w:val="0"/>
            <w:noProof/>
          </w:rPr>
          <w:t>Figura 111 - Organograma da estrutura administrativa do SAAE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_Toc372740194 \h </w:instrText>
        </w:r>
        <w:r w:rsidR="00B16C6C" w:rsidRPr="009A0C4A">
          <w:rPr>
            <w:b w:val="0"/>
            <w:noProof/>
            <w:webHidden/>
          </w:rPr>
        </w:r>
        <w:r w:rsidR="00B16C6C" w:rsidRPr="009A0C4A">
          <w:rPr>
            <w:b w:val="0"/>
            <w:noProof/>
            <w:webHidden/>
          </w:rPr>
          <w:fldChar w:fldCharType="separate"/>
        </w:r>
        <w:r>
          <w:rPr>
            <w:b w:val="0"/>
            <w:noProof/>
            <w:webHidden/>
          </w:rPr>
          <w:t>221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95" w:history="1">
        <w:r w:rsidR="009A0C4A" w:rsidRPr="009A0C4A">
          <w:rPr>
            <w:rStyle w:val="Hyperlink"/>
            <w:b w:val="0"/>
            <w:noProof/>
          </w:rPr>
          <w:t>Figura 112 - Aspecto visual da galeria de drenagem de águas pluviais, mais antiga da cidade, que recebe lançamento clandestino de esgoto in natura. (Local: 24K 0283927 7843490 / Altitude: 80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_Toc372740195 \h </w:instrText>
        </w:r>
        <w:r w:rsidR="00B16C6C" w:rsidRPr="009A0C4A">
          <w:rPr>
            <w:b w:val="0"/>
            <w:noProof/>
            <w:webHidden/>
          </w:rPr>
        </w:r>
        <w:r w:rsidR="00B16C6C" w:rsidRPr="009A0C4A">
          <w:rPr>
            <w:b w:val="0"/>
            <w:noProof/>
            <w:webHidden/>
          </w:rPr>
          <w:fldChar w:fldCharType="separate"/>
        </w:r>
        <w:r>
          <w:rPr>
            <w:b w:val="0"/>
            <w:noProof/>
            <w:webHidden/>
          </w:rPr>
          <w:t>258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96" w:history="1">
        <w:r w:rsidR="009A0C4A" w:rsidRPr="009A0C4A">
          <w:rPr>
            <w:rStyle w:val="Hyperlink"/>
            <w:b w:val="0"/>
            <w:noProof/>
          </w:rPr>
          <w:t>Figura 113- Aspecto visual da galeria de rede pluvial localizado na Avenida Brasil cruzamento com Rua Luiz Martins Soares que recebe lançamento clandestino. (Local: 24K 0282554 7842905/ Altitude: 85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_Toc372740196 \h </w:instrText>
        </w:r>
        <w:r w:rsidR="00B16C6C" w:rsidRPr="009A0C4A">
          <w:rPr>
            <w:b w:val="0"/>
            <w:noProof/>
            <w:webHidden/>
          </w:rPr>
        </w:r>
        <w:r w:rsidR="00B16C6C" w:rsidRPr="009A0C4A">
          <w:rPr>
            <w:b w:val="0"/>
            <w:noProof/>
            <w:webHidden/>
          </w:rPr>
          <w:fldChar w:fldCharType="separate"/>
        </w:r>
        <w:r>
          <w:rPr>
            <w:b w:val="0"/>
            <w:noProof/>
            <w:webHidden/>
          </w:rPr>
          <w:t>259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97" w:history="1">
        <w:r w:rsidR="009A0C4A" w:rsidRPr="009A0C4A">
          <w:rPr>
            <w:rStyle w:val="Hyperlink"/>
            <w:b w:val="0"/>
            <w:noProof/>
          </w:rPr>
          <w:t>Figura 114 - Aspecto visual do extravasor de esgoto in natura na rede pluvial localizado próximo ao cruzamento da Avenida Brasil com a Rua Luiz Martins Soares. (Local: 24K 0283052 7842811/ Altitude: 79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_Toc372740197 \h </w:instrText>
        </w:r>
        <w:r w:rsidR="00B16C6C" w:rsidRPr="009A0C4A">
          <w:rPr>
            <w:b w:val="0"/>
            <w:noProof/>
            <w:webHidden/>
          </w:rPr>
        </w:r>
        <w:r w:rsidR="00B16C6C" w:rsidRPr="009A0C4A">
          <w:rPr>
            <w:b w:val="0"/>
            <w:noProof/>
            <w:webHidden/>
          </w:rPr>
          <w:fldChar w:fldCharType="separate"/>
        </w:r>
        <w:r>
          <w:rPr>
            <w:b w:val="0"/>
            <w:noProof/>
            <w:webHidden/>
          </w:rPr>
          <w:t>260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98" w:history="1">
        <w:r w:rsidR="009A0C4A" w:rsidRPr="009A0C4A">
          <w:rPr>
            <w:rStyle w:val="Hyperlink"/>
            <w:b w:val="0"/>
            <w:noProof/>
          </w:rPr>
          <w:t>Figura 115 - Pontos de lançamento clandestino de esgoto in natura no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_Toc372740198 \h </w:instrText>
        </w:r>
        <w:r w:rsidR="00B16C6C" w:rsidRPr="009A0C4A">
          <w:rPr>
            <w:b w:val="0"/>
            <w:noProof/>
            <w:webHidden/>
          </w:rPr>
        </w:r>
        <w:r w:rsidR="00B16C6C" w:rsidRPr="009A0C4A">
          <w:rPr>
            <w:b w:val="0"/>
            <w:noProof/>
            <w:webHidden/>
          </w:rPr>
          <w:fldChar w:fldCharType="separate"/>
        </w:r>
        <w:r>
          <w:rPr>
            <w:b w:val="0"/>
            <w:noProof/>
            <w:webHidden/>
          </w:rPr>
          <w:t>261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199" w:history="1">
        <w:r w:rsidR="009A0C4A" w:rsidRPr="009A0C4A">
          <w:rPr>
            <w:rStyle w:val="Hyperlink"/>
            <w:b w:val="0"/>
            <w:noProof/>
          </w:rPr>
          <w:t>Figura 116 - Aspecto visual do lançamento clandestino de esgoto in natura localizado na Rua Cabo Benedito, próximo à residência n° 26. (Local: 24K 0284279 7843633 / Altitude: 94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_Toc372740199 \h </w:instrText>
        </w:r>
        <w:r w:rsidR="00B16C6C" w:rsidRPr="009A0C4A">
          <w:rPr>
            <w:b w:val="0"/>
            <w:noProof/>
            <w:webHidden/>
          </w:rPr>
        </w:r>
        <w:r w:rsidR="00B16C6C" w:rsidRPr="009A0C4A">
          <w:rPr>
            <w:b w:val="0"/>
            <w:noProof/>
            <w:webHidden/>
          </w:rPr>
          <w:fldChar w:fldCharType="separate"/>
        </w:r>
        <w:r>
          <w:rPr>
            <w:b w:val="0"/>
            <w:noProof/>
            <w:webHidden/>
          </w:rPr>
          <w:t>262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00" w:history="1">
        <w:r w:rsidR="009A0C4A" w:rsidRPr="009A0C4A">
          <w:rPr>
            <w:rStyle w:val="Hyperlink"/>
            <w:b w:val="0"/>
            <w:noProof/>
          </w:rPr>
          <w:t>Figura 117 - Aspecto visual do lançamento clandestino de esgoto in natura localizado na Rua Baião, próximo à residência n° 293. (Local: 24K 0284267 7843582 / Altitude: 96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_Toc372740200 \h </w:instrText>
        </w:r>
        <w:r w:rsidR="00B16C6C" w:rsidRPr="009A0C4A">
          <w:rPr>
            <w:b w:val="0"/>
            <w:noProof/>
            <w:webHidden/>
          </w:rPr>
        </w:r>
        <w:r w:rsidR="00B16C6C" w:rsidRPr="009A0C4A">
          <w:rPr>
            <w:b w:val="0"/>
            <w:noProof/>
            <w:webHidden/>
          </w:rPr>
          <w:fldChar w:fldCharType="separate"/>
        </w:r>
        <w:r>
          <w:rPr>
            <w:b w:val="0"/>
            <w:noProof/>
            <w:webHidden/>
          </w:rPr>
          <w:t>262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01" w:history="1">
        <w:r w:rsidR="009A0C4A" w:rsidRPr="009A0C4A">
          <w:rPr>
            <w:rStyle w:val="Hyperlink"/>
            <w:b w:val="0"/>
            <w:noProof/>
          </w:rPr>
          <w:t>Figura 118 - Aspecto visual do lançamento clandestino de esgoto in natura localizado no córrego da Natividade próximo à Ponte do Asilo. (Local: 24K 0284488 7843518/ Altitude: 80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_Toc372740201 \h </w:instrText>
        </w:r>
        <w:r w:rsidR="00B16C6C" w:rsidRPr="009A0C4A">
          <w:rPr>
            <w:b w:val="0"/>
            <w:noProof/>
            <w:webHidden/>
          </w:rPr>
        </w:r>
        <w:r w:rsidR="00B16C6C" w:rsidRPr="009A0C4A">
          <w:rPr>
            <w:b w:val="0"/>
            <w:noProof/>
            <w:webHidden/>
          </w:rPr>
          <w:fldChar w:fldCharType="separate"/>
        </w:r>
        <w:r>
          <w:rPr>
            <w:b w:val="0"/>
            <w:noProof/>
            <w:webHidden/>
          </w:rPr>
          <w:t>263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02" w:history="1">
        <w:r w:rsidR="009A0C4A" w:rsidRPr="009A0C4A">
          <w:rPr>
            <w:rStyle w:val="Hyperlink"/>
            <w:b w:val="0"/>
            <w:noProof/>
          </w:rPr>
          <w:t>Figura 119 - Aspecto visual do lançamento clandestino de esgoto in natura localizado no córrego do Salgado, próximo ao campo do Botafogo. (Local: 24K 0284485 7843527 / Altitude: 76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_Toc372740202 \h </w:instrText>
        </w:r>
        <w:r w:rsidR="00B16C6C" w:rsidRPr="009A0C4A">
          <w:rPr>
            <w:b w:val="0"/>
            <w:noProof/>
            <w:webHidden/>
          </w:rPr>
        </w:r>
        <w:r w:rsidR="00B16C6C" w:rsidRPr="009A0C4A">
          <w:rPr>
            <w:b w:val="0"/>
            <w:noProof/>
            <w:webHidden/>
          </w:rPr>
          <w:fldChar w:fldCharType="separate"/>
        </w:r>
        <w:r>
          <w:rPr>
            <w:b w:val="0"/>
            <w:noProof/>
            <w:webHidden/>
          </w:rPr>
          <w:t>263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03" w:history="1">
        <w:r w:rsidR="009A0C4A" w:rsidRPr="009A0C4A">
          <w:rPr>
            <w:rStyle w:val="Hyperlink"/>
            <w:b w:val="0"/>
            <w:noProof/>
          </w:rPr>
          <w:t>Figura 120 - Aspecto visual do lançamento clandestino de esgoto in natura localizado no córrego da Natividade, abaixo da Ponte da Polícia Rodoviária. (Local: 24K 0284554 7842699 / Altitude: 89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_Toc372740203 \h </w:instrText>
        </w:r>
        <w:r w:rsidR="00B16C6C" w:rsidRPr="009A0C4A">
          <w:rPr>
            <w:b w:val="0"/>
            <w:noProof/>
            <w:webHidden/>
          </w:rPr>
        </w:r>
        <w:r w:rsidR="00B16C6C" w:rsidRPr="009A0C4A">
          <w:rPr>
            <w:b w:val="0"/>
            <w:noProof/>
            <w:webHidden/>
          </w:rPr>
          <w:fldChar w:fldCharType="separate"/>
        </w:r>
        <w:r>
          <w:rPr>
            <w:b w:val="0"/>
            <w:noProof/>
            <w:webHidden/>
          </w:rPr>
          <w:t>264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04" w:history="1">
        <w:r w:rsidR="009A0C4A" w:rsidRPr="009A0C4A">
          <w:rPr>
            <w:rStyle w:val="Hyperlink"/>
            <w:b w:val="0"/>
            <w:noProof/>
          </w:rPr>
          <w:t>Figura 121 - Localização da ETE em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_Toc372740204 \h </w:instrText>
        </w:r>
        <w:r w:rsidR="00B16C6C" w:rsidRPr="009A0C4A">
          <w:rPr>
            <w:b w:val="0"/>
            <w:noProof/>
            <w:webHidden/>
          </w:rPr>
        </w:r>
        <w:r w:rsidR="00B16C6C" w:rsidRPr="009A0C4A">
          <w:rPr>
            <w:b w:val="0"/>
            <w:noProof/>
            <w:webHidden/>
          </w:rPr>
          <w:fldChar w:fldCharType="separate"/>
        </w:r>
        <w:r>
          <w:rPr>
            <w:b w:val="0"/>
            <w:noProof/>
            <w:webHidden/>
          </w:rPr>
          <w:t>266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05" w:history="1">
        <w:r w:rsidR="009A0C4A" w:rsidRPr="009A0C4A">
          <w:rPr>
            <w:rStyle w:val="Hyperlink"/>
            <w:b w:val="0"/>
            <w:noProof/>
          </w:rPr>
          <w:t>Figura 122 - Estação de Tratamento de Esgoto na sede de Aimorés (Local: 24K 0284300 7843684 / Altitude: 82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_Toc372740205 \h </w:instrText>
        </w:r>
        <w:r w:rsidR="00B16C6C" w:rsidRPr="009A0C4A">
          <w:rPr>
            <w:b w:val="0"/>
            <w:noProof/>
            <w:webHidden/>
          </w:rPr>
        </w:r>
        <w:r w:rsidR="00B16C6C" w:rsidRPr="009A0C4A">
          <w:rPr>
            <w:b w:val="0"/>
            <w:noProof/>
            <w:webHidden/>
          </w:rPr>
          <w:fldChar w:fldCharType="separate"/>
        </w:r>
        <w:r>
          <w:rPr>
            <w:b w:val="0"/>
            <w:noProof/>
            <w:webHidden/>
          </w:rPr>
          <w:t>266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06" w:history="1">
        <w:r w:rsidR="009A0C4A" w:rsidRPr="009A0C4A">
          <w:rPr>
            <w:rStyle w:val="Hyperlink"/>
            <w:b w:val="0"/>
            <w:noProof/>
          </w:rPr>
          <w:t>Figura 123 - Poço de Visita na Rua Cabo Benedito, n° 26 (Local: 24K 0284279 7843633 / Altitude: 94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_Toc372740206 \h </w:instrText>
        </w:r>
        <w:r w:rsidR="00B16C6C" w:rsidRPr="009A0C4A">
          <w:rPr>
            <w:b w:val="0"/>
            <w:noProof/>
            <w:webHidden/>
          </w:rPr>
        </w:r>
        <w:r w:rsidR="00B16C6C" w:rsidRPr="009A0C4A">
          <w:rPr>
            <w:b w:val="0"/>
            <w:noProof/>
            <w:webHidden/>
          </w:rPr>
          <w:fldChar w:fldCharType="separate"/>
        </w:r>
        <w:r>
          <w:rPr>
            <w:b w:val="0"/>
            <w:noProof/>
            <w:webHidden/>
          </w:rPr>
          <w:t>268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07" w:history="1">
        <w:r w:rsidR="009A0C4A" w:rsidRPr="009A0C4A">
          <w:rPr>
            <w:rStyle w:val="Hyperlink"/>
            <w:b w:val="0"/>
            <w:noProof/>
          </w:rPr>
          <w:t>Figura 124 - Estação Elevatório de Esgoto da Barra do Manhuaçu 1 (Local: 24K 0281166 7843424 / Altitude: 103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_Toc372740207 \h </w:instrText>
        </w:r>
        <w:r w:rsidR="00B16C6C" w:rsidRPr="009A0C4A">
          <w:rPr>
            <w:b w:val="0"/>
            <w:noProof/>
            <w:webHidden/>
          </w:rPr>
        </w:r>
        <w:r w:rsidR="00B16C6C" w:rsidRPr="009A0C4A">
          <w:rPr>
            <w:b w:val="0"/>
            <w:noProof/>
            <w:webHidden/>
          </w:rPr>
          <w:fldChar w:fldCharType="separate"/>
        </w:r>
        <w:r>
          <w:rPr>
            <w:b w:val="0"/>
            <w:noProof/>
            <w:webHidden/>
          </w:rPr>
          <w:t>270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08" w:history="1">
        <w:r w:rsidR="009A0C4A" w:rsidRPr="009A0C4A">
          <w:rPr>
            <w:rStyle w:val="Hyperlink"/>
            <w:b w:val="0"/>
            <w:noProof/>
          </w:rPr>
          <w:t>Figura 125 - Estação Elevatório de Esgoto da Barra do Manhuaçu 2 (Local: 24K 0280809 7843726 / Altitude: 86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_Toc372740208 \h </w:instrText>
        </w:r>
        <w:r w:rsidR="00B16C6C" w:rsidRPr="009A0C4A">
          <w:rPr>
            <w:b w:val="0"/>
            <w:noProof/>
            <w:webHidden/>
          </w:rPr>
        </w:r>
        <w:r w:rsidR="00B16C6C" w:rsidRPr="009A0C4A">
          <w:rPr>
            <w:b w:val="0"/>
            <w:noProof/>
            <w:webHidden/>
          </w:rPr>
          <w:fldChar w:fldCharType="separate"/>
        </w:r>
        <w:r>
          <w:rPr>
            <w:b w:val="0"/>
            <w:noProof/>
            <w:webHidden/>
          </w:rPr>
          <w:t>270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09" w:history="1">
        <w:r w:rsidR="009A0C4A" w:rsidRPr="009A0C4A">
          <w:rPr>
            <w:rStyle w:val="Hyperlink"/>
            <w:b w:val="0"/>
            <w:noProof/>
          </w:rPr>
          <w:t>Figura 126 - Estação Elevatório de Esgoto da Rua José Henrique Filho n° 128 - Bairro Igrejinha (Local: 24K 0281431 7842912 / Altitude: 98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_Toc372740209 \h </w:instrText>
        </w:r>
        <w:r w:rsidR="00B16C6C" w:rsidRPr="009A0C4A">
          <w:rPr>
            <w:b w:val="0"/>
            <w:noProof/>
            <w:webHidden/>
          </w:rPr>
        </w:r>
        <w:r w:rsidR="00B16C6C" w:rsidRPr="009A0C4A">
          <w:rPr>
            <w:b w:val="0"/>
            <w:noProof/>
            <w:webHidden/>
          </w:rPr>
          <w:fldChar w:fldCharType="separate"/>
        </w:r>
        <w:r>
          <w:rPr>
            <w:b w:val="0"/>
            <w:noProof/>
            <w:webHidden/>
          </w:rPr>
          <w:t>271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10" w:history="1">
        <w:r w:rsidR="009A0C4A" w:rsidRPr="009A0C4A">
          <w:rPr>
            <w:rStyle w:val="Hyperlink"/>
            <w:b w:val="0"/>
            <w:noProof/>
          </w:rPr>
          <w:t>Figura 127 - Estação Elevatório de Esgoto da Avenida Brasil n° 900 (Local: 24K 0281449 7842810 / Altitude: 120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_Toc372740210 \h </w:instrText>
        </w:r>
        <w:r w:rsidR="00B16C6C" w:rsidRPr="009A0C4A">
          <w:rPr>
            <w:b w:val="0"/>
            <w:noProof/>
            <w:webHidden/>
          </w:rPr>
        </w:r>
        <w:r w:rsidR="00B16C6C" w:rsidRPr="009A0C4A">
          <w:rPr>
            <w:b w:val="0"/>
            <w:noProof/>
            <w:webHidden/>
          </w:rPr>
          <w:fldChar w:fldCharType="separate"/>
        </w:r>
        <w:r>
          <w:rPr>
            <w:b w:val="0"/>
            <w:noProof/>
            <w:webHidden/>
          </w:rPr>
          <w:t>271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11" w:history="1">
        <w:r w:rsidR="009A0C4A" w:rsidRPr="009A0C4A">
          <w:rPr>
            <w:rStyle w:val="Hyperlink"/>
            <w:b w:val="0"/>
            <w:noProof/>
          </w:rPr>
          <w:t>Figura 128 - Estação Elevatório de Esgoto Avenida Florisvaldo Dias de Oliveira (Local: 24K 0282834 7843440 / Altitude: 77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_Toc372740211 \h </w:instrText>
        </w:r>
        <w:r w:rsidR="00B16C6C" w:rsidRPr="009A0C4A">
          <w:rPr>
            <w:b w:val="0"/>
            <w:noProof/>
            <w:webHidden/>
          </w:rPr>
        </w:r>
        <w:r w:rsidR="00B16C6C" w:rsidRPr="009A0C4A">
          <w:rPr>
            <w:b w:val="0"/>
            <w:noProof/>
            <w:webHidden/>
          </w:rPr>
          <w:fldChar w:fldCharType="separate"/>
        </w:r>
        <w:r>
          <w:rPr>
            <w:b w:val="0"/>
            <w:noProof/>
            <w:webHidden/>
          </w:rPr>
          <w:t>272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12" w:history="1">
        <w:r w:rsidR="009A0C4A" w:rsidRPr="009A0C4A">
          <w:rPr>
            <w:rStyle w:val="Hyperlink"/>
            <w:b w:val="0"/>
            <w:noProof/>
          </w:rPr>
          <w:t>Figura 129 - Estação Elevatório de Esgoto da Rua Espírito Santo (Local: 24K 0283927 7843490 / Altitude: 80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_Toc372740212 \h </w:instrText>
        </w:r>
        <w:r w:rsidR="00B16C6C" w:rsidRPr="009A0C4A">
          <w:rPr>
            <w:b w:val="0"/>
            <w:noProof/>
            <w:webHidden/>
          </w:rPr>
        </w:r>
        <w:r w:rsidR="00B16C6C" w:rsidRPr="009A0C4A">
          <w:rPr>
            <w:b w:val="0"/>
            <w:noProof/>
            <w:webHidden/>
          </w:rPr>
          <w:fldChar w:fldCharType="separate"/>
        </w:r>
        <w:r>
          <w:rPr>
            <w:b w:val="0"/>
            <w:noProof/>
            <w:webHidden/>
          </w:rPr>
          <w:t>272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13" w:history="1">
        <w:r w:rsidR="009A0C4A" w:rsidRPr="009A0C4A">
          <w:rPr>
            <w:rStyle w:val="Hyperlink"/>
            <w:b w:val="0"/>
            <w:noProof/>
          </w:rPr>
          <w:t>Figura 130 - Estação Elevatória de Esgoto da Rua Antônio Baião n° 5 - Bairro Triângulo (Local: 24K 0283911 7843286 / Altitude: 81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_Toc372740213 \h </w:instrText>
        </w:r>
        <w:r w:rsidR="00B16C6C" w:rsidRPr="009A0C4A">
          <w:rPr>
            <w:b w:val="0"/>
            <w:noProof/>
            <w:webHidden/>
          </w:rPr>
        </w:r>
        <w:r w:rsidR="00B16C6C" w:rsidRPr="009A0C4A">
          <w:rPr>
            <w:b w:val="0"/>
            <w:noProof/>
            <w:webHidden/>
          </w:rPr>
          <w:fldChar w:fldCharType="separate"/>
        </w:r>
        <w:r>
          <w:rPr>
            <w:b w:val="0"/>
            <w:noProof/>
            <w:webHidden/>
          </w:rPr>
          <w:t>273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14" w:history="1">
        <w:r w:rsidR="009A0C4A" w:rsidRPr="009A0C4A">
          <w:rPr>
            <w:rStyle w:val="Hyperlink"/>
            <w:b w:val="0"/>
            <w:noProof/>
          </w:rPr>
          <w:t>Figura 131 - Estação Elevatório de Esgoto da Rua Cabo Benedito n° 26 (Local: 24K 0284279 7843633/ Altitude: 94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_Toc372740214 \h </w:instrText>
        </w:r>
        <w:r w:rsidR="00B16C6C" w:rsidRPr="009A0C4A">
          <w:rPr>
            <w:b w:val="0"/>
            <w:noProof/>
            <w:webHidden/>
          </w:rPr>
        </w:r>
        <w:r w:rsidR="00B16C6C" w:rsidRPr="009A0C4A">
          <w:rPr>
            <w:b w:val="0"/>
            <w:noProof/>
            <w:webHidden/>
          </w:rPr>
          <w:fldChar w:fldCharType="separate"/>
        </w:r>
        <w:r>
          <w:rPr>
            <w:b w:val="0"/>
            <w:noProof/>
            <w:webHidden/>
          </w:rPr>
          <w:t>273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15" w:history="1">
        <w:r w:rsidR="009A0C4A" w:rsidRPr="009A0C4A">
          <w:rPr>
            <w:rStyle w:val="Hyperlink"/>
            <w:b w:val="0"/>
            <w:noProof/>
          </w:rPr>
          <w:t>Figura 132 - Visualização da ETE, do ponto de lançamento de esgoto tratado no córrego da Natividade e o rio Doce.</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_Toc372740215 \h </w:instrText>
        </w:r>
        <w:r w:rsidR="00B16C6C" w:rsidRPr="009A0C4A">
          <w:rPr>
            <w:b w:val="0"/>
            <w:noProof/>
            <w:webHidden/>
          </w:rPr>
        </w:r>
        <w:r w:rsidR="00B16C6C" w:rsidRPr="009A0C4A">
          <w:rPr>
            <w:b w:val="0"/>
            <w:noProof/>
            <w:webHidden/>
          </w:rPr>
          <w:fldChar w:fldCharType="separate"/>
        </w:r>
        <w:r>
          <w:rPr>
            <w:b w:val="0"/>
            <w:noProof/>
            <w:webHidden/>
          </w:rPr>
          <w:t>278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16" w:history="1">
        <w:r w:rsidR="009A0C4A" w:rsidRPr="009A0C4A">
          <w:rPr>
            <w:rStyle w:val="Hyperlink"/>
            <w:b w:val="0"/>
            <w:noProof/>
          </w:rPr>
          <w:t>Figura 133 - Aspecto visual da galeria onde recebe o esgoto tratado da ETE, e o esgoto in natura e águas pluviais. (Local: 24K 0284364 7843710 / Altitude: 99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_Toc372740216 \h </w:instrText>
        </w:r>
        <w:r w:rsidR="00B16C6C" w:rsidRPr="009A0C4A">
          <w:rPr>
            <w:b w:val="0"/>
            <w:noProof/>
            <w:webHidden/>
          </w:rPr>
        </w:r>
        <w:r w:rsidR="00B16C6C" w:rsidRPr="009A0C4A">
          <w:rPr>
            <w:b w:val="0"/>
            <w:noProof/>
            <w:webHidden/>
          </w:rPr>
          <w:fldChar w:fldCharType="separate"/>
        </w:r>
        <w:r>
          <w:rPr>
            <w:b w:val="0"/>
            <w:noProof/>
            <w:webHidden/>
          </w:rPr>
          <w:t>279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17" w:history="1">
        <w:r w:rsidR="009A0C4A" w:rsidRPr="009A0C4A">
          <w:rPr>
            <w:rStyle w:val="Hyperlink"/>
            <w:b w:val="0"/>
            <w:noProof/>
          </w:rPr>
          <w:t>Figura 134 - Aspecto visual do lançamento de esgoto in natura localizado no córrego do Perdido, próximo à Rua Secundino Cipriano. (Local: 24K 0265960 7801887 / Altitude: -107m).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_Toc372740217 \h </w:instrText>
        </w:r>
        <w:r w:rsidR="00B16C6C" w:rsidRPr="009A0C4A">
          <w:rPr>
            <w:b w:val="0"/>
            <w:noProof/>
            <w:webHidden/>
          </w:rPr>
        </w:r>
        <w:r w:rsidR="00B16C6C" w:rsidRPr="009A0C4A">
          <w:rPr>
            <w:b w:val="0"/>
            <w:noProof/>
            <w:webHidden/>
          </w:rPr>
          <w:fldChar w:fldCharType="separate"/>
        </w:r>
        <w:r>
          <w:rPr>
            <w:b w:val="0"/>
            <w:noProof/>
            <w:webHidden/>
          </w:rPr>
          <w:t>280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18" w:history="1">
        <w:r w:rsidR="009A0C4A" w:rsidRPr="009A0C4A">
          <w:rPr>
            <w:rStyle w:val="Hyperlink"/>
            <w:b w:val="0"/>
            <w:noProof/>
          </w:rPr>
          <w:t>Figura 135 -  Aspecto visual das estruturas da antiga Estação de Tratamento de Esgoto do distrito. (Local: 24K 0266099 7834809 / Altitude: 162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_Toc372740218 \h </w:instrText>
        </w:r>
        <w:r w:rsidR="00B16C6C" w:rsidRPr="009A0C4A">
          <w:rPr>
            <w:b w:val="0"/>
            <w:noProof/>
            <w:webHidden/>
          </w:rPr>
        </w:r>
        <w:r w:rsidR="00B16C6C" w:rsidRPr="009A0C4A">
          <w:rPr>
            <w:b w:val="0"/>
            <w:noProof/>
            <w:webHidden/>
          </w:rPr>
          <w:fldChar w:fldCharType="separate"/>
        </w:r>
        <w:r>
          <w:rPr>
            <w:b w:val="0"/>
            <w:noProof/>
            <w:webHidden/>
          </w:rPr>
          <w:t>281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19" w:history="1">
        <w:r w:rsidR="009A0C4A" w:rsidRPr="009A0C4A">
          <w:rPr>
            <w:rStyle w:val="Hyperlink"/>
            <w:b w:val="0"/>
            <w:noProof/>
          </w:rPr>
          <w:t>Figura 136 - Aspecto visual do de lançamento de esgoto in natura localizado no rio Capim. (Local: 24K 0266099 7834809 / Altitude: 162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_Toc372740219 \h </w:instrText>
        </w:r>
        <w:r w:rsidR="00B16C6C" w:rsidRPr="009A0C4A">
          <w:rPr>
            <w:b w:val="0"/>
            <w:noProof/>
            <w:webHidden/>
          </w:rPr>
        </w:r>
        <w:r w:rsidR="00B16C6C" w:rsidRPr="009A0C4A">
          <w:rPr>
            <w:b w:val="0"/>
            <w:noProof/>
            <w:webHidden/>
          </w:rPr>
          <w:fldChar w:fldCharType="separate"/>
        </w:r>
        <w:r>
          <w:rPr>
            <w:b w:val="0"/>
            <w:noProof/>
            <w:webHidden/>
          </w:rPr>
          <w:t>282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20" w:history="1">
        <w:r w:rsidR="009A0C4A" w:rsidRPr="009A0C4A">
          <w:rPr>
            <w:rStyle w:val="Hyperlink"/>
            <w:b w:val="0"/>
            <w:noProof/>
          </w:rPr>
          <w:t>Figura 137 - Aspecto visual do de lançamento de esgoto in natura localizado no rio Capim. (Local: 24K 0266308 7835326 / Altitude: 155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_Toc372740220 \h </w:instrText>
        </w:r>
        <w:r w:rsidR="00B16C6C" w:rsidRPr="009A0C4A">
          <w:rPr>
            <w:b w:val="0"/>
            <w:noProof/>
            <w:webHidden/>
          </w:rPr>
        </w:r>
        <w:r w:rsidR="00B16C6C" w:rsidRPr="009A0C4A">
          <w:rPr>
            <w:b w:val="0"/>
            <w:noProof/>
            <w:webHidden/>
          </w:rPr>
          <w:fldChar w:fldCharType="separate"/>
        </w:r>
        <w:r>
          <w:rPr>
            <w:b w:val="0"/>
            <w:noProof/>
            <w:webHidden/>
          </w:rPr>
          <w:t>282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21" w:history="1">
        <w:r w:rsidR="009A0C4A" w:rsidRPr="009A0C4A">
          <w:rPr>
            <w:rStyle w:val="Hyperlink"/>
            <w:b w:val="0"/>
            <w:noProof/>
          </w:rPr>
          <w:t>Figura 138 - Vista da entrada da Estação Elevatória localizada na Rua 01. (Local: 24K 0258852 7826358 / Altitude: 236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_Toc372740221 \h </w:instrText>
        </w:r>
        <w:r w:rsidR="00B16C6C" w:rsidRPr="009A0C4A">
          <w:rPr>
            <w:b w:val="0"/>
            <w:noProof/>
            <w:webHidden/>
          </w:rPr>
        </w:r>
        <w:r w:rsidR="00B16C6C" w:rsidRPr="009A0C4A">
          <w:rPr>
            <w:b w:val="0"/>
            <w:noProof/>
            <w:webHidden/>
          </w:rPr>
          <w:fldChar w:fldCharType="separate"/>
        </w:r>
        <w:r>
          <w:rPr>
            <w:b w:val="0"/>
            <w:noProof/>
            <w:webHidden/>
          </w:rPr>
          <w:t>283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22" w:history="1">
        <w:r w:rsidR="009A0C4A" w:rsidRPr="009A0C4A">
          <w:rPr>
            <w:rStyle w:val="Hyperlink"/>
            <w:b w:val="0"/>
            <w:noProof/>
          </w:rPr>
          <w:t xml:space="preserve">Figura 139 Figura 139 - Lançamento de esgoto </w:t>
        </w:r>
        <w:r w:rsidR="009A0C4A" w:rsidRPr="009A0C4A">
          <w:rPr>
            <w:rStyle w:val="Hyperlink"/>
            <w:b w:val="0"/>
            <w:i/>
            <w:noProof/>
          </w:rPr>
          <w:t>in natura</w:t>
        </w:r>
        <w:r w:rsidR="009A0C4A" w:rsidRPr="009A0C4A">
          <w:rPr>
            <w:rStyle w:val="Hyperlink"/>
            <w:b w:val="0"/>
            <w:noProof/>
          </w:rPr>
          <w:t>, atrás da Escola Municipal José Teixeira de Franco. (Local: 24K 0259166 7826844 / Altitude: 190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_Toc372740222 \h </w:instrText>
        </w:r>
        <w:r w:rsidR="00B16C6C" w:rsidRPr="009A0C4A">
          <w:rPr>
            <w:b w:val="0"/>
            <w:noProof/>
            <w:webHidden/>
          </w:rPr>
        </w:r>
        <w:r w:rsidR="00B16C6C" w:rsidRPr="009A0C4A">
          <w:rPr>
            <w:b w:val="0"/>
            <w:noProof/>
            <w:webHidden/>
          </w:rPr>
          <w:fldChar w:fldCharType="separate"/>
        </w:r>
        <w:r>
          <w:rPr>
            <w:b w:val="0"/>
            <w:noProof/>
            <w:webHidden/>
          </w:rPr>
          <w:t>284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23" w:history="1">
        <w:r w:rsidR="009A0C4A" w:rsidRPr="009A0C4A">
          <w:rPr>
            <w:rStyle w:val="Hyperlink"/>
            <w:b w:val="0"/>
            <w:noProof/>
          </w:rPr>
          <w:t>Figura 140 - Estação Elevatória próxima ao ponto de captação de água bruta (Local: 24K 0258917 7826208 / Altitude: 168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_Toc372740223 \h </w:instrText>
        </w:r>
        <w:r w:rsidR="00B16C6C" w:rsidRPr="009A0C4A">
          <w:rPr>
            <w:b w:val="0"/>
            <w:noProof/>
            <w:webHidden/>
          </w:rPr>
        </w:r>
        <w:r w:rsidR="00B16C6C" w:rsidRPr="009A0C4A">
          <w:rPr>
            <w:b w:val="0"/>
            <w:noProof/>
            <w:webHidden/>
          </w:rPr>
          <w:fldChar w:fldCharType="separate"/>
        </w:r>
        <w:r>
          <w:rPr>
            <w:b w:val="0"/>
            <w:noProof/>
            <w:webHidden/>
          </w:rPr>
          <w:t>284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24" w:history="1">
        <w:r w:rsidR="009A0C4A" w:rsidRPr="009A0C4A">
          <w:rPr>
            <w:rStyle w:val="Hyperlink"/>
            <w:b w:val="0"/>
            <w:noProof/>
          </w:rPr>
          <w:t xml:space="preserve">Figura 141 - Aspecto visual do de lançamento de esgoto </w:t>
        </w:r>
        <w:r w:rsidR="009A0C4A" w:rsidRPr="009A0C4A">
          <w:rPr>
            <w:rStyle w:val="Hyperlink"/>
            <w:b w:val="0"/>
            <w:i/>
            <w:noProof/>
          </w:rPr>
          <w:t>in natura</w:t>
        </w:r>
        <w:r w:rsidR="009A0C4A" w:rsidRPr="009A0C4A">
          <w:rPr>
            <w:rStyle w:val="Hyperlink"/>
            <w:b w:val="0"/>
            <w:noProof/>
          </w:rPr>
          <w:t xml:space="preserve"> ao lado do campo de futebol. (Local: 24K 0253332 7815218/ Altitude: 230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_Toc372740224 \h </w:instrText>
        </w:r>
        <w:r w:rsidR="00B16C6C" w:rsidRPr="009A0C4A">
          <w:rPr>
            <w:b w:val="0"/>
            <w:noProof/>
            <w:webHidden/>
          </w:rPr>
        </w:r>
        <w:r w:rsidR="00B16C6C" w:rsidRPr="009A0C4A">
          <w:rPr>
            <w:b w:val="0"/>
            <w:noProof/>
            <w:webHidden/>
          </w:rPr>
          <w:fldChar w:fldCharType="separate"/>
        </w:r>
        <w:r>
          <w:rPr>
            <w:b w:val="0"/>
            <w:noProof/>
            <w:webHidden/>
          </w:rPr>
          <w:t>285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25" w:history="1">
        <w:r w:rsidR="009A0C4A" w:rsidRPr="009A0C4A">
          <w:rPr>
            <w:rStyle w:val="Hyperlink"/>
            <w:b w:val="0"/>
            <w:noProof/>
          </w:rPr>
          <w:t xml:space="preserve">Figura 142 - Ponto de lançamento de esgoto </w:t>
        </w:r>
        <w:r w:rsidR="009A0C4A" w:rsidRPr="009A0C4A">
          <w:rPr>
            <w:rStyle w:val="Hyperlink"/>
            <w:b w:val="0"/>
            <w:i/>
            <w:noProof/>
          </w:rPr>
          <w:t>in natura</w:t>
        </w:r>
        <w:r w:rsidR="009A0C4A" w:rsidRPr="009A0C4A">
          <w:rPr>
            <w:rStyle w:val="Hyperlink"/>
            <w:b w:val="0"/>
            <w:noProof/>
          </w:rPr>
          <w:t>.  (Local: 24K 0253299 7815220 / Altitude: 232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_Toc372740225 \h </w:instrText>
        </w:r>
        <w:r w:rsidR="00B16C6C" w:rsidRPr="009A0C4A">
          <w:rPr>
            <w:b w:val="0"/>
            <w:noProof/>
            <w:webHidden/>
          </w:rPr>
        </w:r>
        <w:r w:rsidR="00B16C6C" w:rsidRPr="009A0C4A">
          <w:rPr>
            <w:b w:val="0"/>
            <w:noProof/>
            <w:webHidden/>
          </w:rPr>
          <w:fldChar w:fldCharType="separate"/>
        </w:r>
        <w:r>
          <w:rPr>
            <w:b w:val="0"/>
            <w:noProof/>
            <w:webHidden/>
          </w:rPr>
          <w:t>286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26" w:history="1">
        <w:r w:rsidR="009A0C4A" w:rsidRPr="009A0C4A">
          <w:rPr>
            <w:rStyle w:val="Hyperlink"/>
            <w:b w:val="0"/>
            <w:noProof/>
          </w:rPr>
          <w:t>Figura 143 - Aspecto visual do despejo de esgoto doméstico.  (Local: 24K 0253299 7815220 / Altitude: 232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_Toc372740226 \h </w:instrText>
        </w:r>
        <w:r w:rsidR="00B16C6C" w:rsidRPr="009A0C4A">
          <w:rPr>
            <w:b w:val="0"/>
            <w:noProof/>
            <w:webHidden/>
          </w:rPr>
        </w:r>
        <w:r w:rsidR="00B16C6C" w:rsidRPr="009A0C4A">
          <w:rPr>
            <w:b w:val="0"/>
            <w:noProof/>
            <w:webHidden/>
          </w:rPr>
          <w:fldChar w:fldCharType="separate"/>
        </w:r>
        <w:r>
          <w:rPr>
            <w:b w:val="0"/>
            <w:noProof/>
            <w:webHidden/>
          </w:rPr>
          <w:t>286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27" w:history="1">
        <w:r w:rsidR="009A0C4A" w:rsidRPr="009A0C4A">
          <w:rPr>
            <w:rStyle w:val="Hyperlink"/>
            <w:b w:val="0"/>
            <w:noProof/>
          </w:rPr>
          <w:t>Figura 144 - Aspecto visual do lançamento de esgoto “in natura”, localizado no córrego Ibiruçu. (Local: 24K 0263583 7823801 / Altitude: 190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_Toc372740227 \h </w:instrText>
        </w:r>
        <w:r w:rsidR="00B16C6C" w:rsidRPr="009A0C4A">
          <w:rPr>
            <w:b w:val="0"/>
            <w:noProof/>
            <w:webHidden/>
          </w:rPr>
        </w:r>
        <w:r w:rsidR="00B16C6C" w:rsidRPr="009A0C4A">
          <w:rPr>
            <w:b w:val="0"/>
            <w:noProof/>
            <w:webHidden/>
          </w:rPr>
          <w:fldChar w:fldCharType="separate"/>
        </w:r>
        <w:r>
          <w:rPr>
            <w:b w:val="0"/>
            <w:noProof/>
            <w:webHidden/>
          </w:rPr>
          <w:t>287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28" w:history="1">
        <w:r w:rsidR="009A0C4A" w:rsidRPr="009A0C4A">
          <w:rPr>
            <w:rStyle w:val="Hyperlink"/>
            <w:b w:val="0"/>
            <w:noProof/>
          </w:rPr>
          <w:t xml:space="preserve">Figura 145 - Aspecto visual do lançamento de esgoto </w:t>
        </w:r>
        <w:r w:rsidR="009A0C4A" w:rsidRPr="009A0C4A">
          <w:rPr>
            <w:rStyle w:val="Hyperlink"/>
            <w:b w:val="0"/>
            <w:i/>
            <w:noProof/>
          </w:rPr>
          <w:t>in natura</w:t>
        </w:r>
        <w:r w:rsidR="009A0C4A" w:rsidRPr="009A0C4A">
          <w:rPr>
            <w:rStyle w:val="Hyperlink"/>
            <w:b w:val="0"/>
            <w:noProof/>
          </w:rPr>
          <w:t>, localizado no córrego Ibiruçu. (Local: 24K 0263583 7823801 / Altitude: 190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_Toc372740228 \h </w:instrText>
        </w:r>
        <w:r w:rsidR="00B16C6C" w:rsidRPr="009A0C4A">
          <w:rPr>
            <w:b w:val="0"/>
            <w:noProof/>
            <w:webHidden/>
          </w:rPr>
        </w:r>
        <w:r w:rsidR="00B16C6C" w:rsidRPr="009A0C4A">
          <w:rPr>
            <w:b w:val="0"/>
            <w:noProof/>
            <w:webHidden/>
          </w:rPr>
          <w:fldChar w:fldCharType="separate"/>
        </w:r>
        <w:r>
          <w:rPr>
            <w:b w:val="0"/>
            <w:noProof/>
            <w:webHidden/>
          </w:rPr>
          <w:t>288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29" w:history="1">
        <w:r w:rsidR="009A0C4A" w:rsidRPr="009A0C4A">
          <w:rPr>
            <w:rStyle w:val="Hyperlink"/>
            <w:b w:val="0"/>
            <w:noProof/>
          </w:rPr>
          <w:t>Figura 146 - Vista de parte da antiga ETE desativada devido a problemas estruturais. (Local: 24K 0263360 7823530 / Altitude: 179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_Toc372740229 \h </w:instrText>
        </w:r>
        <w:r w:rsidR="00B16C6C" w:rsidRPr="009A0C4A">
          <w:rPr>
            <w:b w:val="0"/>
            <w:noProof/>
            <w:webHidden/>
          </w:rPr>
        </w:r>
        <w:r w:rsidR="00B16C6C" w:rsidRPr="009A0C4A">
          <w:rPr>
            <w:b w:val="0"/>
            <w:noProof/>
            <w:webHidden/>
          </w:rPr>
          <w:fldChar w:fldCharType="separate"/>
        </w:r>
        <w:r>
          <w:rPr>
            <w:b w:val="0"/>
            <w:noProof/>
            <w:webHidden/>
          </w:rPr>
          <w:t>288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30" w:history="1">
        <w:r w:rsidR="009A0C4A" w:rsidRPr="009A0C4A">
          <w:rPr>
            <w:rStyle w:val="Hyperlink"/>
            <w:b w:val="0"/>
            <w:noProof/>
          </w:rPr>
          <w:t>Figura 147 - Aspecto visual de parte da estrutura do antigo sistema de tratamento de esgoto doméstico (Local: 24K 0263331 7823550 / Altitude: 179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_Toc372740230 \h </w:instrText>
        </w:r>
        <w:r w:rsidR="00B16C6C" w:rsidRPr="009A0C4A">
          <w:rPr>
            <w:b w:val="0"/>
            <w:noProof/>
            <w:webHidden/>
          </w:rPr>
        </w:r>
        <w:r w:rsidR="00B16C6C" w:rsidRPr="009A0C4A">
          <w:rPr>
            <w:b w:val="0"/>
            <w:noProof/>
            <w:webHidden/>
          </w:rPr>
          <w:fldChar w:fldCharType="separate"/>
        </w:r>
        <w:r>
          <w:rPr>
            <w:b w:val="0"/>
            <w:noProof/>
            <w:webHidden/>
          </w:rPr>
          <w:t>289</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31" w:history="1">
        <w:r w:rsidR="009A0C4A" w:rsidRPr="009A0C4A">
          <w:rPr>
            <w:rStyle w:val="Hyperlink"/>
            <w:b w:val="0"/>
            <w:noProof/>
          </w:rPr>
          <w:t>Figura 148 - Estação Elevatória no final da Rua Travessa Guarani (Local: 24K 0288805 7842110 / Altitude: 70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_Toc372740231 \h </w:instrText>
        </w:r>
        <w:r w:rsidR="00B16C6C" w:rsidRPr="009A0C4A">
          <w:rPr>
            <w:b w:val="0"/>
            <w:noProof/>
            <w:webHidden/>
          </w:rPr>
        </w:r>
        <w:r w:rsidR="00B16C6C" w:rsidRPr="009A0C4A">
          <w:rPr>
            <w:b w:val="0"/>
            <w:noProof/>
            <w:webHidden/>
          </w:rPr>
          <w:fldChar w:fldCharType="separate"/>
        </w:r>
        <w:r>
          <w:rPr>
            <w:b w:val="0"/>
            <w:noProof/>
            <w:webHidden/>
          </w:rPr>
          <w:t>290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32" w:history="1">
        <w:r w:rsidR="009A0C4A" w:rsidRPr="009A0C4A">
          <w:rPr>
            <w:rStyle w:val="Hyperlink"/>
            <w:b w:val="0"/>
            <w:noProof/>
          </w:rPr>
          <w:t>Figura 149 - Aspecto visual do lançamento de esgoto in natura localizado no rio Doce. (Local: 24K 0288775 7842025 / Altitude: 63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_Toc372740232 \h </w:instrText>
        </w:r>
        <w:r w:rsidR="00B16C6C" w:rsidRPr="009A0C4A">
          <w:rPr>
            <w:b w:val="0"/>
            <w:noProof/>
            <w:webHidden/>
          </w:rPr>
        </w:r>
        <w:r w:rsidR="00B16C6C" w:rsidRPr="009A0C4A">
          <w:rPr>
            <w:b w:val="0"/>
            <w:noProof/>
            <w:webHidden/>
          </w:rPr>
          <w:fldChar w:fldCharType="separate"/>
        </w:r>
        <w:r>
          <w:rPr>
            <w:b w:val="0"/>
            <w:noProof/>
            <w:webHidden/>
          </w:rPr>
          <w:t>290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33" w:history="1">
        <w:r w:rsidR="009A0C4A" w:rsidRPr="009A0C4A">
          <w:rPr>
            <w:rStyle w:val="Hyperlink"/>
            <w:b w:val="0"/>
            <w:noProof/>
          </w:rPr>
          <w:t xml:space="preserve">Figura 150 - Vista de parte de tubulação de lançamento de esgoto </w:t>
        </w:r>
        <w:r w:rsidR="009A0C4A" w:rsidRPr="009A0C4A">
          <w:rPr>
            <w:rStyle w:val="Hyperlink"/>
            <w:b w:val="0"/>
            <w:i/>
            <w:noProof/>
          </w:rPr>
          <w:t>in natura</w:t>
        </w:r>
        <w:r w:rsidR="009A0C4A" w:rsidRPr="009A0C4A">
          <w:rPr>
            <w:rStyle w:val="Hyperlink"/>
            <w:b w:val="0"/>
            <w:noProof/>
          </w:rPr>
          <w:t xml:space="preserve"> localizado no final da rua Governador Valadares, próximo ao córrego Vala Seca.  (Local: 24K 0288776 7842026 / Altitude: 63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_Toc372740233 \h </w:instrText>
        </w:r>
        <w:r w:rsidR="00B16C6C" w:rsidRPr="009A0C4A">
          <w:rPr>
            <w:b w:val="0"/>
            <w:noProof/>
            <w:webHidden/>
          </w:rPr>
        </w:r>
        <w:r w:rsidR="00B16C6C" w:rsidRPr="009A0C4A">
          <w:rPr>
            <w:b w:val="0"/>
            <w:noProof/>
            <w:webHidden/>
          </w:rPr>
          <w:fldChar w:fldCharType="separate"/>
        </w:r>
        <w:r>
          <w:rPr>
            <w:b w:val="0"/>
            <w:noProof/>
            <w:webHidden/>
          </w:rPr>
          <w:t>291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34" w:history="1">
        <w:r w:rsidR="009A0C4A" w:rsidRPr="009A0C4A">
          <w:rPr>
            <w:rStyle w:val="Hyperlink"/>
            <w:b w:val="0"/>
            <w:noProof/>
          </w:rPr>
          <w:t>Figura 151 - Aspecto visual do retorno do fluxo de esgoto devido aos entupimentos. (Local: 24K 0288851 7842334 / Altitude: 65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_Toc372740234 \h </w:instrText>
        </w:r>
        <w:r w:rsidR="00B16C6C" w:rsidRPr="009A0C4A">
          <w:rPr>
            <w:b w:val="0"/>
            <w:noProof/>
            <w:webHidden/>
          </w:rPr>
        </w:r>
        <w:r w:rsidR="00B16C6C" w:rsidRPr="009A0C4A">
          <w:rPr>
            <w:b w:val="0"/>
            <w:noProof/>
            <w:webHidden/>
          </w:rPr>
          <w:fldChar w:fldCharType="separate"/>
        </w:r>
        <w:r>
          <w:rPr>
            <w:b w:val="0"/>
            <w:noProof/>
            <w:webHidden/>
          </w:rPr>
          <w:t>291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35" w:history="1">
        <w:r w:rsidR="009A0C4A" w:rsidRPr="009A0C4A">
          <w:rPr>
            <w:rStyle w:val="Hyperlink"/>
            <w:b w:val="0"/>
            <w:noProof/>
          </w:rPr>
          <w:t>Figura 152 - Aspecto visual do retorno do fluxo de esgoto devido aos entupimentos. (Local: 24K 0288851 7842334 / Altitude: 65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_Toc372740235 \h </w:instrText>
        </w:r>
        <w:r w:rsidR="00B16C6C" w:rsidRPr="009A0C4A">
          <w:rPr>
            <w:b w:val="0"/>
            <w:noProof/>
            <w:webHidden/>
          </w:rPr>
        </w:r>
        <w:r w:rsidR="00B16C6C" w:rsidRPr="009A0C4A">
          <w:rPr>
            <w:b w:val="0"/>
            <w:noProof/>
            <w:webHidden/>
          </w:rPr>
          <w:fldChar w:fldCharType="separate"/>
        </w:r>
        <w:r>
          <w:rPr>
            <w:b w:val="0"/>
            <w:noProof/>
            <w:webHidden/>
          </w:rPr>
          <w:t>292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36" w:history="1">
        <w:r w:rsidR="009A0C4A" w:rsidRPr="009A0C4A">
          <w:rPr>
            <w:rStyle w:val="Hyperlink"/>
            <w:b w:val="0"/>
            <w:noProof/>
          </w:rPr>
          <w:t xml:space="preserve">Figura 153 - Aspecto visual do lançamento de esgoto </w:t>
        </w:r>
        <w:r w:rsidR="009A0C4A" w:rsidRPr="009A0C4A">
          <w:rPr>
            <w:rStyle w:val="Hyperlink"/>
            <w:b w:val="0"/>
            <w:i/>
            <w:noProof/>
          </w:rPr>
          <w:t>in natura</w:t>
        </w:r>
        <w:r w:rsidR="009A0C4A" w:rsidRPr="009A0C4A">
          <w:rPr>
            <w:rStyle w:val="Hyperlink"/>
            <w:b w:val="0"/>
            <w:noProof/>
          </w:rPr>
          <w:t xml:space="preserve"> localizado no córrego Vala Seca, próximo ao fim da rua Tamandaré. (Local: 24K 0288669 7842430 / Altitude: 71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_Toc372740236 \h </w:instrText>
        </w:r>
        <w:r w:rsidR="00B16C6C" w:rsidRPr="009A0C4A">
          <w:rPr>
            <w:b w:val="0"/>
            <w:noProof/>
            <w:webHidden/>
          </w:rPr>
        </w:r>
        <w:r w:rsidR="00B16C6C" w:rsidRPr="009A0C4A">
          <w:rPr>
            <w:b w:val="0"/>
            <w:noProof/>
            <w:webHidden/>
          </w:rPr>
          <w:fldChar w:fldCharType="separate"/>
        </w:r>
        <w:r>
          <w:rPr>
            <w:b w:val="0"/>
            <w:noProof/>
            <w:webHidden/>
          </w:rPr>
          <w:t>292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37" w:history="1">
        <w:r w:rsidR="009A0C4A" w:rsidRPr="009A0C4A">
          <w:rPr>
            <w:rStyle w:val="Hyperlink"/>
            <w:b w:val="0"/>
            <w:noProof/>
          </w:rPr>
          <w:t xml:space="preserve">Figura 154 - Aspecto visual do lançamento de esgoto </w:t>
        </w:r>
        <w:r w:rsidR="009A0C4A" w:rsidRPr="009A0C4A">
          <w:rPr>
            <w:rStyle w:val="Hyperlink"/>
            <w:b w:val="0"/>
            <w:i/>
            <w:noProof/>
          </w:rPr>
          <w:t>in natura</w:t>
        </w:r>
        <w:r w:rsidR="009A0C4A" w:rsidRPr="009A0C4A">
          <w:rPr>
            <w:rStyle w:val="Hyperlink"/>
            <w:b w:val="0"/>
            <w:noProof/>
          </w:rPr>
          <w:t xml:space="preserve"> localizado no final da Rua Oswaldo Paiva no rio Doce. (Local: 24K 0288563 7842062 / Altitude: 62m).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_Toc372740237 \h </w:instrText>
        </w:r>
        <w:r w:rsidR="00B16C6C" w:rsidRPr="009A0C4A">
          <w:rPr>
            <w:b w:val="0"/>
            <w:noProof/>
            <w:webHidden/>
          </w:rPr>
        </w:r>
        <w:r w:rsidR="00B16C6C" w:rsidRPr="009A0C4A">
          <w:rPr>
            <w:b w:val="0"/>
            <w:noProof/>
            <w:webHidden/>
          </w:rPr>
          <w:fldChar w:fldCharType="separate"/>
        </w:r>
        <w:r>
          <w:rPr>
            <w:b w:val="0"/>
            <w:noProof/>
            <w:webHidden/>
          </w:rPr>
          <w:t>293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38" w:history="1">
        <w:r w:rsidR="009A0C4A" w:rsidRPr="009A0C4A">
          <w:rPr>
            <w:rStyle w:val="Hyperlink"/>
            <w:b w:val="0"/>
            <w:noProof/>
          </w:rPr>
          <w:t>Figura 155 - Vista de parte da estrutura da antiga ETE, atualmente desativada. (Local: 24K 0261002 7813979 / Altitude: 220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_Toc372740238 \h </w:instrText>
        </w:r>
        <w:r w:rsidR="00B16C6C" w:rsidRPr="009A0C4A">
          <w:rPr>
            <w:b w:val="0"/>
            <w:noProof/>
            <w:webHidden/>
          </w:rPr>
        </w:r>
        <w:r w:rsidR="00B16C6C" w:rsidRPr="009A0C4A">
          <w:rPr>
            <w:b w:val="0"/>
            <w:noProof/>
            <w:webHidden/>
          </w:rPr>
          <w:fldChar w:fldCharType="separate"/>
        </w:r>
        <w:r>
          <w:rPr>
            <w:b w:val="0"/>
            <w:noProof/>
            <w:webHidden/>
          </w:rPr>
          <w:t>294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39" w:history="1">
        <w:r w:rsidR="009A0C4A" w:rsidRPr="009A0C4A">
          <w:rPr>
            <w:rStyle w:val="Hyperlink"/>
            <w:b w:val="0"/>
            <w:noProof/>
          </w:rPr>
          <w:t>Figura 156 - Aspecto visual do lançamento de esgoto “in natura” localizado na rua José Henrique Filho. (Local: 24K 0261001 7813977 / Altitude: 221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_Toc372740239 \h </w:instrText>
        </w:r>
        <w:r w:rsidR="00B16C6C" w:rsidRPr="009A0C4A">
          <w:rPr>
            <w:b w:val="0"/>
            <w:noProof/>
            <w:webHidden/>
          </w:rPr>
        </w:r>
        <w:r w:rsidR="00B16C6C" w:rsidRPr="009A0C4A">
          <w:rPr>
            <w:b w:val="0"/>
            <w:noProof/>
            <w:webHidden/>
          </w:rPr>
          <w:fldChar w:fldCharType="separate"/>
        </w:r>
        <w:r>
          <w:rPr>
            <w:b w:val="0"/>
            <w:noProof/>
            <w:webHidden/>
          </w:rPr>
          <w:t>294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40" w:history="1">
        <w:r w:rsidR="009A0C4A" w:rsidRPr="009A0C4A">
          <w:rPr>
            <w:rStyle w:val="Hyperlink"/>
            <w:b w:val="0"/>
            <w:noProof/>
          </w:rPr>
          <w:t>Figura 157 - Vista de parte da tubulação que conduzia o esgoto até a Antiga ETE. (Local: 24K 0261001 7813977 / Altitude: 221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_Toc372740240 \h </w:instrText>
        </w:r>
        <w:r w:rsidR="00B16C6C" w:rsidRPr="009A0C4A">
          <w:rPr>
            <w:b w:val="0"/>
            <w:noProof/>
            <w:webHidden/>
          </w:rPr>
        </w:r>
        <w:r w:rsidR="00B16C6C" w:rsidRPr="009A0C4A">
          <w:rPr>
            <w:b w:val="0"/>
            <w:noProof/>
            <w:webHidden/>
          </w:rPr>
          <w:fldChar w:fldCharType="separate"/>
        </w:r>
        <w:r>
          <w:rPr>
            <w:b w:val="0"/>
            <w:noProof/>
            <w:webHidden/>
          </w:rPr>
          <w:t>295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41" w:history="1">
        <w:r w:rsidR="009A0C4A" w:rsidRPr="009A0C4A">
          <w:rPr>
            <w:rStyle w:val="Hyperlink"/>
            <w:b w:val="0"/>
            <w:noProof/>
          </w:rPr>
          <w:t xml:space="preserve">Figura 158 - Aspecto visual do lançamento de esgoto </w:t>
        </w:r>
        <w:r w:rsidR="009A0C4A" w:rsidRPr="009A0C4A">
          <w:rPr>
            <w:rStyle w:val="Hyperlink"/>
            <w:b w:val="0"/>
            <w:i/>
            <w:noProof/>
          </w:rPr>
          <w:t>in natura</w:t>
        </w:r>
        <w:r w:rsidR="009A0C4A" w:rsidRPr="009A0C4A">
          <w:rPr>
            <w:rStyle w:val="Hyperlink"/>
            <w:b w:val="0"/>
            <w:noProof/>
          </w:rPr>
          <w:t xml:space="preserve"> localizado no córrego Passa Cinco. (Local: 24K 0258158 7842165 / Altitude: 107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_Toc372740241 \h </w:instrText>
        </w:r>
        <w:r w:rsidR="00B16C6C" w:rsidRPr="009A0C4A">
          <w:rPr>
            <w:b w:val="0"/>
            <w:noProof/>
            <w:webHidden/>
          </w:rPr>
        </w:r>
        <w:r w:rsidR="00B16C6C" w:rsidRPr="009A0C4A">
          <w:rPr>
            <w:b w:val="0"/>
            <w:noProof/>
            <w:webHidden/>
          </w:rPr>
          <w:fldChar w:fldCharType="separate"/>
        </w:r>
        <w:r>
          <w:rPr>
            <w:b w:val="0"/>
            <w:noProof/>
            <w:webHidden/>
          </w:rPr>
          <w:t>296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42" w:history="1">
        <w:r w:rsidR="009A0C4A" w:rsidRPr="009A0C4A">
          <w:rPr>
            <w:rStyle w:val="Hyperlink"/>
            <w:b w:val="0"/>
            <w:noProof/>
          </w:rPr>
          <w:t xml:space="preserve">Figura 159 - Aspecto visual do lançamento de esgoto </w:t>
        </w:r>
        <w:r w:rsidR="009A0C4A" w:rsidRPr="009A0C4A">
          <w:rPr>
            <w:rStyle w:val="Hyperlink"/>
            <w:b w:val="0"/>
            <w:i/>
            <w:noProof/>
          </w:rPr>
          <w:t>in natura</w:t>
        </w:r>
        <w:r w:rsidR="009A0C4A" w:rsidRPr="009A0C4A">
          <w:rPr>
            <w:rStyle w:val="Hyperlink"/>
            <w:b w:val="0"/>
            <w:noProof/>
          </w:rPr>
          <w:t xml:space="preserve"> localizado no córrego Passa Cinco. (Local: 24K 0258158 7842165 / Altitude: 107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_Toc372740242 \h </w:instrText>
        </w:r>
        <w:r w:rsidR="00B16C6C" w:rsidRPr="009A0C4A">
          <w:rPr>
            <w:b w:val="0"/>
            <w:noProof/>
            <w:webHidden/>
          </w:rPr>
        </w:r>
        <w:r w:rsidR="00B16C6C" w:rsidRPr="009A0C4A">
          <w:rPr>
            <w:b w:val="0"/>
            <w:noProof/>
            <w:webHidden/>
          </w:rPr>
          <w:fldChar w:fldCharType="separate"/>
        </w:r>
        <w:r>
          <w:rPr>
            <w:b w:val="0"/>
            <w:noProof/>
            <w:webHidden/>
          </w:rPr>
          <w:t>296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43" w:history="1">
        <w:r w:rsidR="009A0C4A" w:rsidRPr="009A0C4A">
          <w:rPr>
            <w:rStyle w:val="Hyperlink"/>
            <w:b w:val="0"/>
            <w:noProof/>
          </w:rPr>
          <w:t xml:space="preserve">Figura 160 - Aspecto visual do lançamento de esgoto </w:t>
        </w:r>
        <w:r w:rsidR="009A0C4A" w:rsidRPr="009A0C4A">
          <w:rPr>
            <w:rStyle w:val="Hyperlink"/>
            <w:b w:val="0"/>
            <w:i/>
            <w:noProof/>
          </w:rPr>
          <w:t>in natura</w:t>
        </w:r>
        <w:r w:rsidR="009A0C4A" w:rsidRPr="009A0C4A">
          <w:rPr>
            <w:rStyle w:val="Hyperlink"/>
            <w:b w:val="0"/>
            <w:noProof/>
          </w:rPr>
          <w:t xml:space="preserve"> localizado no rio Manhuaçu. (Local: 24K 0257636 7842362 / Altitude: 133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_Toc372740243 \h </w:instrText>
        </w:r>
        <w:r w:rsidR="00B16C6C" w:rsidRPr="009A0C4A">
          <w:rPr>
            <w:b w:val="0"/>
            <w:noProof/>
            <w:webHidden/>
          </w:rPr>
        </w:r>
        <w:r w:rsidR="00B16C6C" w:rsidRPr="009A0C4A">
          <w:rPr>
            <w:b w:val="0"/>
            <w:noProof/>
            <w:webHidden/>
          </w:rPr>
          <w:fldChar w:fldCharType="separate"/>
        </w:r>
        <w:r>
          <w:rPr>
            <w:b w:val="0"/>
            <w:noProof/>
            <w:webHidden/>
          </w:rPr>
          <w:t>297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44" w:history="1">
        <w:r w:rsidR="009A0C4A" w:rsidRPr="009A0C4A">
          <w:rPr>
            <w:rStyle w:val="Hyperlink"/>
            <w:b w:val="0"/>
            <w:noProof/>
          </w:rPr>
          <w:t xml:space="preserve">Figura 161 - Aspecto visual do lançamento de esgoto </w:t>
        </w:r>
        <w:r w:rsidR="009A0C4A" w:rsidRPr="009A0C4A">
          <w:rPr>
            <w:rStyle w:val="Hyperlink"/>
            <w:b w:val="0"/>
            <w:i/>
            <w:noProof/>
          </w:rPr>
          <w:t>in natura</w:t>
        </w:r>
        <w:r w:rsidR="009A0C4A" w:rsidRPr="009A0C4A">
          <w:rPr>
            <w:rStyle w:val="Hyperlink"/>
            <w:b w:val="0"/>
            <w:noProof/>
          </w:rPr>
          <w:t xml:space="preserve"> localizado no rio Manhuaçu. (Local: 24K 0257999 7841932 / Altitude: 131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_Toc372740244 \h </w:instrText>
        </w:r>
        <w:r w:rsidR="00B16C6C" w:rsidRPr="009A0C4A">
          <w:rPr>
            <w:b w:val="0"/>
            <w:noProof/>
            <w:webHidden/>
          </w:rPr>
        </w:r>
        <w:r w:rsidR="00B16C6C" w:rsidRPr="009A0C4A">
          <w:rPr>
            <w:b w:val="0"/>
            <w:noProof/>
            <w:webHidden/>
          </w:rPr>
          <w:fldChar w:fldCharType="separate"/>
        </w:r>
        <w:r>
          <w:rPr>
            <w:b w:val="0"/>
            <w:noProof/>
            <w:webHidden/>
          </w:rPr>
          <w:t>297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45" w:history="1">
        <w:r w:rsidR="009A0C4A" w:rsidRPr="009A0C4A">
          <w:rPr>
            <w:rStyle w:val="Hyperlink"/>
            <w:b w:val="0"/>
            <w:noProof/>
          </w:rPr>
          <w:t>Figura 162 - Aspecto visual do lançamento de esgoto in natura localizado no córrego Passa Cinco. (Local: 24K 0258158 7842165 / Altitude: 107 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_Toc372740245 \h </w:instrText>
        </w:r>
        <w:r w:rsidR="00B16C6C" w:rsidRPr="009A0C4A">
          <w:rPr>
            <w:b w:val="0"/>
            <w:noProof/>
            <w:webHidden/>
          </w:rPr>
        </w:r>
        <w:r w:rsidR="00B16C6C" w:rsidRPr="009A0C4A">
          <w:rPr>
            <w:b w:val="0"/>
            <w:noProof/>
            <w:webHidden/>
          </w:rPr>
          <w:fldChar w:fldCharType="separate"/>
        </w:r>
        <w:r>
          <w:rPr>
            <w:b w:val="0"/>
            <w:noProof/>
            <w:webHidden/>
          </w:rPr>
          <w:t>298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46" w:history="1">
        <w:r w:rsidR="009A0C4A" w:rsidRPr="009A0C4A">
          <w:rPr>
            <w:rStyle w:val="Hyperlink"/>
            <w:b w:val="0"/>
            <w:noProof/>
          </w:rPr>
          <w:t>Figura 163 - Mapa de localização do município de Aimorés no contexto do estado de Minas Gerais.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_Toc372740246 \h </w:instrText>
        </w:r>
        <w:r w:rsidR="00B16C6C" w:rsidRPr="009A0C4A">
          <w:rPr>
            <w:b w:val="0"/>
            <w:noProof/>
            <w:webHidden/>
          </w:rPr>
        </w:r>
        <w:r w:rsidR="00B16C6C" w:rsidRPr="009A0C4A">
          <w:rPr>
            <w:b w:val="0"/>
            <w:noProof/>
            <w:webHidden/>
          </w:rPr>
          <w:fldChar w:fldCharType="separate"/>
        </w:r>
        <w:r>
          <w:rPr>
            <w:b w:val="0"/>
            <w:noProof/>
            <w:webHidden/>
          </w:rPr>
          <w:t>314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47" w:history="1">
        <w:r w:rsidR="009A0C4A" w:rsidRPr="009A0C4A">
          <w:rPr>
            <w:rStyle w:val="Hyperlink"/>
            <w:b w:val="0"/>
            <w:noProof/>
          </w:rPr>
          <w:t>Figura 164 - Aspecto visual da vala de RSS localizado na área do aterro controlado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_Toc372740247 \h </w:instrText>
        </w:r>
        <w:r w:rsidR="00B16C6C" w:rsidRPr="009A0C4A">
          <w:rPr>
            <w:b w:val="0"/>
            <w:noProof/>
            <w:webHidden/>
          </w:rPr>
        </w:r>
        <w:r w:rsidR="00B16C6C" w:rsidRPr="009A0C4A">
          <w:rPr>
            <w:b w:val="0"/>
            <w:noProof/>
            <w:webHidden/>
          </w:rPr>
          <w:fldChar w:fldCharType="separate"/>
        </w:r>
        <w:r>
          <w:rPr>
            <w:b w:val="0"/>
            <w:noProof/>
            <w:webHidden/>
          </w:rPr>
          <w:t>332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48" w:history="1">
        <w:r w:rsidR="009A0C4A" w:rsidRPr="009A0C4A">
          <w:rPr>
            <w:rStyle w:val="Hyperlink"/>
            <w:b w:val="0"/>
            <w:noProof/>
          </w:rPr>
          <w:t>Figura 165 - Exposição de resíduos perfurocortantes na vala de RSS.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_Toc372740248 \h </w:instrText>
        </w:r>
        <w:r w:rsidR="00B16C6C" w:rsidRPr="009A0C4A">
          <w:rPr>
            <w:b w:val="0"/>
            <w:noProof/>
            <w:webHidden/>
          </w:rPr>
        </w:r>
        <w:r w:rsidR="00B16C6C" w:rsidRPr="009A0C4A">
          <w:rPr>
            <w:b w:val="0"/>
            <w:noProof/>
            <w:webHidden/>
          </w:rPr>
          <w:fldChar w:fldCharType="separate"/>
        </w:r>
        <w:r>
          <w:rPr>
            <w:b w:val="0"/>
            <w:noProof/>
            <w:webHidden/>
          </w:rPr>
          <w:t>332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49" w:history="1">
        <w:r w:rsidR="009A0C4A" w:rsidRPr="009A0C4A">
          <w:rPr>
            <w:rStyle w:val="Hyperlink"/>
            <w:b w:val="0"/>
            <w:noProof/>
          </w:rPr>
          <w:t>Figura 166 - Aspecto visual da vala onde é feito o descarte dos RSS.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_Toc372740249 \h </w:instrText>
        </w:r>
        <w:r w:rsidR="00B16C6C" w:rsidRPr="009A0C4A">
          <w:rPr>
            <w:b w:val="0"/>
            <w:noProof/>
            <w:webHidden/>
          </w:rPr>
        </w:r>
        <w:r w:rsidR="00B16C6C" w:rsidRPr="009A0C4A">
          <w:rPr>
            <w:b w:val="0"/>
            <w:noProof/>
            <w:webHidden/>
          </w:rPr>
          <w:fldChar w:fldCharType="separate"/>
        </w:r>
        <w:r>
          <w:rPr>
            <w:b w:val="0"/>
            <w:noProof/>
            <w:webHidden/>
          </w:rPr>
          <w:t>333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50" w:history="1">
        <w:r w:rsidR="009A0C4A" w:rsidRPr="009A0C4A">
          <w:rPr>
            <w:rStyle w:val="Hyperlink"/>
            <w:b w:val="0"/>
            <w:noProof/>
          </w:rPr>
          <w:t>Figura 167 - Aspecto visual da vala para descarte de ossos e animais mortos.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_Toc372740250 \h </w:instrText>
        </w:r>
        <w:r w:rsidR="00B16C6C" w:rsidRPr="009A0C4A">
          <w:rPr>
            <w:b w:val="0"/>
            <w:noProof/>
            <w:webHidden/>
          </w:rPr>
        </w:r>
        <w:r w:rsidR="00B16C6C" w:rsidRPr="009A0C4A">
          <w:rPr>
            <w:b w:val="0"/>
            <w:noProof/>
            <w:webHidden/>
          </w:rPr>
          <w:fldChar w:fldCharType="separate"/>
        </w:r>
        <w:r>
          <w:rPr>
            <w:b w:val="0"/>
            <w:noProof/>
            <w:webHidden/>
          </w:rPr>
          <w:t>334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51" w:history="1">
        <w:r w:rsidR="009A0C4A" w:rsidRPr="009A0C4A">
          <w:rPr>
            <w:rStyle w:val="Hyperlink"/>
            <w:b w:val="0"/>
            <w:noProof/>
          </w:rPr>
          <w:t>Figura 168 - Aspecto visual e parcial do aterro controlado com presença de Urubus.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_Toc372740251 \h </w:instrText>
        </w:r>
        <w:r w:rsidR="00B16C6C" w:rsidRPr="009A0C4A">
          <w:rPr>
            <w:b w:val="0"/>
            <w:noProof/>
            <w:webHidden/>
          </w:rPr>
        </w:r>
        <w:r w:rsidR="00B16C6C" w:rsidRPr="009A0C4A">
          <w:rPr>
            <w:b w:val="0"/>
            <w:noProof/>
            <w:webHidden/>
          </w:rPr>
          <w:fldChar w:fldCharType="separate"/>
        </w:r>
        <w:r>
          <w:rPr>
            <w:b w:val="0"/>
            <w:noProof/>
            <w:webHidden/>
          </w:rPr>
          <w:t>335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52" w:history="1">
        <w:r w:rsidR="009A0C4A" w:rsidRPr="009A0C4A">
          <w:rPr>
            <w:rStyle w:val="Hyperlink"/>
            <w:b w:val="0"/>
            <w:noProof/>
          </w:rPr>
          <w:t>Figura 169 - Aspecto visual da vala do aterro controlado onde se pode observar RSU descobertos e carcaça de animais exposta, sendo um atrativo para vetores.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_Toc372740252 \h </w:instrText>
        </w:r>
        <w:r w:rsidR="00B16C6C" w:rsidRPr="009A0C4A">
          <w:rPr>
            <w:b w:val="0"/>
            <w:noProof/>
            <w:webHidden/>
          </w:rPr>
        </w:r>
        <w:r w:rsidR="00B16C6C" w:rsidRPr="009A0C4A">
          <w:rPr>
            <w:b w:val="0"/>
            <w:noProof/>
            <w:webHidden/>
          </w:rPr>
          <w:fldChar w:fldCharType="separate"/>
        </w:r>
        <w:r>
          <w:rPr>
            <w:b w:val="0"/>
            <w:noProof/>
            <w:webHidden/>
          </w:rPr>
          <w:t>335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53" w:history="1">
        <w:r w:rsidR="009A0C4A" w:rsidRPr="009A0C4A">
          <w:rPr>
            <w:rStyle w:val="Hyperlink"/>
            <w:b w:val="0"/>
            <w:noProof/>
          </w:rPr>
          <w:t>Figura 170 - Aspecto visual dos resíduos espalhados pela ação do vento na área do aterro.</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_Toc372740253 \h </w:instrText>
        </w:r>
        <w:r w:rsidR="00B16C6C" w:rsidRPr="009A0C4A">
          <w:rPr>
            <w:b w:val="0"/>
            <w:noProof/>
            <w:webHidden/>
          </w:rPr>
        </w:r>
        <w:r w:rsidR="00B16C6C" w:rsidRPr="009A0C4A">
          <w:rPr>
            <w:b w:val="0"/>
            <w:noProof/>
            <w:webHidden/>
          </w:rPr>
          <w:fldChar w:fldCharType="separate"/>
        </w:r>
        <w:r>
          <w:rPr>
            <w:b w:val="0"/>
            <w:noProof/>
            <w:webHidden/>
          </w:rPr>
          <w:t>336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54" w:history="1">
        <w:r w:rsidR="009A0C4A" w:rsidRPr="009A0C4A">
          <w:rPr>
            <w:rStyle w:val="Hyperlink"/>
            <w:b w:val="0"/>
            <w:noProof/>
          </w:rPr>
          <w:t>Figura 171 - Vista parcial da calha para a drenagem de água pluvial, construída na área da UTC/ aterro controlado, obstruída por solo e resíduos necessitando limpeza para a sua desobstrução.</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_Toc372740254 \h </w:instrText>
        </w:r>
        <w:r w:rsidR="00B16C6C" w:rsidRPr="009A0C4A">
          <w:rPr>
            <w:b w:val="0"/>
            <w:noProof/>
            <w:webHidden/>
          </w:rPr>
        </w:r>
        <w:r w:rsidR="00B16C6C" w:rsidRPr="009A0C4A">
          <w:rPr>
            <w:b w:val="0"/>
            <w:noProof/>
            <w:webHidden/>
          </w:rPr>
          <w:fldChar w:fldCharType="separate"/>
        </w:r>
        <w:r>
          <w:rPr>
            <w:b w:val="0"/>
            <w:noProof/>
            <w:webHidden/>
          </w:rPr>
          <w:t>337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55" w:history="1">
        <w:r w:rsidR="009A0C4A" w:rsidRPr="009A0C4A">
          <w:rPr>
            <w:rStyle w:val="Hyperlink"/>
            <w:b w:val="0"/>
            <w:noProof/>
          </w:rPr>
          <w:t>Figura 172 - Vista parcial da área utilizada como “Bota Fora” para o descarte de resíduos de poda e entulhos de obra.</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_Toc372740255 \h </w:instrText>
        </w:r>
        <w:r w:rsidR="00B16C6C" w:rsidRPr="009A0C4A">
          <w:rPr>
            <w:b w:val="0"/>
            <w:noProof/>
            <w:webHidden/>
          </w:rPr>
        </w:r>
        <w:r w:rsidR="00B16C6C" w:rsidRPr="009A0C4A">
          <w:rPr>
            <w:b w:val="0"/>
            <w:noProof/>
            <w:webHidden/>
          </w:rPr>
          <w:fldChar w:fldCharType="separate"/>
        </w:r>
        <w:r>
          <w:rPr>
            <w:b w:val="0"/>
            <w:noProof/>
            <w:webHidden/>
          </w:rPr>
          <w:t>338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56" w:history="1">
        <w:r w:rsidR="009A0C4A" w:rsidRPr="009A0C4A">
          <w:rPr>
            <w:rStyle w:val="Hyperlink"/>
            <w:b w:val="0"/>
            <w:noProof/>
          </w:rPr>
          <w:t>Figura 173 - Aspecto geral da área entorno do “Bota Fora” pelo espalhamento de plásticos e papéis contido no entulho.</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_Toc372740256 \h </w:instrText>
        </w:r>
        <w:r w:rsidR="00B16C6C" w:rsidRPr="009A0C4A">
          <w:rPr>
            <w:b w:val="0"/>
            <w:noProof/>
            <w:webHidden/>
          </w:rPr>
        </w:r>
        <w:r w:rsidR="00B16C6C" w:rsidRPr="009A0C4A">
          <w:rPr>
            <w:b w:val="0"/>
            <w:noProof/>
            <w:webHidden/>
          </w:rPr>
          <w:fldChar w:fldCharType="separate"/>
        </w:r>
        <w:r>
          <w:rPr>
            <w:b w:val="0"/>
            <w:noProof/>
            <w:webHidden/>
          </w:rPr>
          <w:t>338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57" w:history="1">
        <w:r w:rsidR="009A0C4A" w:rsidRPr="009A0C4A">
          <w:rPr>
            <w:rStyle w:val="Hyperlink"/>
            <w:b w:val="0"/>
            <w:noProof/>
          </w:rPr>
          <w:t>Figura 174 - Aspecto visual do caminhão da Prefeitura Municipal de Aimorés transportando RSU coletados para a UTC/aterro controlado.</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_Toc372740257 \h </w:instrText>
        </w:r>
        <w:r w:rsidR="00B16C6C" w:rsidRPr="009A0C4A">
          <w:rPr>
            <w:b w:val="0"/>
            <w:noProof/>
            <w:webHidden/>
          </w:rPr>
        </w:r>
        <w:r w:rsidR="00B16C6C" w:rsidRPr="009A0C4A">
          <w:rPr>
            <w:b w:val="0"/>
            <w:noProof/>
            <w:webHidden/>
          </w:rPr>
          <w:fldChar w:fldCharType="separate"/>
        </w:r>
        <w:r>
          <w:rPr>
            <w:b w:val="0"/>
            <w:noProof/>
            <w:webHidden/>
          </w:rPr>
          <w:t>341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58" w:history="1">
        <w:r w:rsidR="009A0C4A" w:rsidRPr="009A0C4A">
          <w:rPr>
            <w:rStyle w:val="Hyperlink"/>
            <w:b w:val="0"/>
            <w:noProof/>
          </w:rPr>
          <w:t>Figura 175 - Equipamento tracionado por motocicleta utilizado pela Prefeitura de Aimorés para a coleta dos RSS.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_Toc372740258 \h </w:instrText>
        </w:r>
        <w:r w:rsidR="00B16C6C" w:rsidRPr="009A0C4A">
          <w:rPr>
            <w:b w:val="0"/>
            <w:noProof/>
            <w:webHidden/>
          </w:rPr>
        </w:r>
        <w:r w:rsidR="00B16C6C" w:rsidRPr="009A0C4A">
          <w:rPr>
            <w:b w:val="0"/>
            <w:noProof/>
            <w:webHidden/>
          </w:rPr>
          <w:fldChar w:fldCharType="separate"/>
        </w:r>
        <w:r>
          <w:rPr>
            <w:b w:val="0"/>
            <w:noProof/>
            <w:webHidden/>
          </w:rPr>
          <w:t>343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59" w:history="1">
        <w:r w:rsidR="009A0C4A" w:rsidRPr="009A0C4A">
          <w:rPr>
            <w:rStyle w:val="Hyperlink"/>
            <w:b w:val="0"/>
            <w:noProof/>
          </w:rPr>
          <w:t>Figura 176 - Vista parcial da UTC-Aimorés e pátio de compostagem.</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_Toc372740259 \h </w:instrText>
        </w:r>
        <w:r w:rsidR="00B16C6C" w:rsidRPr="009A0C4A">
          <w:rPr>
            <w:b w:val="0"/>
            <w:noProof/>
            <w:webHidden/>
          </w:rPr>
        </w:r>
        <w:r w:rsidR="00B16C6C" w:rsidRPr="009A0C4A">
          <w:rPr>
            <w:b w:val="0"/>
            <w:noProof/>
            <w:webHidden/>
          </w:rPr>
          <w:fldChar w:fldCharType="separate"/>
        </w:r>
        <w:r>
          <w:rPr>
            <w:b w:val="0"/>
            <w:noProof/>
            <w:webHidden/>
          </w:rPr>
          <w:t>346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60" w:history="1">
        <w:r w:rsidR="009A0C4A" w:rsidRPr="009A0C4A">
          <w:rPr>
            <w:rStyle w:val="Hyperlink"/>
            <w:b w:val="0"/>
            <w:noProof/>
          </w:rPr>
          <w:t>Figura 177 - Vista geral da bancada de triagem e trabalho dos servidores.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_Toc372740260 \h </w:instrText>
        </w:r>
        <w:r w:rsidR="00B16C6C" w:rsidRPr="009A0C4A">
          <w:rPr>
            <w:b w:val="0"/>
            <w:noProof/>
            <w:webHidden/>
          </w:rPr>
        </w:r>
        <w:r w:rsidR="00B16C6C" w:rsidRPr="009A0C4A">
          <w:rPr>
            <w:b w:val="0"/>
            <w:noProof/>
            <w:webHidden/>
          </w:rPr>
          <w:fldChar w:fldCharType="separate"/>
        </w:r>
        <w:r>
          <w:rPr>
            <w:b w:val="0"/>
            <w:noProof/>
            <w:webHidden/>
          </w:rPr>
          <w:t>347</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61" w:history="1">
        <w:r w:rsidR="009A0C4A" w:rsidRPr="009A0C4A">
          <w:rPr>
            <w:rStyle w:val="Hyperlink"/>
            <w:b w:val="0"/>
            <w:noProof/>
          </w:rPr>
          <w:t>Figura 178 - Vista interna do galpão de triagem, prensagem e estocagem do material reciclável.</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_Toc372740261 \h </w:instrText>
        </w:r>
        <w:r w:rsidR="00B16C6C" w:rsidRPr="009A0C4A">
          <w:rPr>
            <w:b w:val="0"/>
            <w:noProof/>
            <w:webHidden/>
          </w:rPr>
        </w:r>
        <w:r w:rsidR="00B16C6C" w:rsidRPr="009A0C4A">
          <w:rPr>
            <w:b w:val="0"/>
            <w:noProof/>
            <w:webHidden/>
          </w:rPr>
          <w:fldChar w:fldCharType="separate"/>
        </w:r>
        <w:r>
          <w:rPr>
            <w:b w:val="0"/>
            <w:noProof/>
            <w:webHidden/>
          </w:rPr>
          <w:t>348</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62" w:history="1">
        <w:r w:rsidR="009A0C4A" w:rsidRPr="009A0C4A">
          <w:rPr>
            <w:rStyle w:val="Hyperlink"/>
            <w:b w:val="0"/>
            <w:noProof/>
          </w:rPr>
          <w:t>Figura 179 - Vista área da área da UTC e aterro controlado (19° 30’ 19.10’’ S e 41° 03’ 35.06” W) delimitado com círculo em vermelho no contexto da zona urbana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_Toc372740262 \h </w:instrText>
        </w:r>
        <w:r w:rsidR="00B16C6C" w:rsidRPr="009A0C4A">
          <w:rPr>
            <w:b w:val="0"/>
            <w:noProof/>
            <w:webHidden/>
          </w:rPr>
        </w:r>
        <w:r w:rsidR="00B16C6C" w:rsidRPr="009A0C4A">
          <w:rPr>
            <w:b w:val="0"/>
            <w:noProof/>
            <w:webHidden/>
          </w:rPr>
          <w:fldChar w:fldCharType="separate"/>
        </w:r>
        <w:r>
          <w:rPr>
            <w:b w:val="0"/>
            <w:noProof/>
            <w:webHidden/>
          </w:rPr>
          <w:t>350</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63" w:history="1">
        <w:r w:rsidR="009A0C4A" w:rsidRPr="009A0C4A">
          <w:rPr>
            <w:rStyle w:val="Hyperlink"/>
            <w:b w:val="0"/>
            <w:noProof/>
          </w:rPr>
          <w:t>Figura 180 - Vista parcial do Bairro Saudade I (fundo) observado da UTC, aspecto que ilustra a proximidade da UTC/aterro controlado com a zona urbana.</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_Toc372740263 \h </w:instrText>
        </w:r>
        <w:r w:rsidR="00B16C6C" w:rsidRPr="009A0C4A">
          <w:rPr>
            <w:b w:val="0"/>
            <w:noProof/>
            <w:webHidden/>
          </w:rPr>
        </w:r>
        <w:r w:rsidR="00B16C6C" w:rsidRPr="009A0C4A">
          <w:rPr>
            <w:b w:val="0"/>
            <w:noProof/>
            <w:webHidden/>
          </w:rPr>
          <w:fldChar w:fldCharType="separate"/>
        </w:r>
        <w:r>
          <w:rPr>
            <w:b w:val="0"/>
            <w:noProof/>
            <w:webHidden/>
          </w:rPr>
          <w:t>351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64" w:history="1">
        <w:r w:rsidR="009A0C4A" w:rsidRPr="009A0C4A">
          <w:rPr>
            <w:rStyle w:val="Hyperlink"/>
            <w:b w:val="0"/>
            <w:noProof/>
          </w:rPr>
          <w:t>Figura 181 - Primeira Fase do ciclo do escoamento.</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_Toc372740264 \h </w:instrText>
        </w:r>
        <w:r w:rsidR="00B16C6C" w:rsidRPr="009A0C4A">
          <w:rPr>
            <w:b w:val="0"/>
            <w:noProof/>
            <w:webHidden/>
          </w:rPr>
        </w:r>
        <w:r w:rsidR="00B16C6C" w:rsidRPr="009A0C4A">
          <w:rPr>
            <w:b w:val="0"/>
            <w:noProof/>
            <w:webHidden/>
          </w:rPr>
          <w:fldChar w:fldCharType="separate"/>
        </w:r>
        <w:r>
          <w:rPr>
            <w:b w:val="0"/>
            <w:noProof/>
            <w:webHidden/>
          </w:rPr>
          <w:t>364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65" w:history="1">
        <w:r w:rsidR="009A0C4A" w:rsidRPr="009A0C4A">
          <w:rPr>
            <w:rStyle w:val="Hyperlink"/>
            <w:b w:val="0"/>
            <w:noProof/>
          </w:rPr>
          <w:t>Figura 182 -  Segunda Fase do ciclo do escoamento.</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_Toc372740265 \h </w:instrText>
        </w:r>
        <w:r w:rsidR="00B16C6C" w:rsidRPr="009A0C4A">
          <w:rPr>
            <w:b w:val="0"/>
            <w:noProof/>
            <w:webHidden/>
          </w:rPr>
        </w:r>
        <w:r w:rsidR="00B16C6C" w:rsidRPr="009A0C4A">
          <w:rPr>
            <w:b w:val="0"/>
            <w:noProof/>
            <w:webHidden/>
          </w:rPr>
          <w:fldChar w:fldCharType="separate"/>
        </w:r>
        <w:r>
          <w:rPr>
            <w:b w:val="0"/>
            <w:noProof/>
            <w:webHidden/>
          </w:rPr>
          <w:t>365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66" w:history="1">
        <w:r w:rsidR="009A0C4A" w:rsidRPr="009A0C4A">
          <w:rPr>
            <w:rStyle w:val="Hyperlink"/>
            <w:b w:val="0"/>
            <w:noProof/>
          </w:rPr>
          <w:t>Figura 183 - Terceira Fase do ciclo do escoamento.</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_Toc372740266 \h </w:instrText>
        </w:r>
        <w:r w:rsidR="00B16C6C" w:rsidRPr="009A0C4A">
          <w:rPr>
            <w:b w:val="0"/>
            <w:noProof/>
            <w:webHidden/>
          </w:rPr>
        </w:r>
        <w:r w:rsidR="00B16C6C" w:rsidRPr="009A0C4A">
          <w:rPr>
            <w:b w:val="0"/>
            <w:noProof/>
            <w:webHidden/>
          </w:rPr>
          <w:fldChar w:fldCharType="separate"/>
        </w:r>
        <w:r>
          <w:rPr>
            <w:b w:val="0"/>
            <w:noProof/>
            <w:webHidden/>
          </w:rPr>
          <w:t>366</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67" w:history="1">
        <w:r w:rsidR="009A0C4A" w:rsidRPr="009A0C4A">
          <w:rPr>
            <w:rStyle w:val="Hyperlink"/>
            <w:b w:val="0"/>
            <w:noProof/>
          </w:rPr>
          <w:t>Figura 184 - Microbacias do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_Toc372740267 \h </w:instrText>
        </w:r>
        <w:r w:rsidR="00B16C6C" w:rsidRPr="009A0C4A">
          <w:rPr>
            <w:b w:val="0"/>
            <w:noProof/>
            <w:webHidden/>
          </w:rPr>
        </w:r>
        <w:r w:rsidR="00B16C6C" w:rsidRPr="009A0C4A">
          <w:rPr>
            <w:b w:val="0"/>
            <w:noProof/>
            <w:webHidden/>
          </w:rPr>
          <w:fldChar w:fldCharType="separate"/>
        </w:r>
        <w:r>
          <w:rPr>
            <w:b w:val="0"/>
            <w:noProof/>
            <w:webHidden/>
          </w:rPr>
          <w:t>371</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68" w:history="1">
        <w:r w:rsidR="009A0C4A" w:rsidRPr="009A0C4A">
          <w:rPr>
            <w:rStyle w:val="Hyperlink"/>
            <w:b w:val="0"/>
            <w:noProof/>
          </w:rPr>
          <w:t>Figura 185 - Avenida Brasil sem drenagem pluvial toda água precipitada escoa pela mesma.</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_Toc372740268 \h </w:instrText>
        </w:r>
        <w:r w:rsidR="00B16C6C" w:rsidRPr="009A0C4A">
          <w:rPr>
            <w:b w:val="0"/>
            <w:noProof/>
            <w:webHidden/>
          </w:rPr>
        </w:r>
        <w:r w:rsidR="00B16C6C" w:rsidRPr="009A0C4A">
          <w:rPr>
            <w:b w:val="0"/>
            <w:noProof/>
            <w:webHidden/>
          </w:rPr>
          <w:fldChar w:fldCharType="separate"/>
        </w:r>
        <w:r>
          <w:rPr>
            <w:b w:val="0"/>
            <w:noProof/>
            <w:webHidden/>
          </w:rPr>
          <w:t>372</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69" w:history="1">
        <w:r w:rsidR="009A0C4A" w:rsidRPr="009A0C4A">
          <w:rPr>
            <w:rStyle w:val="Hyperlink"/>
            <w:b w:val="0"/>
            <w:noProof/>
          </w:rPr>
          <w:t>Figura 186 - Lançamento de esgoto in natura no córrego do Perdido na Rua Sercundino Cipriano – Distrito de Alto Capim –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_Toc372740269 \h </w:instrText>
        </w:r>
        <w:r w:rsidR="00B16C6C" w:rsidRPr="009A0C4A">
          <w:rPr>
            <w:b w:val="0"/>
            <w:noProof/>
            <w:webHidden/>
          </w:rPr>
        </w:r>
        <w:r w:rsidR="00B16C6C" w:rsidRPr="009A0C4A">
          <w:rPr>
            <w:b w:val="0"/>
            <w:noProof/>
            <w:webHidden/>
          </w:rPr>
          <w:fldChar w:fldCharType="separate"/>
        </w:r>
        <w:r>
          <w:rPr>
            <w:b w:val="0"/>
            <w:noProof/>
            <w:webHidden/>
          </w:rPr>
          <w:t>373</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70" w:history="1">
        <w:r w:rsidR="009A0C4A" w:rsidRPr="009A0C4A">
          <w:rPr>
            <w:rStyle w:val="Hyperlink"/>
            <w:b w:val="0"/>
            <w:noProof/>
          </w:rPr>
          <w:t>Figura 187 - Ponto lançamento de esgoto na rede pluvial rua Ailton Pereira da Costa n° 152.</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_Toc372740270 \h </w:instrText>
        </w:r>
        <w:r w:rsidR="00B16C6C" w:rsidRPr="009A0C4A">
          <w:rPr>
            <w:b w:val="0"/>
            <w:noProof/>
            <w:webHidden/>
          </w:rPr>
        </w:r>
        <w:r w:rsidR="00B16C6C" w:rsidRPr="009A0C4A">
          <w:rPr>
            <w:b w:val="0"/>
            <w:noProof/>
            <w:webHidden/>
          </w:rPr>
          <w:fldChar w:fldCharType="separate"/>
        </w:r>
        <w:r>
          <w:rPr>
            <w:b w:val="0"/>
            <w:noProof/>
            <w:webHidden/>
          </w:rPr>
          <w:t>374</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71" w:history="1">
        <w:r w:rsidR="009A0C4A" w:rsidRPr="009A0C4A">
          <w:rPr>
            <w:rStyle w:val="Hyperlink"/>
            <w:b w:val="0"/>
            <w:noProof/>
          </w:rPr>
          <w:t>Figura 188 - Grande carga de sedimento e lançamento de esgoto in natura no Córrego do Chucha - Galeria ao lado da Parada Biribas.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_Toc372740271 \h </w:instrText>
        </w:r>
        <w:r w:rsidR="00B16C6C" w:rsidRPr="009A0C4A">
          <w:rPr>
            <w:b w:val="0"/>
            <w:noProof/>
            <w:webHidden/>
          </w:rPr>
        </w:r>
        <w:r w:rsidR="00B16C6C" w:rsidRPr="009A0C4A">
          <w:rPr>
            <w:b w:val="0"/>
            <w:noProof/>
            <w:webHidden/>
          </w:rPr>
          <w:fldChar w:fldCharType="separate"/>
        </w:r>
        <w:r>
          <w:rPr>
            <w:b w:val="0"/>
            <w:noProof/>
            <w:webHidden/>
          </w:rPr>
          <w:t>375</w:t>
        </w:r>
        <w:r w:rsidR="00B16C6C" w:rsidRPr="009A0C4A">
          <w:rPr>
            <w:b w:val="0"/>
            <w:noProof/>
            <w:webHidden/>
          </w:rPr>
          <w:fldChar w:fldCharType="end"/>
        </w:r>
      </w:hyperlink>
    </w:p>
    <w:p w:rsidR="009A0C4A" w:rsidRPr="009A0C4A" w:rsidRDefault="004F77E2" w:rsidP="00466071">
      <w:pPr>
        <w:pStyle w:val="ndicedeilustraes"/>
        <w:tabs>
          <w:tab w:val="right" w:leader="dot" w:pos="8494"/>
        </w:tabs>
        <w:spacing w:before="60" w:after="60" w:line="360" w:lineRule="auto"/>
        <w:ind w:left="993" w:hanging="993"/>
        <w:rPr>
          <w:rFonts w:asciiTheme="minorHAnsi" w:eastAsiaTheme="minorEastAsia" w:hAnsiTheme="minorHAnsi"/>
          <w:b w:val="0"/>
          <w:noProof/>
          <w:sz w:val="22"/>
          <w:lang w:eastAsia="pt-BR"/>
        </w:rPr>
      </w:pPr>
      <w:hyperlink w:anchor="_Toc372740272" w:history="1">
        <w:r w:rsidR="009A0C4A" w:rsidRPr="009A0C4A">
          <w:rPr>
            <w:rStyle w:val="Hyperlink"/>
            <w:b w:val="0"/>
            <w:noProof/>
          </w:rPr>
          <w:t>Figura 189 - Lançamento de esgoto na rede pluvial rua Baião, 293 na cidade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_Toc372740272 \h </w:instrText>
        </w:r>
        <w:r w:rsidR="00B16C6C" w:rsidRPr="009A0C4A">
          <w:rPr>
            <w:b w:val="0"/>
            <w:noProof/>
            <w:webHidden/>
          </w:rPr>
        </w:r>
        <w:r w:rsidR="00B16C6C" w:rsidRPr="009A0C4A">
          <w:rPr>
            <w:b w:val="0"/>
            <w:noProof/>
            <w:webHidden/>
          </w:rPr>
          <w:fldChar w:fldCharType="separate"/>
        </w:r>
        <w:r>
          <w:rPr>
            <w:b w:val="0"/>
            <w:noProof/>
            <w:webHidden/>
          </w:rPr>
          <w:t>382</w:t>
        </w:r>
        <w:r w:rsidR="00B16C6C" w:rsidRPr="009A0C4A">
          <w:rPr>
            <w:b w:val="0"/>
            <w:noProof/>
            <w:webHidden/>
          </w:rPr>
          <w:fldChar w:fldCharType="end"/>
        </w:r>
      </w:hyperlink>
    </w:p>
    <w:p w:rsidR="00011AF5" w:rsidRDefault="00B16C6C" w:rsidP="00AE65D3">
      <w:pPr>
        <w:pStyle w:val="Sumrio1"/>
        <w:spacing w:before="60" w:after="60" w:line="240" w:lineRule="auto"/>
        <w:ind w:left="993" w:hanging="993"/>
        <w:rPr>
          <w:rFonts w:cs="Times New Roman"/>
          <w:b/>
          <w:sz w:val="32"/>
          <w:szCs w:val="32"/>
        </w:rPr>
      </w:pPr>
      <w:r w:rsidRPr="009A0C4A">
        <w:fldChar w:fldCharType="end"/>
      </w:r>
      <w:r w:rsidR="00011AF5">
        <w:rPr>
          <w:rFonts w:cs="Times New Roman"/>
          <w:b/>
          <w:sz w:val="32"/>
          <w:szCs w:val="32"/>
        </w:rPr>
        <w:br w:type="page"/>
      </w:r>
    </w:p>
    <w:p w:rsidR="002D2C3F" w:rsidRDefault="00011AF5" w:rsidP="0059516B">
      <w:pPr>
        <w:pStyle w:val="TituloPrincipal"/>
        <w:spacing w:after="360" w:line="240" w:lineRule="auto"/>
      </w:pPr>
      <w:r w:rsidRPr="00E90E6C">
        <w:lastRenderedPageBreak/>
        <w:t xml:space="preserve">LISTA DE </w:t>
      </w:r>
      <w:r w:rsidR="000B3BBE">
        <w:t xml:space="preserve">TABELAS </w:t>
      </w:r>
    </w:p>
    <w:p w:rsidR="009A0C4A" w:rsidRPr="009A0C4A" w:rsidRDefault="00B16C6C"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r>
        <w:rPr>
          <w:rFonts w:cs="Times New Roman"/>
          <w:b w:val="0"/>
          <w:sz w:val="32"/>
          <w:szCs w:val="32"/>
        </w:rPr>
        <w:fldChar w:fldCharType="begin"/>
      </w:r>
      <w:r w:rsidR="00B02273">
        <w:rPr>
          <w:rFonts w:cs="Times New Roman"/>
          <w:b w:val="0"/>
          <w:sz w:val="32"/>
          <w:szCs w:val="32"/>
        </w:rPr>
        <w:instrText xml:space="preserve"> TOC \h \z \c "Tabela" </w:instrText>
      </w:r>
      <w:r>
        <w:rPr>
          <w:rFonts w:cs="Times New Roman"/>
          <w:b w:val="0"/>
          <w:sz w:val="32"/>
          <w:szCs w:val="32"/>
        </w:rPr>
        <w:fldChar w:fldCharType="separate"/>
      </w:r>
      <w:hyperlink w:anchor="_Toc372740349" w:history="1">
        <w:r w:rsidR="009A0C4A" w:rsidRPr="009A0C4A">
          <w:rPr>
            <w:rStyle w:val="Hyperlink"/>
            <w:b w:val="0"/>
            <w:noProof/>
          </w:rPr>
          <w:t>Tabela 1 - Condições das Rodovias de acesso ao município.</w:t>
        </w:r>
        <w:r w:rsidR="009A0C4A" w:rsidRPr="009A0C4A">
          <w:rPr>
            <w:b w:val="0"/>
            <w:noProof/>
            <w:webHidden/>
          </w:rPr>
          <w:tab/>
        </w:r>
        <w:r w:rsidRPr="009A0C4A">
          <w:rPr>
            <w:b w:val="0"/>
            <w:noProof/>
            <w:webHidden/>
          </w:rPr>
          <w:fldChar w:fldCharType="begin"/>
        </w:r>
        <w:r w:rsidR="009A0C4A" w:rsidRPr="009A0C4A">
          <w:rPr>
            <w:b w:val="0"/>
            <w:noProof/>
            <w:webHidden/>
          </w:rPr>
          <w:instrText xml:space="preserve"> PAGEREF _Toc372740349 \h </w:instrText>
        </w:r>
        <w:r w:rsidRPr="009A0C4A">
          <w:rPr>
            <w:b w:val="0"/>
            <w:noProof/>
            <w:webHidden/>
          </w:rPr>
        </w:r>
        <w:r w:rsidRPr="009A0C4A">
          <w:rPr>
            <w:b w:val="0"/>
            <w:noProof/>
            <w:webHidden/>
          </w:rPr>
          <w:fldChar w:fldCharType="separate"/>
        </w:r>
        <w:r w:rsidR="004F77E2">
          <w:rPr>
            <w:b w:val="0"/>
            <w:noProof/>
            <w:webHidden/>
          </w:rPr>
          <w:t>38</w:t>
        </w:r>
        <w:r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50" w:history="1">
        <w:r w:rsidR="009A0C4A" w:rsidRPr="009A0C4A">
          <w:rPr>
            <w:rStyle w:val="Hyperlink"/>
            <w:b w:val="0"/>
            <w:noProof/>
          </w:rPr>
          <w:t>Tabela 2 - Unidades de Planejamento e Gestão de Recursos Hídricos (UPGRH), Bacias Hidrográficas a que pertencem e respectivas áreas de drenagem e local das sedes dos Comitês de Bacias.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_Toc372740350 \h </w:instrText>
        </w:r>
        <w:r w:rsidR="00B16C6C" w:rsidRPr="009A0C4A">
          <w:rPr>
            <w:b w:val="0"/>
            <w:noProof/>
            <w:webHidden/>
          </w:rPr>
        </w:r>
        <w:r w:rsidR="00B16C6C" w:rsidRPr="009A0C4A">
          <w:rPr>
            <w:b w:val="0"/>
            <w:noProof/>
            <w:webHidden/>
          </w:rPr>
          <w:fldChar w:fldCharType="separate"/>
        </w:r>
        <w:r>
          <w:rPr>
            <w:b w:val="0"/>
            <w:noProof/>
            <w:webHidden/>
          </w:rPr>
          <w:t>154</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51" w:history="1">
        <w:r w:rsidR="009A0C4A" w:rsidRPr="009A0C4A">
          <w:rPr>
            <w:rStyle w:val="Hyperlink"/>
            <w:b w:val="0"/>
            <w:noProof/>
          </w:rPr>
          <w:t>Tabela 3 - Captações do Sistema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_Toc372740351 \h </w:instrText>
        </w:r>
        <w:r w:rsidR="00B16C6C" w:rsidRPr="009A0C4A">
          <w:rPr>
            <w:b w:val="0"/>
            <w:noProof/>
            <w:webHidden/>
          </w:rPr>
        </w:r>
        <w:r w:rsidR="00B16C6C" w:rsidRPr="009A0C4A">
          <w:rPr>
            <w:b w:val="0"/>
            <w:noProof/>
            <w:webHidden/>
          </w:rPr>
          <w:fldChar w:fldCharType="separate"/>
        </w:r>
        <w:r>
          <w:rPr>
            <w:b w:val="0"/>
            <w:noProof/>
            <w:webHidden/>
          </w:rPr>
          <w:t>162</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52" w:history="1">
        <w:r w:rsidR="009A0C4A" w:rsidRPr="009A0C4A">
          <w:rPr>
            <w:rStyle w:val="Hyperlink"/>
            <w:b w:val="0"/>
            <w:noProof/>
          </w:rPr>
          <w:t>Tabela 4 - Reservatórios e Elevatórias do Sistema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_Toc372740352 \h </w:instrText>
        </w:r>
        <w:r w:rsidR="00B16C6C" w:rsidRPr="009A0C4A">
          <w:rPr>
            <w:b w:val="0"/>
            <w:noProof/>
            <w:webHidden/>
          </w:rPr>
        </w:r>
        <w:r w:rsidR="00B16C6C" w:rsidRPr="009A0C4A">
          <w:rPr>
            <w:b w:val="0"/>
            <w:noProof/>
            <w:webHidden/>
          </w:rPr>
          <w:fldChar w:fldCharType="separate"/>
        </w:r>
        <w:r>
          <w:rPr>
            <w:b w:val="0"/>
            <w:noProof/>
            <w:webHidden/>
          </w:rPr>
          <w:t>169</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53" w:history="1">
        <w:r w:rsidR="009A0C4A" w:rsidRPr="009A0C4A">
          <w:rPr>
            <w:rStyle w:val="Hyperlink"/>
            <w:b w:val="0"/>
            <w:noProof/>
          </w:rPr>
          <w:t>Tabela 5 - Quantidade de funcionários por setor e função do SAAE.</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_Toc372740353 \h </w:instrText>
        </w:r>
        <w:r w:rsidR="00B16C6C" w:rsidRPr="009A0C4A">
          <w:rPr>
            <w:b w:val="0"/>
            <w:noProof/>
            <w:webHidden/>
          </w:rPr>
        </w:r>
        <w:r w:rsidR="00B16C6C" w:rsidRPr="009A0C4A">
          <w:rPr>
            <w:b w:val="0"/>
            <w:noProof/>
            <w:webHidden/>
          </w:rPr>
          <w:fldChar w:fldCharType="separate"/>
        </w:r>
        <w:r>
          <w:rPr>
            <w:b w:val="0"/>
            <w:noProof/>
            <w:webHidden/>
          </w:rPr>
          <w:t>222</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54" w:history="1">
        <w:r w:rsidR="009A0C4A" w:rsidRPr="009A0C4A">
          <w:rPr>
            <w:rStyle w:val="Hyperlink"/>
            <w:b w:val="0"/>
            <w:noProof/>
          </w:rPr>
          <w:t>Tabela 6 - Controle dos parâmetros bacteriológicos da água tratada realizadas no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_Toc372740354 \h </w:instrText>
        </w:r>
        <w:r w:rsidR="00B16C6C" w:rsidRPr="009A0C4A">
          <w:rPr>
            <w:b w:val="0"/>
            <w:noProof/>
            <w:webHidden/>
          </w:rPr>
        </w:r>
        <w:r w:rsidR="00B16C6C" w:rsidRPr="009A0C4A">
          <w:rPr>
            <w:b w:val="0"/>
            <w:noProof/>
            <w:webHidden/>
          </w:rPr>
          <w:fldChar w:fldCharType="separate"/>
        </w:r>
        <w:r>
          <w:rPr>
            <w:b w:val="0"/>
            <w:noProof/>
            <w:webHidden/>
          </w:rPr>
          <w:t>241</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55" w:history="1">
        <w:r w:rsidR="009A0C4A" w:rsidRPr="009A0C4A">
          <w:rPr>
            <w:rStyle w:val="Hyperlink"/>
            <w:b w:val="0"/>
            <w:noProof/>
          </w:rPr>
          <w:t>Tabela 7 - Anexo XIII da portaria 2.914/2011 do Ministério da Saúde.</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_Toc372740355 \h </w:instrText>
        </w:r>
        <w:r w:rsidR="00B16C6C" w:rsidRPr="009A0C4A">
          <w:rPr>
            <w:b w:val="0"/>
            <w:noProof/>
            <w:webHidden/>
          </w:rPr>
        </w:r>
        <w:r w:rsidR="00B16C6C" w:rsidRPr="009A0C4A">
          <w:rPr>
            <w:b w:val="0"/>
            <w:noProof/>
            <w:webHidden/>
          </w:rPr>
          <w:fldChar w:fldCharType="separate"/>
        </w:r>
        <w:r>
          <w:rPr>
            <w:b w:val="0"/>
            <w:noProof/>
            <w:webHidden/>
          </w:rPr>
          <w:t>242</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56" w:history="1">
        <w:r w:rsidR="009A0C4A" w:rsidRPr="009A0C4A">
          <w:rPr>
            <w:rStyle w:val="Hyperlink"/>
            <w:b w:val="0"/>
            <w:noProof/>
          </w:rPr>
          <w:t>Tabela 8 - Número e frequência para controle de qualidade da água.</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_Toc372740356 \h </w:instrText>
        </w:r>
        <w:r w:rsidR="00B16C6C" w:rsidRPr="009A0C4A">
          <w:rPr>
            <w:b w:val="0"/>
            <w:noProof/>
            <w:webHidden/>
          </w:rPr>
        </w:r>
        <w:r w:rsidR="00B16C6C" w:rsidRPr="009A0C4A">
          <w:rPr>
            <w:b w:val="0"/>
            <w:noProof/>
            <w:webHidden/>
          </w:rPr>
          <w:fldChar w:fldCharType="separate"/>
        </w:r>
        <w:r>
          <w:rPr>
            <w:b w:val="0"/>
            <w:noProof/>
            <w:webHidden/>
          </w:rPr>
          <w:t>243</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57" w:history="1">
        <w:r w:rsidR="009A0C4A" w:rsidRPr="009A0C4A">
          <w:rPr>
            <w:rStyle w:val="Hyperlink"/>
            <w:b w:val="0"/>
            <w:noProof/>
          </w:rPr>
          <w:t>Tabela 9 - Indicadores do sistema de abastecimento de água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_Toc372740357 \h </w:instrText>
        </w:r>
        <w:r w:rsidR="00B16C6C" w:rsidRPr="009A0C4A">
          <w:rPr>
            <w:b w:val="0"/>
            <w:noProof/>
            <w:webHidden/>
          </w:rPr>
        </w:r>
        <w:r w:rsidR="00B16C6C" w:rsidRPr="009A0C4A">
          <w:rPr>
            <w:b w:val="0"/>
            <w:noProof/>
            <w:webHidden/>
          </w:rPr>
          <w:fldChar w:fldCharType="separate"/>
        </w:r>
        <w:r>
          <w:rPr>
            <w:b w:val="0"/>
            <w:noProof/>
            <w:webHidden/>
          </w:rPr>
          <w:t>246</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58" w:history="1">
        <w:r w:rsidR="009A0C4A" w:rsidRPr="009A0C4A">
          <w:rPr>
            <w:rStyle w:val="Hyperlink"/>
            <w:b w:val="0"/>
            <w:noProof/>
          </w:rPr>
          <w:t>Tabela 10 - Tubulação utilizada pelo SAAE.</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_Toc372740358 \h </w:instrText>
        </w:r>
        <w:r w:rsidR="00B16C6C" w:rsidRPr="009A0C4A">
          <w:rPr>
            <w:b w:val="0"/>
            <w:noProof/>
            <w:webHidden/>
          </w:rPr>
        </w:r>
        <w:r w:rsidR="00B16C6C" w:rsidRPr="009A0C4A">
          <w:rPr>
            <w:b w:val="0"/>
            <w:noProof/>
            <w:webHidden/>
          </w:rPr>
          <w:fldChar w:fldCharType="separate"/>
        </w:r>
        <w:r>
          <w:rPr>
            <w:b w:val="0"/>
            <w:noProof/>
            <w:webHidden/>
          </w:rPr>
          <w:t>267</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59" w:history="1">
        <w:r w:rsidR="009A0C4A" w:rsidRPr="009A0C4A">
          <w:rPr>
            <w:rStyle w:val="Hyperlink"/>
            <w:b w:val="0"/>
            <w:noProof/>
          </w:rPr>
          <w:t>Tabela 11 - Resultados médios das análises de eficiência da ETE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_Toc372740359 \h </w:instrText>
        </w:r>
        <w:r w:rsidR="00B16C6C" w:rsidRPr="009A0C4A">
          <w:rPr>
            <w:b w:val="0"/>
            <w:noProof/>
            <w:webHidden/>
          </w:rPr>
        </w:r>
        <w:r w:rsidR="00B16C6C" w:rsidRPr="009A0C4A">
          <w:rPr>
            <w:b w:val="0"/>
            <w:noProof/>
            <w:webHidden/>
          </w:rPr>
          <w:fldChar w:fldCharType="separate"/>
        </w:r>
        <w:r>
          <w:rPr>
            <w:b w:val="0"/>
            <w:noProof/>
            <w:webHidden/>
          </w:rPr>
          <w:t>277</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60" w:history="1">
        <w:r w:rsidR="009A0C4A" w:rsidRPr="009A0C4A">
          <w:rPr>
            <w:rStyle w:val="Hyperlink"/>
            <w:b w:val="0"/>
            <w:noProof/>
          </w:rPr>
          <w:t>Tabela 12 - Situação dos Sistemas de Tratamento em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_Toc372740360 \h </w:instrText>
        </w:r>
        <w:r w:rsidR="00B16C6C" w:rsidRPr="009A0C4A">
          <w:rPr>
            <w:b w:val="0"/>
            <w:noProof/>
            <w:webHidden/>
          </w:rPr>
        </w:r>
        <w:r w:rsidR="00B16C6C" w:rsidRPr="009A0C4A">
          <w:rPr>
            <w:b w:val="0"/>
            <w:noProof/>
            <w:webHidden/>
          </w:rPr>
          <w:fldChar w:fldCharType="separate"/>
        </w:r>
        <w:r>
          <w:rPr>
            <w:b w:val="0"/>
            <w:noProof/>
            <w:webHidden/>
          </w:rPr>
          <w:t>308</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61" w:history="1">
        <w:r w:rsidR="009A0C4A" w:rsidRPr="009A0C4A">
          <w:rPr>
            <w:rStyle w:val="Hyperlink"/>
            <w:b w:val="0"/>
            <w:noProof/>
          </w:rPr>
          <w:t>Tabela 13 - Indicadores do sistema de esgotamento sanitário.</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_Toc372740361 \h </w:instrText>
        </w:r>
        <w:r w:rsidR="00B16C6C" w:rsidRPr="009A0C4A">
          <w:rPr>
            <w:b w:val="0"/>
            <w:noProof/>
            <w:webHidden/>
          </w:rPr>
        </w:r>
        <w:r w:rsidR="00B16C6C" w:rsidRPr="009A0C4A">
          <w:rPr>
            <w:b w:val="0"/>
            <w:noProof/>
            <w:webHidden/>
          </w:rPr>
          <w:fldChar w:fldCharType="separate"/>
        </w:r>
        <w:r>
          <w:rPr>
            <w:b w:val="0"/>
            <w:noProof/>
            <w:webHidden/>
          </w:rPr>
          <w:t>309</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62" w:history="1">
        <w:r w:rsidR="009A0C4A" w:rsidRPr="009A0C4A">
          <w:rPr>
            <w:rStyle w:val="Hyperlink"/>
            <w:b w:val="0"/>
            <w:noProof/>
          </w:rPr>
          <w:t>Tabela 14 - Equipamentos disponíveis em Aimorés para realizar a limpeza pública.</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_Toc372740362 \h </w:instrText>
        </w:r>
        <w:r w:rsidR="00B16C6C" w:rsidRPr="009A0C4A">
          <w:rPr>
            <w:b w:val="0"/>
            <w:noProof/>
            <w:webHidden/>
          </w:rPr>
        </w:r>
        <w:r w:rsidR="00B16C6C" w:rsidRPr="009A0C4A">
          <w:rPr>
            <w:b w:val="0"/>
            <w:noProof/>
            <w:webHidden/>
          </w:rPr>
          <w:fldChar w:fldCharType="separate"/>
        </w:r>
        <w:r>
          <w:rPr>
            <w:b w:val="0"/>
            <w:noProof/>
            <w:webHidden/>
          </w:rPr>
          <w:t>325</w:t>
        </w:r>
        <w:r w:rsidR="00B16C6C" w:rsidRPr="009A0C4A">
          <w:rPr>
            <w:b w:val="0"/>
            <w:noProof/>
            <w:webHidden/>
          </w:rPr>
          <w:fldChar w:fldCharType="end"/>
        </w:r>
      </w:hyperlink>
    </w:p>
    <w:p w:rsid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363" w:history="1">
        <w:r w:rsidR="009A0C4A" w:rsidRPr="009A0C4A">
          <w:rPr>
            <w:rStyle w:val="Hyperlink"/>
            <w:b w:val="0"/>
            <w:noProof/>
          </w:rPr>
          <w:t>Tabela 15 - Composição Gravimétrica dos RSU gerados no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_Toc372740363 \h </w:instrText>
        </w:r>
        <w:r w:rsidR="00B16C6C" w:rsidRPr="009A0C4A">
          <w:rPr>
            <w:b w:val="0"/>
            <w:noProof/>
            <w:webHidden/>
          </w:rPr>
        </w:r>
        <w:r w:rsidR="00B16C6C" w:rsidRPr="009A0C4A">
          <w:rPr>
            <w:b w:val="0"/>
            <w:noProof/>
            <w:webHidden/>
          </w:rPr>
          <w:fldChar w:fldCharType="separate"/>
        </w:r>
        <w:r>
          <w:rPr>
            <w:b w:val="0"/>
            <w:noProof/>
            <w:webHidden/>
          </w:rPr>
          <w:t>328</w:t>
        </w:r>
        <w:r w:rsidR="00B16C6C" w:rsidRPr="009A0C4A">
          <w:rPr>
            <w:b w:val="0"/>
            <w:noProof/>
            <w:webHidden/>
          </w:rPr>
          <w:fldChar w:fldCharType="end"/>
        </w:r>
      </w:hyperlink>
    </w:p>
    <w:p w:rsidR="002D2C3F" w:rsidRDefault="00B16C6C" w:rsidP="001D2F23">
      <w:pPr>
        <w:spacing w:after="200" w:line="360" w:lineRule="auto"/>
        <w:ind w:left="1134" w:hanging="1134"/>
        <w:jc w:val="both"/>
        <w:rPr>
          <w:rFonts w:cs="Times New Roman"/>
          <w:b/>
          <w:sz w:val="32"/>
          <w:szCs w:val="32"/>
        </w:rPr>
      </w:pPr>
      <w:r>
        <w:rPr>
          <w:rFonts w:cs="Times New Roman"/>
          <w:b/>
          <w:sz w:val="32"/>
          <w:szCs w:val="32"/>
        </w:rPr>
        <w:fldChar w:fldCharType="end"/>
      </w:r>
    </w:p>
    <w:p w:rsidR="007557FD" w:rsidRDefault="007557FD">
      <w:pPr>
        <w:spacing w:after="200" w:line="276" w:lineRule="auto"/>
        <w:rPr>
          <w:rFonts w:cs="Times New Roman"/>
          <w:b/>
          <w:szCs w:val="32"/>
        </w:rPr>
      </w:pPr>
      <w:r>
        <w:br w:type="page"/>
      </w:r>
    </w:p>
    <w:p w:rsidR="00B02273" w:rsidRDefault="00B02273" w:rsidP="00B02273">
      <w:pPr>
        <w:pStyle w:val="TituloPrincipal"/>
        <w:spacing w:after="360" w:line="240" w:lineRule="auto"/>
        <w:rPr>
          <w:sz w:val="32"/>
        </w:rPr>
      </w:pPr>
      <w:r w:rsidRPr="00E90E6C">
        <w:lastRenderedPageBreak/>
        <w:t xml:space="preserve">LISTA DE </w:t>
      </w:r>
      <w:r>
        <w:t>QUADROS</w:t>
      </w:r>
    </w:p>
    <w:p w:rsidR="009A0C4A" w:rsidRPr="009A0C4A" w:rsidRDefault="00B16C6C"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r w:rsidRPr="009A0C4A">
        <w:rPr>
          <w:b w:val="0"/>
        </w:rPr>
        <w:fldChar w:fldCharType="begin"/>
      </w:r>
      <w:r w:rsidR="00B02273" w:rsidRPr="009A0C4A">
        <w:rPr>
          <w:b w:val="0"/>
        </w:rPr>
        <w:instrText xml:space="preserve"> TOC \h \z \c "Quadro" </w:instrText>
      </w:r>
      <w:r w:rsidRPr="009A0C4A">
        <w:rPr>
          <w:b w:val="0"/>
        </w:rPr>
        <w:fldChar w:fldCharType="separate"/>
      </w:r>
      <w:hyperlink w:anchor="_Toc372740507" w:history="1">
        <w:r w:rsidR="009A0C4A" w:rsidRPr="009A0C4A">
          <w:rPr>
            <w:rStyle w:val="Hyperlink"/>
            <w:b w:val="0"/>
            <w:noProof/>
          </w:rPr>
          <w:t>Quadro 1 - Informações da Microrregião de Aimorés.</w:t>
        </w:r>
        <w:r w:rsidR="009A0C4A" w:rsidRPr="009A0C4A">
          <w:rPr>
            <w:b w:val="0"/>
            <w:noProof/>
            <w:webHidden/>
          </w:rPr>
          <w:tab/>
        </w:r>
        <w:r w:rsidRPr="009A0C4A">
          <w:rPr>
            <w:b w:val="0"/>
            <w:noProof/>
            <w:webHidden/>
          </w:rPr>
          <w:fldChar w:fldCharType="begin"/>
        </w:r>
        <w:r w:rsidR="009A0C4A" w:rsidRPr="009A0C4A">
          <w:rPr>
            <w:b w:val="0"/>
            <w:noProof/>
            <w:webHidden/>
          </w:rPr>
          <w:instrText xml:space="preserve"> PAGEREF _Toc372740507 \h </w:instrText>
        </w:r>
        <w:r w:rsidRPr="009A0C4A">
          <w:rPr>
            <w:b w:val="0"/>
            <w:noProof/>
            <w:webHidden/>
          </w:rPr>
        </w:r>
        <w:r w:rsidRPr="009A0C4A">
          <w:rPr>
            <w:b w:val="0"/>
            <w:noProof/>
            <w:webHidden/>
          </w:rPr>
          <w:fldChar w:fldCharType="separate"/>
        </w:r>
        <w:r w:rsidR="004F77E2">
          <w:rPr>
            <w:b w:val="0"/>
            <w:noProof/>
            <w:webHidden/>
          </w:rPr>
          <w:t>37</w:t>
        </w:r>
        <w:r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08" w:history="1">
        <w:r w:rsidR="009A0C4A" w:rsidRPr="009A0C4A">
          <w:rPr>
            <w:rStyle w:val="Hyperlink"/>
            <w:b w:val="0"/>
            <w:noProof/>
          </w:rPr>
          <w:t>Quadro 2 - Evolução Populacional dos anos de 1970 a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_Toc372740508 \h </w:instrText>
        </w:r>
        <w:r w:rsidR="00B16C6C" w:rsidRPr="009A0C4A">
          <w:rPr>
            <w:b w:val="0"/>
            <w:noProof/>
            <w:webHidden/>
          </w:rPr>
        </w:r>
        <w:r w:rsidR="00B16C6C" w:rsidRPr="009A0C4A">
          <w:rPr>
            <w:b w:val="0"/>
            <w:noProof/>
            <w:webHidden/>
          </w:rPr>
          <w:fldChar w:fldCharType="separate"/>
        </w:r>
        <w:r>
          <w:rPr>
            <w:b w:val="0"/>
            <w:noProof/>
            <w:webHidden/>
          </w:rPr>
          <w:t>40</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09" w:history="1">
        <w:r w:rsidR="009A0C4A" w:rsidRPr="009A0C4A">
          <w:rPr>
            <w:rStyle w:val="Hyperlink"/>
            <w:b w:val="0"/>
            <w:noProof/>
          </w:rPr>
          <w:t>Quadro 3 - Projeção populacional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_Toc372740509 \h </w:instrText>
        </w:r>
        <w:r w:rsidR="00B16C6C" w:rsidRPr="009A0C4A">
          <w:rPr>
            <w:b w:val="0"/>
            <w:noProof/>
            <w:webHidden/>
          </w:rPr>
        </w:r>
        <w:r w:rsidR="00B16C6C" w:rsidRPr="009A0C4A">
          <w:rPr>
            <w:b w:val="0"/>
            <w:noProof/>
            <w:webHidden/>
          </w:rPr>
          <w:fldChar w:fldCharType="separate"/>
        </w:r>
        <w:r>
          <w:rPr>
            <w:b w:val="0"/>
            <w:noProof/>
            <w:webHidden/>
          </w:rPr>
          <w:t>42</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10" w:history="1">
        <w:r w:rsidR="009A0C4A" w:rsidRPr="009A0C4A">
          <w:rPr>
            <w:rStyle w:val="Hyperlink"/>
            <w:b w:val="0"/>
            <w:noProof/>
          </w:rPr>
          <w:t>Quadro 4 - População e número de domicílios por distrito.</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_Toc372740510 \h </w:instrText>
        </w:r>
        <w:r w:rsidR="00B16C6C" w:rsidRPr="009A0C4A">
          <w:rPr>
            <w:b w:val="0"/>
            <w:noProof/>
            <w:webHidden/>
          </w:rPr>
        </w:r>
        <w:r w:rsidR="00B16C6C" w:rsidRPr="009A0C4A">
          <w:rPr>
            <w:b w:val="0"/>
            <w:noProof/>
            <w:webHidden/>
          </w:rPr>
          <w:fldChar w:fldCharType="separate"/>
        </w:r>
        <w:r>
          <w:rPr>
            <w:b w:val="0"/>
            <w:noProof/>
            <w:webHidden/>
          </w:rPr>
          <w:t>44</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511" w:history="1">
        <w:r w:rsidR="009A0C4A" w:rsidRPr="009A0C4A">
          <w:rPr>
            <w:rStyle w:val="Hyperlink"/>
            <w:b w:val="0"/>
            <w:noProof/>
          </w:rPr>
          <w:t>Quadro 5 - Relação dos Habitante por sexo e domicílios dos Distritos do Município de Aimorés, Minas Gerais, 2001.</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_Toc372740511 \h </w:instrText>
        </w:r>
        <w:r w:rsidR="00B16C6C" w:rsidRPr="009A0C4A">
          <w:rPr>
            <w:b w:val="0"/>
            <w:noProof/>
            <w:webHidden/>
          </w:rPr>
        </w:r>
        <w:r w:rsidR="00B16C6C" w:rsidRPr="009A0C4A">
          <w:rPr>
            <w:b w:val="0"/>
            <w:noProof/>
            <w:webHidden/>
          </w:rPr>
          <w:fldChar w:fldCharType="separate"/>
        </w:r>
        <w:r>
          <w:rPr>
            <w:b w:val="0"/>
            <w:noProof/>
            <w:webHidden/>
          </w:rPr>
          <w:t>80</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12" w:history="1">
        <w:r w:rsidR="009A0C4A" w:rsidRPr="009A0C4A">
          <w:rPr>
            <w:rStyle w:val="Hyperlink"/>
            <w:b w:val="0"/>
            <w:noProof/>
          </w:rPr>
          <w:t>Quadro 6 - Indicadores Populacionais da Microrregião de Aimorés/MG,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_Toc372740512 \h </w:instrText>
        </w:r>
        <w:r w:rsidR="00B16C6C" w:rsidRPr="009A0C4A">
          <w:rPr>
            <w:b w:val="0"/>
            <w:noProof/>
            <w:webHidden/>
          </w:rPr>
        </w:r>
        <w:r w:rsidR="00B16C6C" w:rsidRPr="009A0C4A">
          <w:rPr>
            <w:b w:val="0"/>
            <w:noProof/>
            <w:webHidden/>
          </w:rPr>
          <w:fldChar w:fldCharType="separate"/>
        </w:r>
        <w:r>
          <w:rPr>
            <w:b w:val="0"/>
            <w:noProof/>
            <w:webHidden/>
          </w:rPr>
          <w:t>81</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13" w:history="1">
        <w:r w:rsidR="009A0C4A" w:rsidRPr="009A0C4A">
          <w:rPr>
            <w:rStyle w:val="Hyperlink"/>
            <w:b w:val="0"/>
            <w:noProof/>
          </w:rPr>
          <w:t>Quadro 7 - Situação de Emprego e Renda de Aimorés/MG.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_Toc372740513 \h </w:instrText>
        </w:r>
        <w:r w:rsidR="00B16C6C" w:rsidRPr="009A0C4A">
          <w:rPr>
            <w:b w:val="0"/>
            <w:noProof/>
            <w:webHidden/>
          </w:rPr>
        </w:r>
        <w:r w:rsidR="00B16C6C" w:rsidRPr="009A0C4A">
          <w:rPr>
            <w:b w:val="0"/>
            <w:noProof/>
            <w:webHidden/>
          </w:rPr>
          <w:fldChar w:fldCharType="separate"/>
        </w:r>
        <w:r>
          <w:rPr>
            <w:b w:val="0"/>
            <w:noProof/>
            <w:webHidden/>
          </w:rPr>
          <w:t>89</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134" w:hanging="1134"/>
        <w:rPr>
          <w:rFonts w:asciiTheme="minorHAnsi" w:eastAsiaTheme="minorEastAsia" w:hAnsiTheme="minorHAnsi"/>
          <w:b w:val="0"/>
          <w:noProof/>
          <w:sz w:val="22"/>
          <w:lang w:eastAsia="pt-BR"/>
        </w:rPr>
      </w:pPr>
      <w:hyperlink w:anchor="_Toc372740514" w:history="1">
        <w:r w:rsidR="009A0C4A" w:rsidRPr="009A0C4A">
          <w:rPr>
            <w:rStyle w:val="Hyperlink"/>
            <w:b w:val="0"/>
            <w:noProof/>
          </w:rPr>
          <w:t>Quadro 8 - Indicadores de Educação, em termos de Acesso, do Município de Aimorés/MG,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_Toc372740514 \h </w:instrText>
        </w:r>
        <w:r w:rsidR="00B16C6C" w:rsidRPr="009A0C4A">
          <w:rPr>
            <w:b w:val="0"/>
            <w:noProof/>
            <w:webHidden/>
          </w:rPr>
        </w:r>
        <w:r w:rsidR="00B16C6C" w:rsidRPr="009A0C4A">
          <w:rPr>
            <w:b w:val="0"/>
            <w:noProof/>
            <w:webHidden/>
          </w:rPr>
          <w:fldChar w:fldCharType="separate"/>
        </w:r>
        <w:r>
          <w:rPr>
            <w:b w:val="0"/>
            <w:noProof/>
            <w:webHidden/>
          </w:rPr>
          <w:t>93</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15" w:history="1">
        <w:r w:rsidR="009A0C4A" w:rsidRPr="009A0C4A">
          <w:rPr>
            <w:rStyle w:val="Hyperlink"/>
            <w:b w:val="0"/>
            <w:noProof/>
          </w:rPr>
          <w:t>Quadro 9 - Nível Educacional na Microrregião de Aimorés, por faixa etária, 2000.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_Toc372740515 \h </w:instrText>
        </w:r>
        <w:r w:rsidR="00B16C6C" w:rsidRPr="009A0C4A">
          <w:rPr>
            <w:b w:val="0"/>
            <w:noProof/>
            <w:webHidden/>
          </w:rPr>
        </w:r>
        <w:r w:rsidR="00B16C6C" w:rsidRPr="009A0C4A">
          <w:rPr>
            <w:b w:val="0"/>
            <w:noProof/>
            <w:webHidden/>
          </w:rPr>
          <w:fldChar w:fldCharType="separate"/>
        </w:r>
        <w:r>
          <w:rPr>
            <w:b w:val="0"/>
            <w:noProof/>
            <w:webHidden/>
          </w:rPr>
          <w:t>94</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16" w:history="1">
        <w:r w:rsidR="009A0C4A" w:rsidRPr="009A0C4A">
          <w:rPr>
            <w:rStyle w:val="Hyperlink"/>
            <w:b w:val="0"/>
            <w:noProof/>
          </w:rPr>
          <w:t>Quadro 10 - Índice de Desenvolvimento de Educação Básica de Aimorés/MG, 2005 A 2011.</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_Toc372740516 \h </w:instrText>
        </w:r>
        <w:r w:rsidR="00B16C6C" w:rsidRPr="009A0C4A">
          <w:rPr>
            <w:b w:val="0"/>
            <w:noProof/>
            <w:webHidden/>
          </w:rPr>
        </w:r>
        <w:r w:rsidR="00B16C6C" w:rsidRPr="009A0C4A">
          <w:rPr>
            <w:b w:val="0"/>
            <w:noProof/>
            <w:webHidden/>
          </w:rPr>
          <w:fldChar w:fldCharType="separate"/>
        </w:r>
        <w:r>
          <w:rPr>
            <w:b w:val="0"/>
            <w:noProof/>
            <w:webHidden/>
          </w:rPr>
          <w:t>96</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17" w:history="1">
        <w:r w:rsidR="009A0C4A" w:rsidRPr="009A0C4A">
          <w:rPr>
            <w:rStyle w:val="Hyperlink"/>
            <w:b w:val="0"/>
            <w:noProof/>
          </w:rPr>
          <w:t>Quadro 11 - Indicadores de Saúde do Município de Aimorés/MG,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_Toc372740517 \h </w:instrText>
        </w:r>
        <w:r w:rsidR="00B16C6C" w:rsidRPr="009A0C4A">
          <w:rPr>
            <w:b w:val="0"/>
            <w:noProof/>
            <w:webHidden/>
          </w:rPr>
        </w:r>
        <w:r w:rsidR="00B16C6C" w:rsidRPr="009A0C4A">
          <w:rPr>
            <w:b w:val="0"/>
            <w:noProof/>
            <w:webHidden/>
          </w:rPr>
          <w:fldChar w:fldCharType="separate"/>
        </w:r>
        <w:r>
          <w:rPr>
            <w:b w:val="0"/>
            <w:noProof/>
            <w:webHidden/>
          </w:rPr>
          <w:t>98</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18" w:history="1">
        <w:r w:rsidR="009A0C4A" w:rsidRPr="009A0C4A">
          <w:rPr>
            <w:rStyle w:val="Hyperlink"/>
            <w:b w:val="0"/>
            <w:noProof/>
          </w:rPr>
          <w:t>Quadro 12 - Indicadores de Vulnerabilidade Social das Famílias de Aimorés/MG, 1991/2000.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_Toc372740518 \h </w:instrText>
        </w:r>
        <w:r w:rsidR="00B16C6C" w:rsidRPr="009A0C4A">
          <w:rPr>
            <w:b w:val="0"/>
            <w:noProof/>
            <w:webHidden/>
          </w:rPr>
        </w:r>
        <w:r w:rsidR="00B16C6C" w:rsidRPr="009A0C4A">
          <w:rPr>
            <w:b w:val="0"/>
            <w:noProof/>
            <w:webHidden/>
          </w:rPr>
          <w:fldChar w:fldCharType="separate"/>
        </w:r>
        <w:r>
          <w:rPr>
            <w:b w:val="0"/>
            <w:noProof/>
            <w:webHidden/>
          </w:rPr>
          <w:t>102</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19" w:history="1">
        <w:r w:rsidR="009A0C4A" w:rsidRPr="009A0C4A">
          <w:rPr>
            <w:rStyle w:val="Hyperlink"/>
            <w:b w:val="0"/>
            <w:noProof/>
          </w:rPr>
          <w:t>Quadro 13 - Índice de Desenvolvimento Humano da Microrregião de Aimorés/MG, 1991/2000.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_Toc372740519 \h </w:instrText>
        </w:r>
        <w:r w:rsidR="00B16C6C" w:rsidRPr="009A0C4A">
          <w:rPr>
            <w:b w:val="0"/>
            <w:noProof/>
            <w:webHidden/>
          </w:rPr>
        </w:r>
        <w:r w:rsidR="00B16C6C" w:rsidRPr="009A0C4A">
          <w:rPr>
            <w:b w:val="0"/>
            <w:noProof/>
            <w:webHidden/>
          </w:rPr>
          <w:fldChar w:fldCharType="separate"/>
        </w:r>
        <w:r>
          <w:rPr>
            <w:b w:val="0"/>
            <w:noProof/>
            <w:webHidden/>
          </w:rPr>
          <w:t>106</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20" w:history="1">
        <w:r w:rsidR="009A0C4A" w:rsidRPr="009A0C4A">
          <w:rPr>
            <w:rStyle w:val="Hyperlink"/>
            <w:b w:val="0"/>
            <w:noProof/>
          </w:rPr>
          <w:t>Quadro 14 - Indicadores de Segurança Pública, do Município de Aimorés,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_Toc372740520 \h </w:instrText>
        </w:r>
        <w:r w:rsidR="00B16C6C" w:rsidRPr="009A0C4A">
          <w:rPr>
            <w:b w:val="0"/>
            <w:noProof/>
            <w:webHidden/>
          </w:rPr>
        </w:r>
        <w:r w:rsidR="00B16C6C" w:rsidRPr="009A0C4A">
          <w:rPr>
            <w:b w:val="0"/>
            <w:noProof/>
            <w:webHidden/>
          </w:rPr>
          <w:fldChar w:fldCharType="separate"/>
        </w:r>
        <w:r>
          <w:rPr>
            <w:b w:val="0"/>
            <w:noProof/>
            <w:webHidden/>
          </w:rPr>
          <w:t>111</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21" w:history="1">
        <w:r w:rsidR="009A0C4A" w:rsidRPr="009A0C4A">
          <w:rPr>
            <w:rStyle w:val="Hyperlink"/>
            <w:b w:val="0"/>
            <w:noProof/>
          </w:rPr>
          <w:t>Quadro 15 - Gastos per capita do Município de Aimorés,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_Toc372740521 \h </w:instrText>
        </w:r>
        <w:r w:rsidR="00B16C6C" w:rsidRPr="009A0C4A">
          <w:rPr>
            <w:b w:val="0"/>
            <w:noProof/>
            <w:webHidden/>
          </w:rPr>
        </w:r>
        <w:r w:rsidR="00B16C6C" w:rsidRPr="009A0C4A">
          <w:rPr>
            <w:b w:val="0"/>
            <w:noProof/>
            <w:webHidden/>
          </w:rPr>
          <w:fldChar w:fldCharType="separate"/>
        </w:r>
        <w:r>
          <w:rPr>
            <w:b w:val="0"/>
            <w:noProof/>
            <w:webHidden/>
          </w:rPr>
          <w:t>113</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22" w:history="1">
        <w:r w:rsidR="009A0C4A" w:rsidRPr="009A0C4A">
          <w:rPr>
            <w:rStyle w:val="Hyperlink"/>
            <w:b w:val="0"/>
            <w:noProof/>
          </w:rPr>
          <w:t>Quadro 16 - Índice Mineiro de Responsabilidade Social (IMRS), Aimorés/MG, 2000 a 2008.</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_Toc372740522 \h </w:instrText>
        </w:r>
        <w:r w:rsidR="00B16C6C" w:rsidRPr="009A0C4A">
          <w:rPr>
            <w:b w:val="0"/>
            <w:noProof/>
            <w:webHidden/>
          </w:rPr>
        </w:r>
        <w:r w:rsidR="00B16C6C" w:rsidRPr="009A0C4A">
          <w:rPr>
            <w:b w:val="0"/>
            <w:noProof/>
            <w:webHidden/>
          </w:rPr>
          <w:fldChar w:fldCharType="separate"/>
        </w:r>
        <w:r>
          <w:rPr>
            <w:b w:val="0"/>
            <w:noProof/>
            <w:webHidden/>
          </w:rPr>
          <w:t>115</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23" w:history="1">
        <w:r w:rsidR="009A0C4A" w:rsidRPr="009A0C4A">
          <w:rPr>
            <w:rStyle w:val="Hyperlink"/>
            <w:b w:val="0"/>
            <w:noProof/>
          </w:rPr>
          <w:t>Quadro 17 - Domicílios particulares permanentes por forma de abastecimento de água em Aimorés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_Toc372740523 \h </w:instrText>
        </w:r>
        <w:r w:rsidR="00B16C6C" w:rsidRPr="009A0C4A">
          <w:rPr>
            <w:b w:val="0"/>
            <w:noProof/>
            <w:webHidden/>
          </w:rPr>
        </w:r>
        <w:r w:rsidR="00B16C6C" w:rsidRPr="009A0C4A">
          <w:rPr>
            <w:b w:val="0"/>
            <w:noProof/>
            <w:webHidden/>
          </w:rPr>
          <w:fldChar w:fldCharType="separate"/>
        </w:r>
        <w:r>
          <w:rPr>
            <w:b w:val="0"/>
            <w:noProof/>
            <w:webHidden/>
          </w:rPr>
          <w:t>141</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24" w:history="1">
        <w:r w:rsidR="009A0C4A" w:rsidRPr="009A0C4A">
          <w:rPr>
            <w:rStyle w:val="Hyperlink"/>
            <w:b w:val="0"/>
            <w:noProof/>
          </w:rPr>
          <w:t>Quadro 18 - Balanço entre Consumo e demandas de Abastecimento de água nas áreas de planejamento.</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_Toc372740524 \h </w:instrText>
        </w:r>
        <w:r w:rsidR="00B16C6C" w:rsidRPr="009A0C4A">
          <w:rPr>
            <w:b w:val="0"/>
            <w:noProof/>
            <w:webHidden/>
          </w:rPr>
        </w:r>
        <w:r w:rsidR="00B16C6C" w:rsidRPr="009A0C4A">
          <w:rPr>
            <w:b w:val="0"/>
            <w:noProof/>
            <w:webHidden/>
          </w:rPr>
          <w:fldChar w:fldCharType="separate"/>
        </w:r>
        <w:r>
          <w:rPr>
            <w:b w:val="0"/>
            <w:noProof/>
            <w:webHidden/>
          </w:rPr>
          <w:t>157</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25" w:history="1">
        <w:r w:rsidR="009A0C4A" w:rsidRPr="009A0C4A">
          <w:rPr>
            <w:rStyle w:val="Hyperlink"/>
            <w:b w:val="0"/>
            <w:noProof/>
          </w:rPr>
          <w:t>Quadro 19 - Apresentam-se os valores das demandas diárias, capacidade de reservação, a reservação e a diferença</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_Toc372740525 \h </w:instrText>
        </w:r>
        <w:r w:rsidR="00B16C6C" w:rsidRPr="009A0C4A">
          <w:rPr>
            <w:b w:val="0"/>
            <w:noProof/>
            <w:webHidden/>
          </w:rPr>
        </w:r>
        <w:r w:rsidR="00B16C6C" w:rsidRPr="009A0C4A">
          <w:rPr>
            <w:b w:val="0"/>
            <w:noProof/>
            <w:webHidden/>
          </w:rPr>
          <w:fldChar w:fldCharType="separate"/>
        </w:r>
        <w:r>
          <w:rPr>
            <w:b w:val="0"/>
            <w:noProof/>
            <w:webHidden/>
          </w:rPr>
          <w:t>159</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26" w:history="1">
        <w:r w:rsidR="009A0C4A" w:rsidRPr="009A0C4A">
          <w:rPr>
            <w:rStyle w:val="Hyperlink"/>
            <w:b w:val="0"/>
            <w:noProof/>
          </w:rPr>
          <w:t>Quadro 20 - Síntese das informações disponíveis para as Estações de Tratamento de Água de Aimorés, referente ao mês de Agosto/2013.</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_Toc372740526 \h </w:instrText>
        </w:r>
        <w:r w:rsidR="00B16C6C" w:rsidRPr="009A0C4A">
          <w:rPr>
            <w:b w:val="0"/>
            <w:noProof/>
            <w:webHidden/>
          </w:rPr>
        </w:r>
        <w:r w:rsidR="00B16C6C" w:rsidRPr="009A0C4A">
          <w:rPr>
            <w:b w:val="0"/>
            <w:noProof/>
            <w:webHidden/>
          </w:rPr>
          <w:fldChar w:fldCharType="separate"/>
        </w:r>
        <w:r>
          <w:rPr>
            <w:b w:val="0"/>
            <w:noProof/>
            <w:webHidden/>
          </w:rPr>
          <w:t>160</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27" w:history="1">
        <w:r w:rsidR="009A0C4A" w:rsidRPr="009A0C4A">
          <w:rPr>
            <w:rStyle w:val="Hyperlink"/>
            <w:b w:val="0"/>
            <w:noProof/>
          </w:rPr>
          <w:t>Quadro 21 - Consumo Mensal de Produtos Químicos na ETA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_Toc372740527 \h </w:instrText>
        </w:r>
        <w:r w:rsidR="00B16C6C" w:rsidRPr="009A0C4A">
          <w:rPr>
            <w:b w:val="0"/>
            <w:noProof/>
            <w:webHidden/>
          </w:rPr>
        </w:r>
        <w:r w:rsidR="00B16C6C" w:rsidRPr="009A0C4A">
          <w:rPr>
            <w:b w:val="0"/>
            <w:noProof/>
            <w:webHidden/>
          </w:rPr>
          <w:fldChar w:fldCharType="separate"/>
        </w:r>
        <w:r>
          <w:rPr>
            <w:b w:val="0"/>
            <w:noProof/>
            <w:webHidden/>
          </w:rPr>
          <w:t>167</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28" w:history="1">
        <w:r w:rsidR="009A0C4A" w:rsidRPr="009A0C4A">
          <w:rPr>
            <w:rStyle w:val="Hyperlink"/>
            <w:b w:val="0"/>
            <w:noProof/>
          </w:rPr>
          <w:t>Quadro 22 - Rede Distribuição de água do município de Aimorés 2013.</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_Toc372740528 \h </w:instrText>
        </w:r>
        <w:r w:rsidR="00B16C6C" w:rsidRPr="009A0C4A">
          <w:rPr>
            <w:b w:val="0"/>
            <w:noProof/>
            <w:webHidden/>
          </w:rPr>
        </w:r>
        <w:r w:rsidR="00B16C6C" w:rsidRPr="009A0C4A">
          <w:rPr>
            <w:b w:val="0"/>
            <w:noProof/>
            <w:webHidden/>
          </w:rPr>
          <w:fldChar w:fldCharType="separate"/>
        </w:r>
        <w:r>
          <w:rPr>
            <w:b w:val="0"/>
            <w:noProof/>
            <w:webHidden/>
          </w:rPr>
          <w:t>169</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29" w:history="1">
        <w:r w:rsidR="009A0C4A" w:rsidRPr="009A0C4A">
          <w:rPr>
            <w:rStyle w:val="Hyperlink"/>
            <w:b w:val="0"/>
            <w:noProof/>
          </w:rPr>
          <w:t>Quadro 23 - Movimento de Ligações com referência mês de Agosto de 2013.</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_Toc372740529 \h </w:instrText>
        </w:r>
        <w:r w:rsidR="00B16C6C" w:rsidRPr="009A0C4A">
          <w:rPr>
            <w:b w:val="0"/>
            <w:noProof/>
            <w:webHidden/>
          </w:rPr>
        </w:r>
        <w:r w:rsidR="00B16C6C" w:rsidRPr="009A0C4A">
          <w:rPr>
            <w:b w:val="0"/>
            <w:noProof/>
            <w:webHidden/>
          </w:rPr>
          <w:fldChar w:fldCharType="separate"/>
        </w:r>
        <w:r>
          <w:rPr>
            <w:b w:val="0"/>
            <w:noProof/>
            <w:webHidden/>
          </w:rPr>
          <w:t>223</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30" w:history="1">
        <w:r w:rsidR="009A0C4A" w:rsidRPr="009A0C4A">
          <w:rPr>
            <w:rStyle w:val="Hyperlink"/>
            <w:b w:val="0"/>
            <w:noProof/>
          </w:rPr>
          <w:t>Quadro 24 - Número de Economias.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_Toc372740530 \h </w:instrText>
        </w:r>
        <w:r w:rsidR="00B16C6C" w:rsidRPr="009A0C4A">
          <w:rPr>
            <w:b w:val="0"/>
            <w:noProof/>
            <w:webHidden/>
          </w:rPr>
        </w:r>
        <w:r w:rsidR="00B16C6C" w:rsidRPr="009A0C4A">
          <w:rPr>
            <w:b w:val="0"/>
            <w:noProof/>
            <w:webHidden/>
          </w:rPr>
          <w:fldChar w:fldCharType="separate"/>
        </w:r>
        <w:r>
          <w:rPr>
            <w:b w:val="0"/>
            <w:noProof/>
            <w:webHidden/>
          </w:rPr>
          <w:t>223</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31" w:history="1">
        <w:r w:rsidR="009A0C4A" w:rsidRPr="009A0C4A">
          <w:rPr>
            <w:rStyle w:val="Hyperlink"/>
            <w:b w:val="0"/>
            <w:noProof/>
          </w:rPr>
          <w:t>Quadro 25 - Ligações Hidrometradas e não-hidrometradas anual por categoria.</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_Toc372740531 \h </w:instrText>
        </w:r>
        <w:r w:rsidR="00B16C6C" w:rsidRPr="009A0C4A">
          <w:rPr>
            <w:b w:val="0"/>
            <w:noProof/>
            <w:webHidden/>
          </w:rPr>
        </w:r>
        <w:r w:rsidR="00B16C6C" w:rsidRPr="009A0C4A">
          <w:rPr>
            <w:b w:val="0"/>
            <w:noProof/>
            <w:webHidden/>
          </w:rPr>
          <w:fldChar w:fldCharType="separate"/>
        </w:r>
        <w:r>
          <w:rPr>
            <w:b w:val="0"/>
            <w:noProof/>
            <w:webHidden/>
          </w:rPr>
          <w:t>224</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32" w:history="1">
        <w:r w:rsidR="009A0C4A" w:rsidRPr="009A0C4A">
          <w:rPr>
            <w:rStyle w:val="Hyperlink"/>
            <w:b w:val="0"/>
            <w:noProof/>
          </w:rPr>
          <w:t>Quadro 26 - Número de hidrômetros com referência mês de Agosto de 2013.</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_Toc372740532 \h </w:instrText>
        </w:r>
        <w:r w:rsidR="00B16C6C" w:rsidRPr="009A0C4A">
          <w:rPr>
            <w:b w:val="0"/>
            <w:noProof/>
            <w:webHidden/>
          </w:rPr>
        </w:r>
        <w:r w:rsidR="00B16C6C" w:rsidRPr="009A0C4A">
          <w:rPr>
            <w:b w:val="0"/>
            <w:noProof/>
            <w:webHidden/>
          </w:rPr>
          <w:fldChar w:fldCharType="separate"/>
        </w:r>
        <w:r>
          <w:rPr>
            <w:b w:val="0"/>
            <w:noProof/>
            <w:webHidden/>
          </w:rPr>
          <w:t>224</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33" w:history="1">
        <w:r w:rsidR="009A0C4A" w:rsidRPr="009A0C4A">
          <w:rPr>
            <w:rStyle w:val="Hyperlink"/>
            <w:b w:val="0"/>
            <w:noProof/>
          </w:rPr>
          <w:t>Quadro 27 - Consumo de água com referência mês de Agosto de 2013.</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_Toc372740533 \h </w:instrText>
        </w:r>
        <w:r w:rsidR="00B16C6C" w:rsidRPr="009A0C4A">
          <w:rPr>
            <w:b w:val="0"/>
            <w:noProof/>
            <w:webHidden/>
          </w:rPr>
        </w:r>
        <w:r w:rsidR="00B16C6C" w:rsidRPr="009A0C4A">
          <w:rPr>
            <w:b w:val="0"/>
            <w:noProof/>
            <w:webHidden/>
          </w:rPr>
          <w:fldChar w:fldCharType="separate"/>
        </w:r>
        <w:r>
          <w:rPr>
            <w:b w:val="0"/>
            <w:noProof/>
            <w:webHidden/>
          </w:rPr>
          <w:t>225</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34" w:history="1">
        <w:r w:rsidR="009A0C4A" w:rsidRPr="009A0C4A">
          <w:rPr>
            <w:rStyle w:val="Hyperlink"/>
            <w:b w:val="0"/>
            <w:noProof/>
          </w:rPr>
          <w:t>Quadro 28 - Volumes de água informados pelo SAAE, 2012.</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_Toc372740534 \h </w:instrText>
        </w:r>
        <w:r w:rsidR="00B16C6C" w:rsidRPr="009A0C4A">
          <w:rPr>
            <w:b w:val="0"/>
            <w:noProof/>
            <w:webHidden/>
          </w:rPr>
        </w:r>
        <w:r w:rsidR="00B16C6C" w:rsidRPr="009A0C4A">
          <w:rPr>
            <w:b w:val="0"/>
            <w:noProof/>
            <w:webHidden/>
          </w:rPr>
          <w:fldChar w:fldCharType="separate"/>
        </w:r>
        <w:r>
          <w:rPr>
            <w:b w:val="0"/>
            <w:noProof/>
            <w:webHidden/>
          </w:rPr>
          <w:t>225</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35" w:history="1">
        <w:r w:rsidR="009A0C4A" w:rsidRPr="009A0C4A">
          <w:rPr>
            <w:rStyle w:val="Hyperlink"/>
            <w:b w:val="0"/>
            <w:noProof/>
          </w:rPr>
          <w:t>Quadro 29 - Dados financeiros do SAAE.</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_Toc372740535 \h </w:instrText>
        </w:r>
        <w:r w:rsidR="00B16C6C" w:rsidRPr="009A0C4A">
          <w:rPr>
            <w:b w:val="0"/>
            <w:noProof/>
            <w:webHidden/>
          </w:rPr>
        </w:r>
        <w:r w:rsidR="00B16C6C" w:rsidRPr="009A0C4A">
          <w:rPr>
            <w:b w:val="0"/>
            <w:noProof/>
            <w:webHidden/>
          </w:rPr>
          <w:fldChar w:fldCharType="separate"/>
        </w:r>
        <w:r>
          <w:rPr>
            <w:b w:val="0"/>
            <w:noProof/>
            <w:webHidden/>
          </w:rPr>
          <w:t>226</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36" w:history="1">
        <w:r w:rsidR="009A0C4A" w:rsidRPr="009A0C4A">
          <w:rPr>
            <w:rStyle w:val="Hyperlink"/>
            <w:b w:val="0"/>
            <w:noProof/>
          </w:rPr>
          <w:t>Quadro 30 - Valores arrecadados do SAAE.</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_Toc372740536 \h </w:instrText>
        </w:r>
        <w:r w:rsidR="00B16C6C" w:rsidRPr="009A0C4A">
          <w:rPr>
            <w:b w:val="0"/>
            <w:noProof/>
            <w:webHidden/>
          </w:rPr>
        </w:r>
        <w:r w:rsidR="00B16C6C" w:rsidRPr="009A0C4A">
          <w:rPr>
            <w:b w:val="0"/>
            <w:noProof/>
            <w:webHidden/>
          </w:rPr>
          <w:fldChar w:fldCharType="separate"/>
        </w:r>
        <w:r>
          <w:rPr>
            <w:b w:val="0"/>
            <w:noProof/>
            <w:webHidden/>
          </w:rPr>
          <w:t>226</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37" w:history="1">
        <w:r w:rsidR="009A0C4A" w:rsidRPr="009A0C4A">
          <w:rPr>
            <w:rStyle w:val="Hyperlink"/>
            <w:b w:val="0"/>
            <w:noProof/>
          </w:rPr>
          <w:t>Quadro 31 - Despesas totais do SAAE.</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_Toc372740537 \h </w:instrText>
        </w:r>
        <w:r w:rsidR="00B16C6C" w:rsidRPr="009A0C4A">
          <w:rPr>
            <w:b w:val="0"/>
            <w:noProof/>
            <w:webHidden/>
          </w:rPr>
        </w:r>
        <w:r w:rsidR="00B16C6C" w:rsidRPr="009A0C4A">
          <w:rPr>
            <w:b w:val="0"/>
            <w:noProof/>
            <w:webHidden/>
          </w:rPr>
          <w:fldChar w:fldCharType="separate"/>
        </w:r>
        <w:r>
          <w:rPr>
            <w:b w:val="0"/>
            <w:noProof/>
            <w:webHidden/>
          </w:rPr>
          <w:t>227</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38" w:history="1">
        <w:r w:rsidR="009A0C4A" w:rsidRPr="009A0C4A">
          <w:rPr>
            <w:rStyle w:val="Hyperlink"/>
            <w:b w:val="0"/>
            <w:noProof/>
          </w:rPr>
          <w:t>Quadro 32 - Investimentos realizados do SAAE.</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_Toc372740538 \h </w:instrText>
        </w:r>
        <w:r w:rsidR="00B16C6C" w:rsidRPr="009A0C4A">
          <w:rPr>
            <w:b w:val="0"/>
            <w:noProof/>
            <w:webHidden/>
          </w:rPr>
        </w:r>
        <w:r w:rsidR="00B16C6C" w:rsidRPr="009A0C4A">
          <w:rPr>
            <w:b w:val="0"/>
            <w:noProof/>
            <w:webHidden/>
          </w:rPr>
          <w:fldChar w:fldCharType="separate"/>
        </w:r>
        <w:r>
          <w:rPr>
            <w:b w:val="0"/>
            <w:noProof/>
            <w:webHidden/>
          </w:rPr>
          <w:t>228</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39" w:history="1">
        <w:r w:rsidR="009A0C4A" w:rsidRPr="009A0C4A">
          <w:rPr>
            <w:rStyle w:val="Hyperlink"/>
            <w:b w:val="0"/>
            <w:noProof/>
          </w:rPr>
          <w:t>Quadro 33 - Tarifa Mínima cobrada pelo SAAE.</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_Toc372740539 \h </w:instrText>
        </w:r>
        <w:r w:rsidR="00B16C6C" w:rsidRPr="009A0C4A">
          <w:rPr>
            <w:b w:val="0"/>
            <w:noProof/>
            <w:webHidden/>
          </w:rPr>
        </w:r>
        <w:r w:rsidR="00B16C6C" w:rsidRPr="009A0C4A">
          <w:rPr>
            <w:b w:val="0"/>
            <w:noProof/>
            <w:webHidden/>
          </w:rPr>
          <w:fldChar w:fldCharType="separate"/>
        </w:r>
        <w:r>
          <w:rPr>
            <w:b w:val="0"/>
            <w:noProof/>
            <w:webHidden/>
          </w:rPr>
          <w:t>229</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40" w:history="1">
        <w:r w:rsidR="009A0C4A" w:rsidRPr="009A0C4A">
          <w:rPr>
            <w:rStyle w:val="Hyperlink"/>
            <w:b w:val="0"/>
            <w:noProof/>
          </w:rPr>
          <w:t>Quadro 34 - Valores da Cobrança por Categoria.</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_Toc372740540 \h </w:instrText>
        </w:r>
        <w:r w:rsidR="00B16C6C" w:rsidRPr="009A0C4A">
          <w:rPr>
            <w:b w:val="0"/>
            <w:noProof/>
            <w:webHidden/>
          </w:rPr>
        </w:r>
        <w:r w:rsidR="00B16C6C" w:rsidRPr="009A0C4A">
          <w:rPr>
            <w:b w:val="0"/>
            <w:noProof/>
            <w:webHidden/>
          </w:rPr>
          <w:fldChar w:fldCharType="separate"/>
        </w:r>
        <w:r>
          <w:rPr>
            <w:b w:val="0"/>
            <w:noProof/>
            <w:webHidden/>
          </w:rPr>
          <w:t>229</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41" w:history="1">
        <w:r w:rsidR="009A0C4A" w:rsidRPr="009A0C4A">
          <w:rPr>
            <w:rStyle w:val="Hyperlink"/>
            <w:b w:val="0"/>
            <w:noProof/>
          </w:rPr>
          <w:t>Quadro 35 - De valores das taxas cobradas pelo SAAE.</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_Toc372740541 \h </w:instrText>
        </w:r>
        <w:r w:rsidR="00B16C6C" w:rsidRPr="009A0C4A">
          <w:rPr>
            <w:b w:val="0"/>
            <w:noProof/>
            <w:webHidden/>
          </w:rPr>
        </w:r>
        <w:r w:rsidR="00B16C6C" w:rsidRPr="009A0C4A">
          <w:rPr>
            <w:b w:val="0"/>
            <w:noProof/>
            <w:webHidden/>
          </w:rPr>
          <w:fldChar w:fldCharType="separate"/>
        </w:r>
        <w:r>
          <w:rPr>
            <w:b w:val="0"/>
            <w:noProof/>
            <w:webHidden/>
          </w:rPr>
          <w:t>230</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42" w:history="1">
        <w:r w:rsidR="009A0C4A" w:rsidRPr="009A0C4A">
          <w:rPr>
            <w:rStyle w:val="Hyperlink"/>
            <w:b w:val="0"/>
            <w:noProof/>
          </w:rPr>
          <w:t>Quadro 36 - Notificação no SINAN por Ano 2005 a 2012 -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_Toc372740542 \h </w:instrText>
        </w:r>
        <w:r w:rsidR="00B16C6C" w:rsidRPr="009A0C4A">
          <w:rPr>
            <w:b w:val="0"/>
            <w:noProof/>
            <w:webHidden/>
          </w:rPr>
        </w:r>
        <w:r w:rsidR="00B16C6C" w:rsidRPr="009A0C4A">
          <w:rPr>
            <w:b w:val="0"/>
            <w:noProof/>
            <w:webHidden/>
          </w:rPr>
          <w:fldChar w:fldCharType="separate"/>
        </w:r>
        <w:r>
          <w:rPr>
            <w:b w:val="0"/>
            <w:noProof/>
            <w:webHidden/>
          </w:rPr>
          <w:t>232</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43" w:history="1">
        <w:r w:rsidR="009A0C4A" w:rsidRPr="009A0C4A">
          <w:rPr>
            <w:rStyle w:val="Hyperlink"/>
            <w:b w:val="0"/>
            <w:noProof/>
          </w:rPr>
          <w:t>Quadro 37 - Levantamento de unidades e índice de infestação de dengue em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_Toc372740543 \h </w:instrText>
        </w:r>
        <w:r w:rsidR="00B16C6C" w:rsidRPr="009A0C4A">
          <w:rPr>
            <w:b w:val="0"/>
            <w:noProof/>
            <w:webHidden/>
          </w:rPr>
        </w:r>
        <w:r w:rsidR="00B16C6C" w:rsidRPr="009A0C4A">
          <w:rPr>
            <w:b w:val="0"/>
            <w:noProof/>
            <w:webHidden/>
          </w:rPr>
          <w:fldChar w:fldCharType="separate"/>
        </w:r>
        <w:r>
          <w:rPr>
            <w:b w:val="0"/>
            <w:noProof/>
            <w:webHidden/>
          </w:rPr>
          <w:t>234</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44" w:history="1">
        <w:r w:rsidR="009A0C4A" w:rsidRPr="009A0C4A">
          <w:rPr>
            <w:rStyle w:val="Hyperlink"/>
            <w:b w:val="0"/>
            <w:noProof/>
          </w:rPr>
          <w:t>Quadro 38 - Controle dos parâmetros físico-químicos da água bruta captada para tratamento no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_Toc372740544 \h </w:instrText>
        </w:r>
        <w:r w:rsidR="00B16C6C" w:rsidRPr="009A0C4A">
          <w:rPr>
            <w:b w:val="0"/>
            <w:noProof/>
            <w:webHidden/>
          </w:rPr>
        </w:r>
        <w:r w:rsidR="00B16C6C" w:rsidRPr="009A0C4A">
          <w:rPr>
            <w:b w:val="0"/>
            <w:noProof/>
            <w:webHidden/>
          </w:rPr>
          <w:fldChar w:fldCharType="separate"/>
        </w:r>
        <w:r>
          <w:rPr>
            <w:b w:val="0"/>
            <w:noProof/>
            <w:webHidden/>
          </w:rPr>
          <w:t>237</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45" w:history="1">
        <w:r w:rsidR="009A0C4A" w:rsidRPr="009A0C4A">
          <w:rPr>
            <w:rStyle w:val="Hyperlink"/>
            <w:b w:val="0"/>
            <w:noProof/>
          </w:rPr>
          <w:t>Quadro 39 - Controle dos parâmetros físico-químicos da água tratada realizadas no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_Toc372740545 \h </w:instrText>
        </w:r>
        <w:r w:rsidR="00B16C6C" w:rsidRPr="009A0C4A">
          <w:rPr>
            <w:b w:val="0"/>
            <w:noProof/>
            <w:webHidden/>
          </w:rPr>
        </w:r>
        <w:r w:rsidR="00B16C6C" w:rsidRPr="009A0C4A">
          <w:rPr>
            <w:b w:val="0"/>
            <w:noProof/>
            <w:webHidden/>
          </w:rPr>
          <w:fldChar w:fldCharType="separate"/>
        </w:r>
        <w:r>
          <w:rPr>
            <w:b w:val="0"/>
            <w:noProof/>
            <w:webHidden/>
          </w:rPr>
          <w:t>239</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46" w:history="1">
        <w:r w:rsidR="009A0C4A" w:rsidRPr="009A0C4A">
          <w:rPr>
            <w:rStyle w:val="Hyperlink"/>
            <w:b w:val="0"/>
            <w:noProof/>
          </w:rPr>
          <w:t>Quadro 40 - Valores médios dos índices de atendimento para o Município de AIMORÉS, Belo Horizonte, Minas Gerais, Região Sudeste e Brasil em 2010 e 2011.</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_Toc372740546 \h </w:instrText>
        </w:r>
        <w:r w:rsidR="00B16C6C" w:rsidRPr="009A0C4A">
          <w:rPr>
            <w:b w:val="0"/>
            <w:noProof/>
            <w:webHidden/>
          </w:rPr>
        </w:r>
        <w:r w:rsidR="00B16C6C" w:rsidRPr="009A0C4A">
          <w:rPr>
            <w:b w:val="0"/>
            <w:noProof/>
            <w:webHidden/>
          </w:rPr>
          <w:fldChar w:fldCharType="separate"/>
        </w:r>
        <w:r>
          <w:rPr>
            <w:b w:val="0"/>
            <w:noProof/>
            <w:webHidden/>
          </w:rPr>
          <w:t>244</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47" w:history="1">
        <w:r w:rsidR="009A0C4A" w:rsidRPr="009A0C4A">
          <w:rPr>
            <w:rStyle w:val="Hyperlink"/>
            <w:b w:val="0"/>
            <w:noProof/>
          </w:rPr>
          <w:t>Quadro 41 - Domicílios particulares permanentes por forma de abastecimento de água em Aimorés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_Toc372740547 \h </w:instrText>
        </w:r>
        <w:r w:rsidR="00B16C6C" w:rsidRPr="009A0C4A">
          <w:rPr>
            <w:b w:val="0"/>
            <w:noProof/>
            <w:webHidden/>
          </w:rPr>
        </w:r>
        <w:r w:rsidR="00B16C6C" w:rsidRPr="009A0C4A">
          <w:rPr>
            <w:b w:val="0"/>
            <w:noProof/>
            <w:webHidden/>
          </w:rPr>
          <w:fldChar w:fldCharType="separate"/>
        </w:r>
        <w:r>
          <w:rPr>
            <w:b w:val="0"/>
            <w:noProof/>
            <w:webHidden/>
          </w:rPr>
          <w:t>245</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48" w:history="1">
        <w:r w:rsidR="009A0C4A" w:rsidRPr="009A0C4A">
          <w:rPr>
            <w:rStyle w:val="Hyperlink"/>
            <w:b w:val="0"/>
            <w:noProof/>
          </w:rPr>
          <w:t>Quadro 42 - Moradores em domicílios particulares permanentes por forma de abastecimento de água em Aimorés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_Toc372740548 \h </w:instrText>
        </w:r>
        <w:r w:rsidR="00B16C6C" w:rsidRPr="009A0C4A">
          <w:rPr>
            <w:b w:val="0"/>
            <w:noProof/>
            <w:webHidden/>
          </w:rPr>
        </w:r>
        <w:r w:rsidR="00B16C6C" w:rsidRPr="009A0C4A">
          <w:rPr>
            <w:b w:val="0"/>
            <w:noProof/>
            <w:webHidden/>
          </w:rPr>
          <w:fldChar w:fldCharType="separate"/>
        </w:r>
        <w:r>
          <w:rPr>
            <w:b w:val="0"/>
            <w:noProof/>
            <w:webHidden/>
          </w:rPr>
          <w:t>245</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49" w:history="1">
        <w:r w:rsidR="009A0C4A" w:rsidRPr="009A0C4A">
          <w:rPr>
            <w:rStyle w:val="Hyperlink"/>
            <w:b w:val="0"/>
            <w:noProof/>
          </w:rPr>
          <w:t>Quadro 43 - Domicílios particulares permanentes por forma de coleta de esgoto doméstico em Aimorés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_Toc372740549 \h </w:instrText>
        </w:r>
        <w:r w:rsidR="00B16C6C" w:rsidRPr="009A0C4A">
          <w:rPr>
            <w:b w:val="0"/>
            <w:noProof/>
            <w:webHidden/>
          </w:rPr>
        </w:r>
        <w:r w:rsidR="00B16C6C" w:rsidRPr="009A0C4A">
          <w:rPr>
            <w:b w:val="0"/>
            <w:noProof/>
            <w:webHidden/>
          </w:rPr>
          <w:fldChar w:fldCharType="separate"/>
        </w:r>
        <w:r>
          <w:rPr>
            <w:b w:val="0"/>
            <w:noProof/>
            <w:webHidden/>
          </w:rPr>
          <w:t>253</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50" w:history="1">
        <w:r w:rsidR="009A0C4A" w:rsidRPr="009A0C4A">
          <w:rPr>
            <w:rStyle w:val="Hyperlink"/>
            <w:b w:val="0"/>
            <w:noProof/>
          </w:rPr>
          <w:t>Quadro 44 - Moradores em domicílios particulares permanentes por coleta de esgoto doméstico em Aimorés (2010).</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_Toc372740550 \h </w:instrText>
        </w:r>
        <w:r w:rsidR="00B16C6C" w:rsidRPr="009A0C4A">
          <w:rPr>
            <w:b w:val="0"/>
            <w:noProof/>
            <w:webHidden/>
          </w:rPr>
        </w:r>
        <w:r w:rsidR="00B16C6C" w:rsidRPr="009A0C4A">
          <w:rPr>
            <w:b w:val="0"/>
            <w:noProof/>
            <w:webHidden/>
          </w:rPr>
          <w:fldChar w:fldCharType="separate"/>
        </w:r>
        <w:r>
          <w:rPr>
            <w:b w:val="0"/>
            <w:noProof/>
            <w:webHidden/>
          </w:rPr>
          <w:t>253</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51" w:history="1">
        <w:r w:rsidR="009A0C4A" w:rsidRPr="009A0C4A">
          <w:rPr>
            <w:rStyle w:val="Hyperlink"/>
            <w:b w:val="0"/>
            <w:noProof/>
          </w:rPr>
          <w:t>Quadro 45 - Resultados para os indicadores selecionados para atendimento de serviço de esgotamento sanitário.</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_Toc372740551 \h </w:instrText>
        </w:r>
        <w:r w:rsidR="00B16C6C" w:rsidRPr="009A0C4A">
          <w:rPr>
            <w:b w:val="0"/>
            <w:noProof/>
            <w:webHidden/>
          </w:rPr>
        </w:r>
        <w:r w:rsidR="00B16C6C" w:rsidRPr="009A0C4A">
          <w:rPr>
            <w:b w:val="0"/>
            <w:noProof/>
            <w:webHidden/>
          </w:rPr>
          <w:fldChar w:fldCharType="separate"/>
        </w:r>
        <w:r>
          <w:rPr>
            <w:b w:val="0"/>
            <w:noProof/>
            <w:webHidden/>
          </w:rPr>
          <w:t>254</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52" w:history="1">
        <w:r w:rsidR="009A0C4A" w:rsidRPr="009A0C4A">
          <w:rPr>
            <w:rStyle w:val="Hyperlink"/>
            <w:b w:val="0"/>
            <w:noProof/>
          </w:rPr>
          <w:t>Quadro 46 - Número de ligações de esgoto por distrito no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_Toc372740552 \h </w:instrText>
        </w:r>
        <w:r w:rsidR="00B16C6C" w:rsidRPr="009A0C4A">
          <w:rPr>
            <w:b w:val="0"/>
            <w:noProof/>
            <w:webHidden/>
          </w:rPr>
        </w:r>
        <w:r w:rsidR="00B16C6C" w:rsidRPr="009A0C4A">
          <w:rPr>
            <w:b w:val="0"/>
            <w:noProof/>
            <w:webHidden/>
          </w:rPr>
          <w:fldChar w:fldCharType="separate"/>
        </w:r>
        <w:r>
          <w:rPr>
            <w:b w:val="0"/>
            <w:noProof/>
            <w:webHidden/>
          </w:rPr>
          <w:t>256</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53" w:history="1">
        <w:r w:rsidR="009A0C4A" w:rsidRPr="009A0C4A">
          <w:rPr>
            <w:rStyle w:val="Hyperlink"/>
            <w:b w:val="0"/>
            <w:noProof/>
          </w:rPr>
          <w:t>Quadro 47 - Rede Coletora de Esgoto do município de Aimorés em 2012.</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_Toc372740553 \h </w:instrText>
        </w:r>
        <w:r w:rsidR="00B16C6C" w:rsidRPr="009A0C4A">
          <w:rPr>
            <w:b w:val="0"/>
            <w:noProof/>
            <w:webHidden/>
          </w:rPr>
        </w:r>
        <w:r w:rsidR="00B16C6C" w:rsidRPr="009A0C4A">
          <w:rPr>
            <w:b w:val="0"/>
            <w:noProof/>
            <w:webHidden/>
          </w:rPr>
          <w:fldChar w:fldCharType="separate"/>
        </w:r>
        <w:r>
          <w:rPr>
            <w:b w:val="0"/>
            <w:noProof/>
            <w:webHidden/>
          </w:rPr>
          <w:t>257</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54" w:history="1">
        <w:r w:rsidR="009A0C4A" w:rsidRPr="009A0C4A">
          <w:rPr>
            <w:rStyle w:val="Hyperlink"/>
            <w:b w:val="0"/>
            <w:noProof/>
          </w:rPr>
          <w:t>Quadro 48 - Localização das Estações Elevatórias.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_Toc372740554 \h </w:instrText>
        </w:r>
        <w:r w:rsidR="00B16C6C" w:rsidRPr="009A0C4A">
          <w:rPr>
            <w:b w:val="0"/>
            <w:noProof/>
            <w:webHidden/>
          </w:rPr>
        </w:r>
        <w:r w:rsidR="00B16C6C" w:rsidRPr="009A0C4A">
          <w:rPr>
            <w:b w:val="0"/>
            <w:noProof/>
            <w:webHidden/>
          </w:rPr>
          <w:fldChar w:fldCharType="separate"/>
        </w:r>
        <w:r>
          <w:rPr>
            <w:b w:val="0"/>
            <w:noProof/>
            <w:webHidden/>
          </w:rPr>
          <w:t>269</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55" w:history="1">
        <w:r w:rsidR="009A0C4A" w:rsidRPr="009A0C4A">
          <w:rPr>
            <w:rStyle w:val="Hyperlink"/>
            <w:b w:val="0"/>
            <w:noProof/>
          </w:rPr>
          <w:t>Quadro 49 - Número de Economias.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_Toc372740555 \h </w:instrText>
        </w:r>
        <w:r w:rsidR="00B16C6C" w:rsidRPr="009A0C4A">
          <w:rPr>
            <w:b w:val="0"/>
            <w:noProof/>
            <w:webHidden/>
          </w:rPr>
        </w:r>
        <w:r w:rsidR="00B16C6C" w:rsidRPr="009A0C4A">
          <w:rPr>
            <w:b w:val="0"/>
            <w:noProof/>
            <w:webHidden/>
          </w:rPr>
          <w:fldChar w:fldCharType="separate"/>
        </w:r>
        <w:r>
          <w:rPr>
            <w:b w:val="0"/>
            <w:noProof/>
            <w:webHidden/>
          </w:rPr>
          <w:t>304</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56" w:history="1">
        <w:r w:rsidR="009A0C4A" w:rsidRPr="009A0C4A">
          <w:rPr>
            <w:rStyle w:val="Hyperlink"/>
            <w:b w:val="0"/>
            <w:noProof/>
          </w:rPr>
          <w:t>Quadro 50 - Volume consumido de esgoto doméstico.</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_Toc372740556 \h </w:instrText>
        </w:r>
        <w:r w:rsidR="00B16C6C" w:rsidRPr="009A0C4A">
          <w:rPr>
            <w:b w:val="0"/>
            <w:noProof/>
            <w:webHidden/>
          </w:rPr>
        </w:r>
        <w:r w:rsidR="00B16C6C" w:rsidRPr="009A0C4A">
          <w:rPr>
            <w:b w:val="0"/>
            <w:noProof/>
            <w:webHidden/>
          </w:rPr>
          <w:fldChar w:fldCharType="separate"/>
        </w:r>
        <w:r>
          <w:rPr>
            <w:b w:val="0"/>
            <w:noProof/>
            <w:webHidden/>
          </w:rPr>
          <w:t>304</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57" w:history="1">
        <w:r w:rsidR="009A0C4A" w:rsidRPr="009A0C4A">
          <w:rPr>
            <w:rStyle w:val="Hyperlink"/>
            <w:b w:val="0"/>
            <w:noProof/>
          </w:rPr>
          <w:t>Quadro 51 - Projeção da população, do consumo de água e da geração de esgoto sanitário.</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_Toc372740557 \h </w:instrText>
        </w:r>
        <w:r w:rsidR="00B16C6C" w:rsidRPr="009A0C4A">
          <w:rPr>
            <w:b w:val="0"/>
            <w:noProof/>
            <w:webHidden/>
          </w:rPr>
        </w:r>
        <w:r w:rsidR="00B16C6C" w:rsidRPr="009A0C4A">
          <w:rPr>
            <w:b w:val="0"/>
            <w:noProof/>
            <w:webHidden/>
          </w:rPr>
          <w:fldChar w:fldCharType="separate"/>
        </w:r>
        <w:r>
          <w:rPr>
            <w:b w:val="0"/>
            <w:noProof/>
            <w:webHidden/>
          </w:rPr>
          <w:t>306</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58" w:history="1">
        <w:r w:rsidR="009A0C4A" w:rsidRPr="009A0C4A">
          <w:rPr>
            <w:rStyle w:val="Hyperlink"/>
            <w:b w:val="0"/>
            <w:noProof/>
          </w:rPr>
          <w:t>Quadro 52 - Dados financeiros do SAAE.</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_Toc372740558 \h </w:instrText>
        </w:r>
        <w:r w:rsidR="00B16C6C" w:rsidRPr="009A0C4A">
          <w:rPr>
            <w:b w:val="0"/>
            <w:noProof/>
            <w:webHidden/>
          </w:rPr>
        </w:r>
        <w:r w:rsidR="00B16C6C" w:rsidRPr="009A0C4A">
          <w:rPr>
            <w:b w:val="0"/>
            <w:noProof/>
            <w:webHidden/>
          </w:rPr>
          <w:fldChar w:fldCharType="separate"/>
        </w:r>
        <w:r>
          <w:rPr>
            <w:b w:val="0"/>
            <w:noProof/>
            <w:webHidden/>
          </w:rPr>
          <w:t>307</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59" w:history="1">
        <w:r w:rsidR="009A0C4A" w:rsidRPr="009A0C4A">
          <w:rPr>
            <w:rStyle w:val="Hyperlink"/>
            <w:b w:val="0"/>
            <w:noProof/>
          </w:rPr>
          <w:t>Quadro 53 - Quadro de funcionários envolvidos na limpeza pública do município de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_Toc372740559 \h </w:instrText>
        </w:r>
        <w:r w:rsidR="00B16C6C" w:rsidRPr="009A0C4A">
          <w:rPr>
            <w:b w:val="0"/>
            <w:noProof/>
            <w:webHidden/>
          </w:rPr>
        </w:r>
        <w:r w:rsidR="00B16C6C" w:rsidRPr="009A0C4A">
          <w:rPr>
            <w:b w:val="0"/>
            <w:noProof/>
            <w:webHidden/>
          </w:rPr>
          <w:fldChar w:fldCharType="separate"/>
        </w:r>
        <w:r>
          <w:rPr>
            <w:b w:val="0"/>
            <w:noProof/>
            <w:webHidden/>
          </w:rPr>
          <w:t>324</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60" w:history="1">
        <w:r w:rsidR="009A0C4A" w:rsidRPr="009A0C4A">
          <w:rPr>
            <w:rStyle w:val="Hyperlink"/>
            <w:b w:val="0"/>
            <w:noProof/>
          </w:rPr>
          <w:t>Quadro 54 - Destino dos resíduos por domicílios particulares em Aimorés</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_Toc372740560 \h </w:instrText>
        </w:r>
        <w:r w:rsidR="00B16C6C" w:rsidRPr="009A0C4A">
          <w:rPr>
            <w:b w:val="0"/>
            <w:noProof/>
            <w:webHidden/>
          </w:rPr>
        </w:r>
        <w:r w:rsidR="00B16C6C" w:rsidRPr="009A0C4A">
          <w:rPr>
            <w:b w:val="0"/>
            <w:noProof/>
            <w:webHidden/>
          </w:rPr>
          <w:fldChar w:fldCharType="separate"/>
        </w:r>
        <w:r>
          <w:rPr>
            <w:b w:val="0"/>
            <w:noProof/>
            <w:webHidden/>
          </w:rPr>
          <w:t>327</w:t>
        </w:r>
        <w:r w:rsidR="00B16C6C" w:rsidRPr="009A0C4A">
          <w:rPr>
            <w:b w:val="0"/>
            <w:noProof/>
            <w:webHidden/>
          </w:rPr>
          <w:fldChar w:fldCharType="end"/>
        </w:r>
      </w:hyperlink>
    </w:p>
    <w:p w:rsidR="009A0C4A" w:rsidRPr="009A0C4A" w:rsidRDefault="004F77E2" w:rsidP="001D2F23">
      <w:pPr>
        <w:pStyle w:val="ndicedeilustraes"/>
        <w:tabs>
          <w:tab w:val="right" w:leader="dot" w:pos="8494"/>
        </w:tabs>
        <w:spacing w:before="60" w:after="60" w:line="360" w:lineRule="auto"/>
        <w:ind w:left="1276" w:hanging="1276"/>
        <w:rPr>
          <w:rFonts w:asciiTheme="minorHAnsi" w:eastAsiaTheme="minorEastAsia" w:hAnsiTheme="minorHAnsi"/>
          <w:b w:val="0"/>
          <w:noProof/>
          <w:sz w:val="22"/>
          <w:lang w:eastAsia="pt-BR"/>
        </w:rPr>
      </w:pPr>
      <w:hyperlink w:anchor="_Toc372740561" w:history="1">
        <w:r w:rsidR="009A0C4A" w:rsidRPr="009A0C4A">
          <w:rPr>
            <w:rStyle w:val="Hyperlink"/>
            <w:b w:val="0"/>
            <w:noProof/>
          </w:rPr>
          <w:t>Quadro 55 - Valores de Coeficiente por tipo de ocupação (adaptado: Wilken, 1978).</w:t>
        </w:r>
        <w:r w:rsidR="009A0C4A" w:rsidRPr="009A0C4A">
          <w:rPr>
            <w:b w:val="0"/>
            <w:noProof/>
            <w:webHidden/>
          </w:rPr>
          <w:tab/>
        </w:r>
        <w:r w:rsidR="00B16C6C" w:rsidRPr="009A0C4A">
          <w:rPr>
            <w:b w:val="0"/>
            <w:noProof/>
            <w:webHidden/>
          </w:rPr>
          <w:fldChar w:fldCharType="begin"/>
        </w:r>
        <w:r w:rsidR="009A0C4A" w:rsidRPr="009A0C4A">
          <w:rPr>
            <w:b w:val="0"/>
            <w:noProof/>
            <w:webHidden/>
          </w:rPr>
          <w:instrText xml:space="preserve"> PAGEREF _Toc372740561 \h </w:instrText>
        </w:r>
        <w:r w:rsidR="00B16C6C" w:rsidRPr="009A0C4A">
          <w:rPr>
            <w:b w:val="0"/>
            <w:noProof/>
            <w:webHidden/>
          </w:rPr>
        </w:r>
        <w:r w:rsidR="00B16C6C" w:rsidRPr="009A0C4A">
          <w:rPr>
            <w:b w:val="0"/>
            <w:noProof/>
            <w:webHidden/>
          </w:rPr>
          <w:fldChar w:fldCharType="separate"/>
        </w:r>
        <w:r>
          <w:rPr>
            <w:b w:val="0"/>
            <w:noProof/>
            <w:webHidden/>
          </w:rPr>
          <w:t>370</w:t>
        </w:r>
        <w:r w:rsidR="00B16C6C" w:rsidRPr="009A0C4A">
          <w:rPr>
            <w:b w:val="0"/>
            <w:noProof/>
            <w:webHidden/>
          </w:rPr>
          <w:fldChar w:fldCharType="end"/>
        </w:r>
      </w:hyperlink>
    </w:p>
    <w:p w:rsidR="00B02273" w:rsidRPr="009A0C4A" w:rsidRDefault="00B16C6C" w:rsidP="006B06F3">
      <w:pPr>
        <w:spacing w:before="60" w:after="60" w:line="240" w:lineRule="auto"/>
      </w:pPr>
      <w:r w:rsidRPr="009A0C4A">
        <w:fldChar w:fldCharType="end"/>
      </w:r>
    </w:p>
    <w:p w:rsidR="00B02273" w:rsidRDefault="00B02273">
      <w:pPr>
        <w:spacing w:after="200" w:line="276" w:lineRule="auto"/>
        <w:rPr>
          <w:rFonts w:cs="Times New Roman"/>
          <w:b/>
          <w:szCs w:val="32"/>
        </w:rPr>
      </w:pPr>
      <w:r>
        <w:br w:type="page"/>
      </w:r>
    </w:p>
    <w:p w:rsidR="00011AF5" w:rsidRDefault="00011AF5" w:rsidP="00347E31">
      <w:pPr>
        <w:pStyle w:val="TituloPrincipal"/>
        <w:spacing w:after="360" w:line="240" w:lineRule="auto"/>
        <w:rPr>
          <w:sz w:val="32"/>
        </w:rPr>
      </w:pPr>
      <w:r w:rsidRPr="00E90E6C">
        <w:lastRenderedPageBreak/>
        <w:t>LISTA DE ABREVIATURA E SIGLAS</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BID -</w:t>
      </w:r>
      <w:r>
        <w:rPr>
          <w:rFonts w:ascii="Times New Roman" w:hAnsi="Times New Roman" w:cs="Times New Roman"/>
        </w:rPr>
        <w:t xml:space="preserve"> </w:t>
      </w:r>
      <w:r w:rsidRPr="00E4383F">
        <w:rPr>
          <w:rFonts w:ascii="Times New Roman" w:hAnsi="Times New Roman" w:cs="Times New Roman"/>
        </w:rPr>
        <w:t>Banco Interamericano de Desenvolvimento</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BPC -</w:t>
      </w:r>
      <w:r>
        <w:rPr>
          <w:rFonts w:ascii="Times New Roman" w:hAnsi="Times New Roman" w:cs="Times New Roman"/>
        </w:rPr>
        <w:t xml:space="preserve"> </w:t>
      </w:r>
      <w:r w:rsidRPr="00E4383F">
        <w:rPr>
          <w:rFonts w:ascii="Times New Roman" w:hAnsi="Times New Roman" w:cs="Times New Roman"/>
        </w:rPr>
        <w:t xml:space="preserve">Benefício de Prestação Continuada </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CDP -</w:t>
      </w:r>
      <w:r>
        <w:rPr>
          <w:rFonts w:ascii="Times New Roman" w:hAnsi="Times New Roman" w:cs="Times New Roman"/>
        </w:rPr>
        <w:t xml:space="preserve"> </w:t>
      </w:r>
      <w:r w:rsidRPr="00E4383F">
        <w:rPr>
          <w:rFonts w:ascii="Times New Roman" w:hAnsi="Times New Roman" w:cs="Times New Roman"/>
        </w:rPr>
        <w:t xml:space="preserve">Condicionantes, Deficiências e Potencialidades </w:t>
      </w:r>
    </w:p>
    <w:p w:rsidR="00DF5192" w:rsidRPr="00E4383F" w:rsidRDefault="00DF5192" w:rsidP="00DF5192">
      <w:pPr>
        <w:pStyle w:val="CM76"/>
        <w:spacing w:line="360" w:lineRule="auto"/>
        <w:ind w:left="567" w:hanging="567"/>
        <w:rPr>
          <w:rFonts w:ascii="Times New Roman" w:hAnsi="Times New Roman" w:cs="Times New Roman"/>
        </w:rPr>
      </w:pPr>
      <w:r w:rsidRPr="00E4383F">
        <w:rPr>
          <w:rFonts w:ascii="Times New Roman" w:hAnsi="Times New Roman" w:cs="Times New Roman"/>
        </w:rPr>
        <w:t>CID -</w:t>
      </w:r>
      <w:r>
        <w:rPr>
          <w:rFonts w:ascii="Times New Roman" w:hAnsi="Times New Roman" w:cs="Times New Roman"/>
        </w:rPr>
        <w:t xml:space="preserve"> </w:t>
      </w:r>
      <w:r w:rsidRPr="00E4383F">
        <w:rPr>
          <w:rFonts w:ascii="Times New Roman" w:hAnsi="Times New Roman" w:cs="Times New Roman"/>
        </w:rPr>
        <w:t xml:space="preserve">Classificação Estatística Internacional de Doenças e Problemas Relacionados à Saúde </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CNUC -</w:t>
      </w:r>
      <w:r>
        <w:rPr>
          <w:rFonts w:ascii="Times New Roman" w:hAnsi="Times New Roman" w:cs="Times New Roman"/>
        </w:rPr>
        <w:t xml:space="preserve"> </w:t>
      </w:r>
      <w:r w:rsidRPr="00E4383F">
        <w:rPr>
          <w:rFonts w:ascii="Times New Roman" w:hAnsi="Times New Roman" w:cs="Times New Roman"/>
        </w:rPr>
        <w:t xml:space="preserve">Cadastro Nacional de Unidades de Conservação </w:t>
      </w:r>
    </w:p>
    <w:p w:rsidR="00DF5192"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CPRM -</w:t>
      </w:r>
      <w:r>
        <w:rPr>
          <w:rFonts w:ascii="Times New Roman" w:hAnsi="Times New Roman" w:cs="Times New Roman"/>
        </w:rPr>
        <w:t xml:space="preserve"> </w:t>
      </w:r>
      <w:r w:rsidRPr="00E4383F">
        <w:rPr>
          <w:rFonts w:ascii="Times New Roman" w:hAnsi="Times New Roman" w:cs="Times New Roman"/>
        </w:rPr>
        <w:t>Serviço Geológico do Brasil / Companhia de Pesquisa de Recursos Minerais CRAS -</w:t>
      </w:r>
      <w:r>
        <w:rPr>
          <w:rFonts w:ascii="Times New Roman" w:hAnsi="Times New Roman" w:cs="Times New Roman"/>
        </w:rPr>
        <w:t xml:space="preserve"> </w:t>
      </w:r>
      <w:r w:rsidRPr="00E4383F">
        <w:rPr>
          <w:rFonts w:ascii="Times New Roman" w:hAnsi="Times New Roman" w:cs="Times New Roman"/>
        </w:rPr>
        <w:t xml:space="preserve">Centro de Referência da Assistência Social </w:t>
      </w:r>
    </w:p>
    <w:p w:rsidR="00DF5192" w:rsidRDefault="00DF5192" w:rsidP="00DF5192">
      <w:pPr>
        <w:rPr>
          <w:rFonts w:cs="Times New Roman"/>
          <w:szCs w:val="24"/>
        </w:rPr>
      </w:pPr>
      <w:r>
        <w:rPr>
          <w:rFonts w:cs="Times New Roman"/>
          <w:szCs w:val="24"/>
        </w:rPr>
        <w:t>CREA</w:t>
      </w:r>
      <w:r w:rsidRPr="00E4383F">
        <w:rPr>
          <w:rFonts w:cs="Times New Roman"/>
          <w:szCs w:val="24"/>
        </w:rPr>
        <w:t xml:space="preserve"> </w:t>
      </w:r>
      <w:r>
        <w:rPr>
          <w:rFonts w:cs="Times New Roman"/>
          <w:szCs w:val="24"/>
        </w:rPr>
        <w:t>–</w:t>
      </w:r>
      <w:r>
        <w:rPr>
          <w:rFonts w:cs="Times New Roman"/>
        </w:rPr>
        <w:t xml:space="preserve"> </w:t>
      </w:r>
      <w:r>
        <w:rPr>
          <w:rFonts w:cs="Times New Roman"/>
          <w:szCs w:val="24"/>
        </w:rPr>
        <w:t>Conselho Regional de Engenharia e Agronomia</w:t>
      </w:r>
    </w:p>
    <w:p w:rsidR="00DF5192" w:rsidRPr="00E4383F" w:rsidRDefault="00DF5192" w:rsidP="00DF5192">
      <w:pPr>
        <w:rPr>
          <w:lang w:eastAsia="pt-BR"/>
        </w:rPr>
      </w:pPr>
      <w:r>
        <w:rPr>
          <w:rFonts w:cs="Times New Roman"/>
          <w:szCs w:val="24"/>
        </w:rPr>
        <w:t>CREAS</w:t>
      </w:r>
      <w:r w:rsidRPr="00E4383F">
        <w:rPr>
          <w:rFonts w:cs="Times New Roman"/>
          <w:szCs w:val="24"/>
        </w:rPr>
        <w:t xml:space="preserve"> </w:t>
      </w:r>
      <w:r>
        <w:rPr>
          <w:rFonts w:cs="Times New Roman"/>
          <w:szCs w:val="24"/>
        </w:rPr>
        <w:t>–</w:t>
      </w:r>
      <w:r>
        <w:rPr>
          <w:rFonts w:cs="Times New Roman"/>
        </w:rPr>
        <w:t xml:space="preserve"> </w:t>
      </w:r>
      <w:r>
        <w:rPr>
          <w:rFonts w:cs="Times New Roman"/>
          <w:szCs w:val="24"/>
        </w:rPr>
        <w:t>Centro de Referência Especializado de Assistência Social</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DANT -</w:t>
      </w:r>
      <w:r>
        <w:rPr>
          <w:rFonts w:ascii="Times New Roman" w:hAnsi="Times New Roman" w:cs="Times New Roman"/>
        </w:rPr>
        <w:t xml:space="preserve"> </w:t>
      </w:r>
      <w:r w:rsidRPr="00E4383F">
        <w:rPr>
          <w:rFonts w:ascii="Times New Roman" w:hAnsi="Times New Roman" w:cs="Times New Roman"/>
        </w:rPr>
        <w:t xml:space="preserve">Doenças e Agravos Não Transmissíveis </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 xml:space="preserve">DATASUS -Departamento de Informática do Sistema Único de Saúde </w:t>
      </w:r>
    </w:p>
    <w:p w:rsidR="00DF5192" w:rsidRPr="00E4383F" w:rsidRDefault="00DF5192" w:rsidP="00DF5192">
      <w:pPr>
        <w:pStyle w:val="CM76"/>
        <w:spacing w:line="360" w:lineRule="auto"/>
        <w:ind w:left="993" w:hanging="993"/>
        <w:rPr>
          <w:rFonts w:ascii="Times New Roman" w:hAnsi="Times New Roman" w:cs="Times New Roman"/>
        </w:rPr>
      </w:pPr>
      <w:r w:rsidRPr="00E4383F">
        <w:rPr>
          <w:rFonts w:ascii="Times New Roman" w:hAnsi="Times New Roman" w:cs="Times New Roman"/>
        </w:rPr>
        <w:t xml:space="preserve">DRSAI -Doenças relacionadas ao saneamento ambiental inadequado </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EFVM -</w:t>
      </w:r>
      <w:r>
        <w:rPr>
          <w:rFonts w:ascii="Times New Roman" w:hAnsi="Times New Roman" w:cs="Times New Roman"/>
        </w:rPr>
        <w:t xml:space="preserve"> </w:t>
      </w:r>
      <w:r w:rsidRPr="00E4383F">
        <w:rPr>
          <w:rFonts w:ascii="Times New Roman" w:hAnsi="Times New Roman" w:cs="Times New Roman"/>
        </w:rPr>
        <w:t xml:space="preserve">Estrada de Ferro Vitória a Minas </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EMBRAPA -</w:t>
      </w:r>
      <w:r>
        <w:rPr>
          <w:rFonts w:ascii="Times New Roman" w:hAnsi="Times New Roman" w:cs="Times New Roman"/>
        </w:rPr>
        <w:t xml:space="preserve"> </w:t>
      </w:r>
      <w:r w:rsidRPr="00E4383F">
        <w:rPr>
          <w:rFonts w:ascii="Times New Roman" w:hAnsi="Times New Roman" w:cs="Times New Roman"/>
        </w:rPr>
        <w:t>Empresa Brasileira de Pesquisa Agropecuária</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ETA -</w:t>
      </w:r>
      <w:r>
        <w:rPr>
          <w:rFonts w:ascii="Times New Roman" w:hAnsi="Times New Roman" w:cs="Times New Roman"/>
        </w:rPr>
        <w:t xml:space="preserve"> </w:t>
      </w:r>
      <w:r w:rsidRPr="00E4383F">
        <w:rPr>
          <w:rFonts w:ascii="Times New Roman" w:hAnsi="Times New Roman" w:cs="Times New Roman"/>
        </w:rPr>
        <w:t xml:space="preserve">Estação de Tratamento de água </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ETE -</w:t>
      </w:r>
      <w:r>
        <w:rPr>
          <w:rFonts w:ascii="Times New Roman" w:hAnsi="Times New Roman" w:cs="Times New Roman"/>
        </w:rPr>
        <w:t xml:space="preserve"> </w:t>
      </w:r>
      <w:r w:rsidRPr="00E4383F">
        <w:rPr>
          <w:rFonts w:ascii="Times New Roman" w:hAnsi="Times New Roman" w:cs="Times New Roman"/>
        </w:rPr>
        <w:t xml:space="preserve">Estações de Tratamento de Esgotos </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FEAM -</w:t>
      </w:r>
      <w:r>
        <w:rPr>
          <w:rFonts w:ascii="Times New Roman" w:hAnsi="Times New Roman" w:cs="Times New Roman"/>
        </w:rPr>
        <w:t xml:space="preserve"> </w:t>
      </w:r>
      <w:r w:rsidRPr="00E4383F">
        <w:rPr>
          <w:rFonts w:ascii="Times New Roman" w:hAnsi="Times New Roman" w:cs="Times New Roman"/>
        </w:rPr>
        <w:t xml:space="preserve">Fundação Estadual do Meio Ambiente/MG </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FJP -</w:t>
      </w:r>
      <w:r>
        <w:rPr>
          <w:rFonts w:ascii="Times New Roman" w:hAnsi="Times New Roman" w:cs="Times New Roman"/>
        </w:rPr>
        <w:t xml:space="preserve"> </w:t>
      </w:r>
      <w:r w:rsidRPr="00E4383F">
        <w:rPr>
          <w:rFonts w:ascii="Times New Roman" w:hAnsi="Times New Roman" w:cs="Times New Roman"/>
        </w:rPr>
        <w:t xml:space="preserve">Fundação João Pinheiro </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FPM -</w:t>
      </w:r>
      <w:r>
        <w:rPr>
          <w:rFonts w:ascii="Times New Roman" w:hAnsi="Times New Roman" w:cs="Times New Roman"/>
        </w:rPr>
        <w:t xml:space="preserve"> </w:t>
      </w:r>
      <w:r w:rsidRPr="00E4383F">
        <w:rPr>
          <w:rFonts w:ascii="Times New Roman" w:hAnsi="Times New Roman" w:cs="Times New Roman"/>
        </w:rPr>
        <w:t xml:space="preserve">Fundo de Participação dos Municípios </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IBAMA -</w:t>
      </w:r>
      <w:r>
        <w:rPr>
          <w:rFonts w:ascii="Times New Roman" w:hAnsi="Times New Roman" w:cs="Times New Roman"/>
        </w:rPr>
        <w:t xml:space="preserve"> </w:t>
      </w:r>
      <w:r w:rsidRPr="00E4383F">
        <w:rPr>
          <w:rFonts w:ascii="Times New Roman" w:hAnsi="Times New Roman" w:cs="Times New Roman"/>
        </w:rPr>
        <w:t>Instituto Brasileiro do Meio Ambiente e dos Recursos Naturais Renováveis IBGE -</w:t>
      </w:r>
      <w:r>
        <w:rPr>
          <w:rFonts w:ascii="Times New Roman" w:hAnsi="Times New Roman" w:cs="Times New Roman"/>
        </w:rPr>
        <w:t xml:space="preserve"> </w:t>
      </w:r>
      <w:r w:rsidRPr="00E4383F">
        <w:rPr>
          <w:rFonts w:ascii="Times New Roman" w:hAnsi="Times New Roman" w:cs="Times New Roman"/>
        </w:rPr>
        <w:t xml:space="preserve">Instituto Brasileiro de Geografia e Estatística </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IC -</w:t>
      </w:r>
      <w:r>
        <w:rPr>
          <w:rFonts w:ascii="Times New Roman" w:hAnsi="Times New Roman" w:cs="Times New Roman"/>
        </w:rPr>
        <w:t xml:space="preserve"> </w:t>
      </w:r>
      <w:r w:rsidRPr="00E4383F">
        <w:rPr>
          <w:rFonts w:ascii="Times New Roman" w:hAnsi="Times New Roman" w:cs="Times New Roman"/>
        </w:rPr>
        <w:t xml:space="preserve">Índice de Conservação </w:t>
      </w:r>
    </w:p>
    <w:p w:rsidR="00DF5192" w:rsidRPr="00E4383F" w:rsidRDefault="00DF5192" w:rsidP="00DF5192">
      <w:pPr>
        <w:pStyle w:val="CM76"/>
        <w:spacing w:line="360" w:lineRule="auto"/>
        <w:rPr>
          <w:rFonts w:ascii="Times New Roman" w:hAnsi="Times New Roman" w:cs="Times New Roman"/>
        </w:rPr>
      </w:pPr>
      <w:r w:rsidRPr="00E4383F">
        <w:rPr>
          <w:rFonts w:ascii="Times New Roman" w:hAnsi="Times New Roman" w:cs="Times New Roman"/>
        </w:rPr>
        <w:t>ICMBio -</w:t>
      </w:r>
      <w:r>
        <w:rPr>
          <w:rFonts w:ascii="Times New Roman" w:hAnsi="Times New Roman" w:cs="Times New Roman"/>
        </w:rPr>
        <w:t xml:space="preserve"> </w:t>
      </w:r>
      <w:r w:rsidRPr="00E4383F">
        <w:rPr>
          <w:rFonts w:ascii="Times New Roman" w:hAnsi="Times New Roman" w:cs="Times New Roman"/>
        </w:rPr>
        <w:t xml:space="preserve">Instituto Chico Mendes de Conservação da Biodiversidade </w:t>
      </w:r>
    </w:p>
    <w:p w:rsidR="00DF5192" w:rsidRPr="00E4383F" w:rsidRDefault="00DF5192" w:rsidP="00DF5192">
      <w:pPr>
        <w:spacing w:after="0" w:line="360" w:lineRule="auto"/>
        <w:ind w:left="851" w:hanging="851"/>
        <w:rPr>
          <w:rFonts w:cs="Times New Roman"/>
          <w:szCs w:val="24"/>
        </w:rPr>
      </w:pPr>
      <w:r w:rsidRPr="00E4383F">
        <w:rPr>
          <w:rFonts w:cs="Times New Roman"/>
          <w:szCs w:val="24"/>
        </w:rPr>
        <w:t>ICMS -</w:t>
      </w:r>
      <w:r>
        <w:rPr>
          <w:rFonts w:cs="Times New Roman"/>
          <w:szCs w:val="24"/>
        </w:rPr>
        <w:t xml:space="preserve">  </w:t>
      </w:r>
      <w:r w:rsidRPr="00E4383F">
        <w:rPr>
          <w:rFonts w:cs="Times New Roman"/>
          <w:szCs w:val="24"/>
        </w:rPr>
        <w:t xml:space="preserve">Imposto sobre operações relativas à circulação de mercadorias e sobre prestações de serviços de transporte interestadual, intermunicipal e de comunicação IDEB -Índice de Desenvolvimento da Educação Básica </w:t>
      </w:r>
    </w:p>
    <w:p w:rsidR="00DF5192" w:rsidRPr="00E4383F" w:rsidRDefault="00DF5192" w:rsidP="00DF5192">
      <w:pPr>
        <w:spacing w:after="0" w:line="360" w:lineRule="auto"/>
        <w:rPr>
          <w:rFonts w:cs="Times New Roman"/>
          <w:szCs w:val="24"/>
        </w:rPr>
      </w:pPr>
      <w:r w:rsidRPr="00E4383F">
        <w:rPr>
          <w:rFonts w:cs="Times New Roman"/>
          <w:szCs w:val="24"/>
        </w:rPr>
        <w:t>IDH -</w:t>
      </w:r>
      <w:r>
        <w:rPr>
          <w:rFonts w:cs="Times New Roman"/>
          <w:szCs w:val="24"/>
        </w:rPr>
        <w:t xml:space="preserve"> </w:t>
      </w:r>
      <w:r w:rsidRPr="00E4383F">
        <w:rPr>
          <w:rFonts w:cs="Times New Roman"/>
          <w:szCs w:val="24"/>
        </w:rPr>
        <w:t xml:space="preserve">Índice de Desenvolvimento Humano </w:t>
      </w:r>
    </w:p>
    <w:p w:rsidR="00DF5192" w:rsidRPr="00E4383F" w:rsidRDefault="00DF5192" w:rsidP="00DF5192">
      <w:pPr>
        <w:spacing w:after="0" w:line="360" w:lineRule="auto"/>
        <w:rPr>
          <w:rFonts w:cs="Times New Roman"/>
          <w:szCs w:val="24"/>
        </w:rPr>
      </w:pPr>
      <w:r w:rsidRPr="00E4383F">
        <w:rPr>
          <w:rFonts w:cs="Times New Roman"/>
          <w:szCs w:val="24"/>
        </w:rPr>
        <w:t>IEF -</w:t>
      </w:r>
      <w:r>
        <w:rPr>
          <w:rFonts w:cs="Times New Roman"/>
          <w:szCs w:val="24"/>
        </w:rPr>
        <w:t xml:space="preserve"> </w:t>
      </w:r>
      <w:r w:rsidRPr="00E4383F">
        <w:rPr>
          <w:rFonts w:cs="Times New Roman"/>
          <w:szCs w:val="24"/>
        </w:rPr>
        <w:t xml:space="preserve">Instituto Estadual de Florestas </w:t>
      </w:r>
    </w:p>
    <w:p w:rsidR="00DF5192" w:rsidRPr="00E4383F" w:rsidRDefault="00DF5192" w:rsidP="00DF5192">
      <w:pPr>
        <w:spacing w:after="0" w:line="360" w:lineRule="auto"/>
        <w:rPr>
          <w:rFonts w:cs="Times New Roman"/>
          <w:szCs w:val="24"/>
        </w:rPr>
      </w:pPr>
      <w:r w:rsidRPr="00E4383F">
        <w:rPr>
          <w:rFonts w:cs="Times New Roman"/>
          <w:szCs w:val="24"/>
        </w:rPr>
        <w:t>IEPHA -</w:t>
      </w:r>
      <w:r>
        <w:rPr>
          <w:rFonts w:cs="Times New Roman"/>
          <w:szCs w:val="24"/>
        </w:rPr>
        <w:t xml:space="preserve"> </w:t>
      </w:r>
      <w:r w:rsidRPr="00E4383F">
        <w:rPr>
          <w:rFonts w:cs="Times New Roman"/>
          <w:szCs w:val="24"/>
        </w:rPr>
        <w:t>Instituto Estadual do Patrimônio Histórico e Artístico de Minas gerais</w:t>
      </w:r>
    </w:p>
    <w:p w:rsidR="00DF5192" w:rsidRPr="00E4383F" w:rsidRDefault="00DF5192" w:rsidP="00DF5192">
      <w:pPr>
        <w:spacing w:after="0" w:line="360" w:lineRule="auto"/>
        <w:rPr>
          <w:rFonts w:cs="Times New Roman"/>
          <w:szCs w:val="24"/>
        </w:rPr>
      </w:pPr>
      <w:r w:rsidRPr="00E4383F">
        <w:rPr>
          <w:rFonts w:cs="Times New Roman"/>
          <w:szCs w:val="24"/>
        </w:rPr>
        <w:lastRenderedPageBreak/>
        <w:t>IGAM -</w:t>
      </w:r>
      <w:r>
        <w:rPr>
          <w:rFonts w:cs="Times New Roman"/>
          <w:szCs w:val="24"/>
        </w:rPr>
        <w:t xml:space="preserve"> </w:t>
      </w:r>
      <w:r w:rsidRPr="00E4383F">
        <w:rPr>
          <w:rFonts w:cs="Times New Roman"/>
          <w:szCs w:val="24"/>
        </w:rPr>
        <w:t xml:space="preserve">Instituto Mineiro de Gestão das Águas </w:t>
      </w:r>
    </w:p>
    <w:p w:rsidR="00DF5192" w:rsidRDefault="00DF5192" w:rsidP="00DF5192">
      <w:pPr>
        <w:spacing w:after="0" w:line="360" w:lineRule="auto"/>
        <w:rPr>
          <w:rFonts w:cs="Times New Roman"/>
          <w:szCs w:val="24"/>
        </w:rPr>
      </w:pPr>
      <w:r w:rsidRPr="00E4383F">
        <w:rPr>
          <w:rFonts w:cs="Times New Roman"/>
          <w:szCs w:val="24"/>
        </w:rPr>
        <w:t>IH -</w:t>
      </w:r>
      <w:r>
        <w:rPr>
          <w:rFonts w:cs="Times New Roman"/>
          <w:szCs w:val="24"/>
        </w:rPr>
        <w:t xml:space="preserve"> </w:t>
      </w:r>
      <w:r w:rsidRPr="00E4383F">
        <w:rPr>
          <w:rFonts w:cs="Times New Roman"/>
          <w:szCs w:val="24"/>
        </w:rPr>
        <w:t xml:space="preserve">Índice de Hidrometração </w:t>
      </w:r>
    </w:p>
    <w:p w:rsidR="00DF5192" w:rsidRPr="00E4383F" w:rsidRDefault="00DF5192" w:rsidP="00DF5192">
      <w:pPr>
        <w:spacing w:after="0" w:line="360" w:lineRule="auto"/>
        <w:rPr>
          <w:rFonts w:cs="Times New Roman"/>
          <w:szCs w:val="24"/>
        </w:rPr>
      </w:pPr>
      <w:r w:rsidRPr="00E4383F">
        <w:rPr>
          <w:rFonts w:cs="Times New Roman"/>
          <w:szCs w:val="24"/>
        </w:rPr>
        <w:t>INEP -</w:t>
      </w:r>
      <w:r>
        <w:rPr>
          <w:rFonts w:cs="Times New Roman"/>
          <w:szCs w:val="24"/>
        </w:rPr>
        <w:t xml:space="preserve"> </w:t>
      </w:r>
      <w:r w:rsidRPr="00E4383F">
        <w:rPr>
          <w:rFonts w:cs="Times New Roman"/>
          <w:szCs w:val="24"/>
        </w:rPr>
        <w:t xml:space="preserve">Instituto Nacional de Estudos E Pesquisa </w:t>
      </w:r>
    </w:p>
    <w:p w:rsidR="00DF5192" w:rsidRPr="00E4383F" w:rsidRDefault="00DF5192" w:rsidP="00DF5192">
      <w:pPr>
        <w:spacing w:after="0" w:line="360" w:lineRule="auto"/>
        <w:rPr>
          <w:rFonts w:cs="Times New Roman"/>
          <w:szCs w:val="24"/>
        </w:rPr>
      </w:pPr>
      <w:r w:rsidRPr="00E4383F">
        <w:rPr>
          <w:rFonts w:cs="Times New Roman"/>
          <w:szCs w:val="24"/>
        </w:rPr>
        <w:t>IPCA -</w:t>
      </w:r>
      <w:r>
        <w:rPr>
          <w:rFonts w:cs="Times New Roman"/>
          <w:szCs w:val="24"/>
        </w:rPr>
        <w:t xml:space="preserve"> </w:t>
      </w:r>
      <w:r w:rsidRPr="00E4383F">
        <w:rPr>
          <w:rFonts w:cs="Times New Roman"/>
          <w:szCs w:val="24"/>
        </w:rPr>
        <w:t xml:space="preserve">Índice de Preços ao Consumidor Amplo </w:t>
      </w:r>
    </w:p>
    <w:p w:rsidR="00DF5192" w:rsidRPr="00E4383F" w:rsidRDefault="00DF5192" w:rsidP="00DF5192">
      <w:pPr>
        <w:spacing w:after="0" w:line="360" w:lineRule="auto"/>
        <w:rPr>
          <w:rFonts w:cs="Times New Roman"/>
          <w:szCs w:val="24"/>
        </w:rPr>
      </w:pPr>
      <w:r w:rsidRPr="00E4383F">
        <w:rPr>
          <w:rFonts w:cs="Times New Roman"/>
          <w:szCs w:val="24"/>
        </w:rPr>
        <w:t>IPEA -</w:t>
      </w:r>
      <w:r>
        <w:rPr>
          <w:rFonts w:cs="Times New Roman"/>
          <w:szCs w:val="24"/>
        </w:rPr>
        <w:t xml:space="preserve"> </w:t>
      </w:r>
      <w:r w:rsidRPr="00E4383F">
        <w:rPr>
          <w:rFonts w:cs="Times New Roman"/>
          <w:szCs w:val="24"/>
        </w:rPr>
        <w:t xml:space="preserve">Instituto de Pesquisa Econômica Aplicada </w:t>
      </w:r>
    </w:p>
    <w:p w:rsidR="00DF5192" w:rsidRPr="00E4383F" w:rsidRDefault="00DF5192" w:rsidP="00DF5192">
      <w:pPr>
        <w:spacing w:after="0" w:line="360" w:lineRule="auto"/>
        <w:rPr>
          <w:rFonts w:cs="Times New Roman"/>
          <w:szCs w:val="24"/>
        </w:rPr>
      </w:pPr>
      <w:r w:rsidRPr="00E4383F">
        <w:rPr>
          <w:rFonts w:cs="Times New Roman"/>
          <w:szCs w:val="24"/>
        </w:rPr>
        <w:t>IPHAN -</w:t>
      </w:r>
      <w:r>
        <w:rPr>
          <w:rFonts w:cs="Times New Roman"/>
          <w:szCs w:val="24"/>
        </w:rPr>
        <w:t xml:space="preserve"> </w:t>
      </w:r>
      <w:r w:rsidRPr="00E4383F">
        <w:rPr>
          <w:rFonts w:cs="Times New Roman"/>
          <w:szCs w:val="24"/>
        </w:rPr>
        <w:t xml:space="preserve">Instituto do Patrimônio Histórico e Artístico Nacional </w:t>
      </w:r>
    </w:p>
    <w:p w:rsidR="00DF5192" w:rsidRPr="00E4383F" w:rsidRDefault="00DF5192" w:rsidP="00DF5192">
      <w:pPr>
        <w:spacing w:after="0" w:line="360" w:lineRule="auto"/>
        <w:rPr>
          <w:rFonts w:cs="Times New Roman"/>
          <w:szCs w:val="24"/>
        </w:rPr>
      </w:pPr>
      <w:r w:rsidRPr="00E4383F">
        <w:rPr>
          <w:rFonts w:cs="Times New Roman"/>
          <w:szCs w:val="24"/>
        </w:rPr>
        <w:t>IRS -</w:t>
      </w:r>
      <w:r>
        <w:rPr>
          <w:rFonts w:cs="Times New Roman"/>
          <w:szCs w:val="24"/>
        </w:rPr>
        <w:t xml:space="preserve"> </w:t>
      </w:r>
      <w:r w:rsidRPr="00E4383F">
        <w:rPr>
          <w:rFonts w:cs="Times New Roman"/>
          <w:szCs w:val="24"/>
        </w:rPr>
        <w:t>Índice de Responsabilidade Social</w:t>
      </w:r>
    </w:p>
    <w:p w:rsidR="00DF5192" w:rsidRPr="00E4383F" w:rsidRDefault="00DF5192" w:rsidP="00DF5192">
      <w:pPr>
        <w:spacing w:after="0" w:line="360" w:lineRule="auto"/>
        <w:rPr>
          <w:rFonts w:cs="Times New Roman"/>
          <w:szCs w:val="24"/>
        </w:rPr>
      </w:pPr>
      <w:r w:rsidRPr="00E4383F">
        <w:rPr>
          <w:rFonts w:cs="Times New Roman"/>
          <w:szCs w:val="24"/>
        </w:rPr>
        <w:t>ISA -</w:t>
      </w:r>
      <w:r>
        <w:rPr>
          <w:rFonts w:cs="Times New Roman"/>
          <w:szCs w:val="24"/>
        </w:rPr>
        <w:t xml:space="preserve"> </w:t>
      </w:r>
      <w:r w:rsidRPr="00E4383F">
        <w:rPr>
          <w:rFonts w:cs="Times New Roman"/>
          <w:szCs w:val="24"/>
        </w:rPr>
        <w:t xml:space="preserve">Índice de Saneamento Ambiental </w:t>
      </w:r>
    </w:p>
    <w:p w:rsidR="00DF5192" w:rsidRPr="00E4383F" w:rsidRDefault="00DF5192" w:rsidP="00DF5192">
      <w:pPr>
        <w:spacing w:after="0" w:line="360" w:lineRule="auto"/>
        <w:rPr>
          <w:rFonts w:cs="Times New Roman"/>
          <w:szCs w:val="24"/>
        </w:rPr>
      </w:pPr>
      <w:r w:rsidRPr="00E4383F">
        <w:rPr>
          <w:rFonts w:cs="Times New Roman"/>
          <w:szCs w:val="24"/>
        </w:rPr>
        <w:t>MDS -</w:t>
      </w:r>
      <w:r>
        <w:rPr>
          <w:rFonts w:cs="Times New Roman"/>
          <w:szCs w:val="24"/>
        </w:rPr>
        <w:t xml:space="preserve"> </w:t>
      </w:r>
      <w:r w:rsidRPr="00E4383F">
        <w:rPr>
          <w:rFonts w:cs="Times New Roman"/>
          <w:szCs w:val="24"/>
        </w:rPr>
        <w:t xml:space="preserve">Ministério do Desenvolvimento Social e Combate à Fome </w:t>
      </w:r>
    </w:p>
    <w:p w:rsidR="00DF5192" w:rsidRPr="00E4383F" w:rsidRDefault="00DF5192" w:rsidP="00DF5192">
      <w:pPr>
        <w:spacing w:after="0" w:line="360" w:lineRule="auto"/>
        <w:rPr>
          <w:rFonts w:cs="Times New Roman"/>
          <w:szCs w:val="24"/>
        </w:rPr>
      </w:pPr>
      <w:r w:rsidRPr="00E4383F">
        <w:rPr>
          <w:rFonts w:cs="Times New Roman"/>
          <w:szCs w:val="24"/>
        </w:rPr>
        <w:t>MEC -</w:t>
      </w:r>
      <w:r>
        <w:rPr>
          <w:rFonts w:cs="Times New Roman"/>
          <w:szCs w:val="24"/>
        </w:rPr>
        <w:t xml:space="preserve"> </w:t>
      </w:r>
      <w:r w:rsidRPr="00E4383F">
        <w:rPr>
          <w:rFonts w:cs="Times New Roman"/>
          <w:szCs w:val="24"/>
        </w:rPr>
        <w:t>Ministério da Educação</w:t>
      </w:r>
    </w:p>
    <w:p w:rsidR="00DF5192" w:rsidRPr="00E4383F" w:rsidRDefault="00DF5192" w:rsidP="00DF5192">
      <w:pPr>
        <w:spacing w:after="0" w:line="360" w:lineRule="auto"/>
        <w:rPr>
          <w:rFonts w:cs="Times New Roman"/>
          <w:szCs w:val="24"/>
        </w:rPr>
      </w:pPr>
      <w:r w:rsidRPr="00E4383F">
        <w:rPr>
          <w:rFonts w:cs="Times New Roman"/>
          <w:szCs w:val="24"/>
        </w:rPr>
        <w:t>MG -</w:t>
      </w:r>
      <w:r>
        <w:rPr>
          <w:rFonts w:cs="Times New Roman"/>
          <w:szCs w:val="24"/>
        </w:rPr>
        <w:t xml:space="preserve"> </w:t>
      </w:r>
      <w:r w:rsidRPr="00E4383F">
        <w:rPr>
          <w:rFonts w:cs="Times New Roman"/>
          <w:szCs w:val="24"/>
        </w:rPr>
        <w:t xml:space="preserve">Minas Gerais </w:t>
      </w:r>
    </w:p>
    <w:p w:rsidR="00DF5192" w:rsidRPr="00E4383F" w:rsidRDefault="00DF5192" w:rsidP="00DF5192">
      <w:pPr>
        <w:spacing w:after="0" w:line="360" w:lineRule="auto"/>
        <w:rPr>
          <w:rFonts w:cs="Times New Roman"/>
          <w:szCs w:val="24"/>
        </w:rPr>
      </w:pPr>
      <w:r w:rsidRPr="00E4383F">
        <w:rPr>
          <w:rFonts w:cs="Times New Roman"/>
          <w:szCs w:val="24"/>
        </w:rPr>
        <w:t>MinC -</w:t>
      </w:r>
      <w:r>
        <w:rPr>
          <w:rFonts w:cs="Times New Roman"/>
          <w:szCs w:val="24"/>
        </w:rPr>
        <w:t xml:space="preserve"> </w:t>
      </w:r>
      <w:r w:rsidRPr="00E4383F">
        <w:rPr>
          <w:rFonts w:cs="Times New Roman"/>
          <w:szCs w:val="24"/>
        </w:rPr>
        <w:t xml:space="preserve">Ministério da Cultura </w:t>
      </w:r>
    </w:p>
    <w:p w:rsidR="00DF5192" w:rsidRPr="00E4383F" w:rsidRDefault="00DF5192" w:rsidP="00DF5192">
      <w:pPr>
        <w:spacing w:after="0" w:line="360" w:lineRule="auto"/>
        <w:rPr>
          <w:rFonts w:cs="Times New Roman"/>
          <w:szCs w:val="24"/>
        </w:rPr>
      </w:pPr>
      <w:r w:rsidRPr="00E4383F">
        <w:rPr>
          <w:rFonts w:cs="Times New Roman"/>
          <w:szCs w:val="24"/>
        </w:rPr>
        <w:t>MMA -</w:t>
      </w:r>
      <w:r>
        <w:rPr>
          <w:rFonts w:cs="Times New Roman"/>
          <w:szCs w:val="24"/>
        </w:rPr>
        <w:t xml:space="preserve"> </w:t>
      </w:r>
      <w:r w:rsidRPr="00E4383F">
        <w:rPr>
          <w:rFonts w:cs="Times New Roman"/>
          <w:szCs w:val="24"/>
        </w:rPr>
        <w:t xml:space="preserve">Ministério do Meio Ambiente </w:t>
      </w:r>
    </w:p>
    <w:p w:rsidR="00DF5192" w:rsidRPr="00E4383F" w:rsidRDefault="00DF5192" w:rsidP="00DF5192">
      <w:pPr>
        <w:spacing w:after="0" w:line="360" w:lineRule="auto"/>
        <w:rPr>
          <w:rFonts w:cs="Times New Roman"/>
          <w:szCs w:val="24"/>
        </w:rPr>
      </w:pPr>
      <w:r w:rsidRPr="00E4383F">
        <w:rPr>
          <w:rFonts w:cs="Times New Roman"/>
          <w:szCs w:val="24"/>
        </w:rPr>
        <w:t>MS -</w:t>
      </w:r>
      <w:r>
        <w:rPr>
          <w:rFonts w:cs="Times New Roman"/>
          <w:szCs w:val="24"/>
        </w:rPr>
        <w:t xml:space="preserve"> </w:t>
      </w:r>
      <w:r w:rsidRPr="00E4383F">
        <w:rPr>
          <w:rFonts w:cs="Times New Roman"/>
          <w:szCs w:val="24"/>
        </w:rPr>
        <w:t xml:space="preserve">Ministério da Saúde </w:t>
      </w:r>
    </w:p>
    <w:p w:rsidR="00DF5192" w:rsidRPr="00E4383F" w:rsidRDefault="00DF5192" w:rsidP="00DF5192">
      <w:pPr>
        <w:spacing w:after="0" w:line="360" w:lineRule="auto"/>
        <w:rPr>
          <w:rFonts w:cs="Times New Roman"/>
          <w:szCs w:val="24"/>
        </w:rPr>
      </w:pPr>
      <w:r w:rsidRPr="00E4383F">
        <w:rPr>
          <w:rFonts w:cs="Times New Roman"/>
          <w:szCs w:val="24"/>
        </w:rPr>
        <w:t>MTE -</w:t>
      </w:r>
      <w:r>
        <w:rPr>
          <w:rFonts w:cs="Times New Roman"/>
          <w:szCs w:val="24"/>
        </w:rPr>
        <w:t xml:space="preserve"> </w:t>
      </w:r>
      <w:r w:rsidRPr="00E4383F">
        <w:rPr>
          <w:rFonts w:cs="Times New Roman"/>
          <w:szCs w:val="24"/>
        </w:rPr>
        <w:t xml:space="preserve">Ministério do Trabalho e Emprego </w:t>
      </w:r>
    </w:p>
    <w:p w:rsidR="00DF5192" w:rsidRPr="00E4383F" w:rsidRDefault="00DF5192" w:rsidP="00DF5192">
      <w:pPr>
        <w:spacing w:after="0" w:line="360" w:lineRule="auto"/>
        <w:rPr>
          <w:rFonts w:cs="Times New Roman"/>
          <w:szCs w:val="24"/>
        </w:rPr>
      </w:pPr>
      <w:r w:rsidRPr="00E4383F">
        <w:rPr>
          <w:rFonts w:cs="Times New Roman"/>
          <w:szCs w:val="24"/>
        </w:rPr>
        <w:t>MTur -</w:t>
      </w:r>
      <w:r>
        <w:rPr>
          <w:rFonts w:cs="Times New Roman"/>
          <w:szCs w:val="24"/>
        </w:rPr>
        <w:t xml:space="preserve"> </w:t>
      </w:r>
      <w:r w:rsidRPr="00E4383F">
        <w:rPr>
          <w:rFonts w:cs="Times New Roman"/>
          <w:szCs w:val="24"/>
        </w:rPr>
        <w:t xml:space="preserve">Ministério do Turismo OMS -Organização Mundial de Saúde </w:t>
      </w:r>
    </w:p>
    <w:p w:rsidR="00DF5192" w:rsidRPr="00E4383F" w:rsidRDefault="00DF5192" w:rsidP="00DF5192">
      <w:pPr>
        <w:spacing w:after="0" w:line="360" w:lineRule="auto"/>
        <w:rPr>
          <w:rFonts w:cs="Times New Roman"/>
          <w:szCs w:val="24"/>
        </w:rPr>
      </w:pPr>
      <w:r w:rsidRPr="00E4383F">
        <w:rPr>
          <w:rFonts w:cs="Times New Roman"/>
          <w:szCs w:val="24"/>
        </w:rPr>
        <w:t xml:space="preserve">ONU </w:t>
      </w:r>
      <w:r>
        <w:rPr>
          <w:rFonts w:cs="Times New Roman"/>
          <w:szCs w:val="24"/>
        </w:rPr>
        <w:t xml:space="preserve">- </w:t>
      </w:r>
      <w:r w:rsidRPr="00E4383F">
        <w:rPr>
          <w:rFonts w:cs="Times New Roman"/>
          <w:szCs w:val="24"/>
        </w:rPr>
        <w:t>Organização das Nações Unidas</w:t>
      </w:r>
    </w:p>
    <w:p w:rsidR="00DF5192" w:rsidRPr="00E4383F" w:rsidRDefault="00DF5192" w:rsidP="00DF5192">
      <w:pPr>
        <w:spacing w:after="0" w:line="360" w:lineRule="auto"/>
        <w:rPr>
          <w:rFonts w:cs="Times New Roman"/>
          <w:szCs w:val="24"/>
        </w:rPr>
      </w:pPr>
      <w:r w:rsidRPr="00E4383F">
        <w:rPr>
          <w:rFonts w:cs="Times New Roman"/>
          <w:szCs w:val="24"/>
        </w:rPr>
        <w:t xml:space="preserve">PBF </w:t>
      </w:r>
      <w:r>
        <w:rPr>
          <w:rFonts w:cs="Times New Roman"/>
          <w:szCs w:val="24"/>
        </w:rPr>
        <w:t xml:space="preserve">- </w:t>
      </w:r>
      <w:r w:rsidRPr="00E4383F">
        <w:rPr>
          <w:rFonts w:cs="Times New Roman"/>
          <w:szCs w:val="24"/>
        </w:rPr>
        <w:t xml:space="preserve">Programa Bolsa Família </w:t>
      </w:r>
    </w:p>
    <w:p w:rsidR="00DF5192" w:rsidRPr="00E4383F" w:rsidRDefault="00DF5192" w:rsidP="00DF5192">
      <w:pPr>
        <w:spacing w:after="0" w:line="360" w:lineRule="auto"/>
        <w:rPr>
          <w:rFonts w:cs="Times New Roman"/>
          <w:szCs w:val="24"/>
        </w:rPr>
      </w:pPr>
      <w:r w:rsidRPr="00E4383F">
        <w:rPr>
          <w:rFonts w:cs="Times New Roman"/>
          <w:szCs w:val="24"/>
        </w:rPr>
        <w:t>PEA -</w:t>
      </w:r>
      <w:r>
        <w:rPr>
          <w:rFonts w:cs="Times New Roman"/>
          <w:szCs w:val="24"/>
        </w:rPr>
        <w:t xml:space="preserve"> </w:t>
      </w:r>
      <w:r w:rsidRPr="00E4383F">
        <w:rPr>
          <w:rFonts w:cs="Times New Roman"/>
          <w:szCs w:val="24"/>
        </w:rPr>
        <w:t xml:space="preserve">População Economicamente Ativa </w:t>
      </w:r>
    </w:p>
    <w:p w:rsidR="00DF5192" w:rsidRPr="00E4383F" w:rsidRDefault="00DF5192" w:rsidP="00DF5192">
      <w:pPr>
        <w:spacing w:after="0" w:line="360" w:lineRule="auto"/>
        <w:rPr>
          <w:rFonts w:cs="Times New Roman"/>
          <w:szCs w:val="24"/>
        </w:rPr>
      </w:pPr>
      <w:r w:rsidRPr="00E4383F">
        <w:rPr>
          <w:rFonts w:cs="Times New Roman"/>
          <w:szCs w:val="24"/>
        </w:rPr>
        <w:t>PIB -</w:t>
      </w:r>
      <w:r>
        <w:rPr>
          <w:rFonts w:cs="Times New Roman"/>
          <w:szCs w:val="24"/>
        </w:rPr>
        <w:t xml:space="preserve"> </w:t>
      </w:r>
      <w:r w:rsidRPr="00E4383F">
        <w:rPr>
          <w:rFonts w:cs="Times New Roman"/>
          <w:szCs w:val="24"/>
        </w:rPr>
        <w:t xml:space="preserve">Produto Interno Bruto </w:t>
      </w:r>
    </w:p>
    <w:p w:rsidR="00DF5192" w:rsidRPr="00E4383F" w:rsidRDefault="00DF5192" w:rsidP="00DF5192">
      <w:pPr>
        <w:spacing w:after="0" w:line="360" w:lineRule="auto"/>
        <w:rPr>
          <w:rFonts w:cs="Times New Roman"/>
          <w:szCs w:val="24"/>
        </w:rPr>
      </w:pPr>
      <w:r w:rsidRPr="00E4383F">
        <w:rPr>
          <w:rFonts w:cs="Times New Roman"/>
          <w:szCs w:val="24"/>
        </w:rPr>
        <w:t>PMDI -</w:t>
      </w:r>
      <w:r>
        <w:rPr>
          <w:rFonts w:cs="Times New Roman"/>
          <w:szCs w:val="24"/>
        </w:rPr>
        <w:t xml:space="preserve"> </w:t>
      </w:r>
      <w:r w:rsidRPr="00E4383F">
        <w:rPr>
          <w:rFonts w:cs="Times New Roman"/>
          <w:szCs w:val="24"/>
        </w:rPr>
        <w:t>Plano Mineiro de Desenvolvimento Integrado</w:t>
      </w:r>
    </w:p>
    <w:p w:rsidR="00DF5192" w:rsidRDefault="00DF5192" w:rsidP="00DF5192">
      <w:pPr>
        <w:spacing w:after="0" w:line="360" w:lineRule="auto"/>
        <w:rPr>
          <w:rFonts w:cs="Times New Roman"/>
          <w:szCs w:val="24"/>
        </w:rPr>
      </w:pPr>
      <w:r w:rsidRPr="00E4383F">
        <w:rPr>
          <w:rFonts w:cs="Times New Roman"/>
          <w:szCs w:val="24"/>
        </w:rPr>
        <w:t>PMA -</w:t>
      </w:r>
      <w:r>
        <w:rPr>
          <w:rFonts w:cs="Times New Roman"/>
          <w:szCs w:val="24"/>
        </w:rPr>
        <w:t xml:space="preserve"> </w:t>
      </w:r>
      <w:r w:rsidRPr="00E4383F">
        <w:rPr>
          <w:rFonts w:cs="Times New Roman"/>
          <w:szCs w:val="24"/>
        </w:rPr>
        <w:t xml:space="preserve">Prefeitura Municipal de Aimorés </w:t>
      </w:r>
    </w:p>
    <w:p w:rsidR="00DF5192" w:rsidRPr="00E4383F" w:rsidRDefault="00DF5192" w:rsidP="00DF5192">
      <w:pPr>
        <w:spacing w:after="0" w:line="360" w:lineRule="auto"/>
        <w:rPr>
          <w:rFonts w:cs="Times New Roman"/>
          <w:szCs w:val="24"/>
        </w:rPr>
      </w:pPr>
      <w:r w:rsidRPr="00E4383F">
        <w:rPr>
          <w:rFonts w:cs="Times New Roman"/>
          <w:szCs w:val="24"/>
        </w:rPr>
        <w:t>PM</w:t>
      </w:r>
      <w:r>
        <w:rPr>
          <w:rFonts w:cs="Times New Roman"/>
          <w:szCs w:val="24"/>
        </w:rPr>
        <w:t>MG</w:t>
      </w:r>
      <w:r w:rsidRPr="00E4383F">
        <w:rPr>
          <w:rFonts w:cs="Times New Roman"/>
          <w:szCs w:val="24"/>
        </w:rPr>
        <w:t xml:space="preserve"> </w:t>
      </w:r>
      <w:r>
        <w:rPr>
          <w:rFonts w:cs="Times New Roman"/>
          <w:szCs w:val="24"/>
        </w:rPr>
        <w:t>- Polícia Militar de Minas Gerais</w:t>
      </w:r>
      <w:r w:rsidRPr="00E4383F">
        <w:rPr>
          <w:rFonts w:cs="Times New Roman"/>
          <w:szCs w:val="24"/>
        </w:rPr>
        <w:t xml:space="preserve"> </w:t>
      </w:r>
    </w:p>
    <w:p w:rsidR="00DF5192" w:rsidRPr="00E4383F" w:rsidRDefault="00DF5192" w:rsidP="00DF5192">
      <w:pPr>
        <w:pStyle w:val="CM75"/>
        <w:spacing w:line="360" w:lineRule="auto"/>
        <w:rPr>
          <w:rFonts w:ascii="Times New Roman" w:hAnsi="Times New Roman" w:cs="Times New Roman"/>
        </w:rPr>
      </w:pPr>
      <w:r w:rsidRPr="00E4383F">
        <w:rPr>
          <w:rFonts w:ascii="Times New Roman" w:hAnsi="Times New Roman" w:cs="Times New Roman"/>
        </w:rPr>
        <w:t>PMSB -</w:t>
      </w:r>
      <w:r>
        <w:rPr>
          <w:rFonts w:ascii="Times New Roman" w:hAnsi="Times New Roman" w:cs="Times New Roman"/>
        </w:rPr>
        <w:t xml:space="preserve"> </w:t>
      </w:r>
      <w:r w:rsidRPr="00E4383F">
        <w:rPr>
          <w:rFonts w:ascii="Times New Roman" w:hAnsi="Times New Roman" w:cs="Times New Roman"/>
        </w:rPr>
        <w:t xml:space="preserve">Plano Municipal de Saneamento Básico </w:t>
      </w:r>
    </w:p>
    <w:p w:rsidR="00DF5192" w:rsidRPr="00E4383F" w:rsidRDefault="00DF5192" w:rsidP="00DF5192">
      <w:pPr>
        <w:pStyle w:val="CM75"/>
        <w:spacing w:line="360" w:lineRule="auto"/>
        <w:rPr>
          <w:rFonts w:ascii="Times New Roman" w:hAnsi="Times New Roman" w:cs="Times New Roman"/>
        </w:rPr>
      </w:pPr>
      <w:r w:rsidRPr="00E4383F">
        <w:rPr>
          <w:rFonts w:ascii="Times New Roman" w:hAnsi="Times New Roman" w:cs="Times New Roman"/>
        </w:rPr>
        <w:t>PNUD -</w:t>
      </w:r>
      <w:r>
        <w:rPr>
          <w:rFonts w:ascii="Times New Roman" w:hAnsi="Times New Roman" w:cs="Times New Roman"/>
        </w:rPr>
        <w:t xml:space="preserve"> </w:t>
      </w:r>
      <w:r w:rsidRPr="00E4383F">
        <w:rPr>
          <w:rFonts w:ascii="Times New Roman" w:hAnsi="Times New Roman" w:cs="Times New Roman"/>
        </w:rPr>
        <w:t xml:space="preserve">Programa das Nações Unidas para o Desenvolvimento no Brasil </w:t>
      </w:r>
    </w:p>
    <w:p w:rsidR="00DF5192" w:rsidRPr="00E4383F" w:rsidRDefault="00DF5192" w:rsidP="00DF5192">
      <w:pPr>
        <w:pStyle w:val="CM75"/>
        <w:spacing w:line="360" w:lineRule="auto"/>
        <w:rPr>
          <w:rFonts w:ascii="Times New Roman" w:hAnsi="Times New Roman" w:cs="Times New Roman"/>
        </w:rPr>
      </w:pPr>
      <w:r w:rsidRPr="00E4383F">
        <w:rPr>
          <w:rFonts w:ascii="Times New Roman" w:hAnsi="Times New Roman" w:cs="Times New Roman"/>
        </w:rPr>
        <w:t xml:space="preserve">RCD </w:t>
      </w:r>
      <w:r>
        <w:rPr>
          <w:rFonts w:ascii="Times New Roman" w:hAnsi="Times New Roman" w:cs="Times New Roman"/>
        </w:rPr>
        <w:t>-</w:t>
      </w:r>
      <w:r w:rsidRPr="00E4383F">
        <w:rPr>
          <w:rFonts w:ascii="Times New Roman" w:hAnsi="Times New Roman" w:cs="Times New Roman"/>
        </w:rPr>
        <w:t xml:space="preserve"> Resíduos de Construção e Demolição</w:t>
      </w:r>
    </w:p>
    <w:p w:rsidR="00DF5192" w:rsidRPr="00E4383F" w:rsidRDefault="00DF5192" w:rsidP="00DF5192">
      <w:pPr>
        <w:pStyle w:val="CM75"/>
        <w:spacing w:line="360" w:lineRule="auto"/>
        <w:rPr>
          <w:rFonts w:ascii="Times New Roman" w:hAnsi="Times New Roman" w:cs="Times New Roman"/>
        </w:rPr>
      </w:pPr>
      <w:r w:rsidRPr="00E4383F">
        <w:rPr>
          <w:rFonts w:ascii="Times New Roman" w:hAnsi="Times New Roman" w:cs="Times New Roman"/>
        </w:rPr>
        <w:t>RMV -</w:t>
      </w:r>
      <w:r>
        <w:rPr>
          <w:rFonts w:ascii="Times New Roman" w:hAnsi="Times New Roman" w:cs="Times New Roman"/>
        </w:rPr>
        <w:t xml:space="preserve"> </w:t>
      </w:r>
      <w:r w:rsidRPr="00E4383F">
        <w:rPr>
          <w:rFonts w:ascii="Times New Roman" w:hAnsi="Times New Roman" w:cs="Times New Roman"/>
        </w:rPr>
        <w:t xml:space="preserve">Renda Mensal Vitalícia </w:t>
      </w:r>
    </w:p>
    <w:p w:rsidR="00DF5192" w:rsidRPr="00E4383F" w:rsidRDefault="00DF5192" w:rsidP="00DF5192">
      <w:pPr>
        <w:pStyle w:val="CM75"/>
        <w:spacing w:line="360" w:lineRule="auto"/>
        <w:rPr>
          <w:rFonts w:ascii="Times New Roman" w:hAnsi="Times New Roman" w:cs="Times New Roman"/>
        </w:rPr>
      </w:pPr>
      <w:r w:rsidRPr="00E4383F">
        <w:rPr>
          <w:rFonts w:ascii="Times New Roman" w:hAnsi="Times New Roman" w:cs="Times New Roman"/>
        </w:rPr>
        <w:t>RPPN -</w:t>
      </w:r>
      <w:r>
        <w:rPr>
          <w:rFonts w:ascii="Times New Roman" w:hAnsi="Times New Roman" w:cs="Times New Roman"/>
        </w:rPr>
        <w:t xml:space="preserve"> </w:t>
      </w:r>
      <w:r w:rsidRPr="00E4383F">
        <w:rPr>
          <w:rFonts w:ascii="Times New Roman" w:hAnsi="Times New Roman" w:cs="Times New Roman"/>
        </w:rPr>
        <w:t xml:space="preserve">Reservas Particulares do Patrimônio Natural </w:t>
      </w:r>
    </w:p>
    <w:p w:rsidR="00DF5192" w:rsidRPr="00E4383F" w:rsidRDefault="00DF5192" w:rsidP="00DF5192">
      <w:pPr>
        <w:pStyle w:val="CM75"/>
        <w:spacing w:line="360" w:lineRule="auto"/>
        <w:rPr>
          <w:rFonts w:ascii="Times New Roman" w:hAnsi="Times New Roman" w:cs="Times New Roman"/>
        </w:rPr>
      </w:pPr>
      <w:r w:rsidRPr="00E4383F">
        <w:rPr>
          <w:rFonts w:ascii="Times New Roman" w:hAnsi="Times New Roman" w:cs="Times New Roman"/>
        </w:rPr>
        <w:t>RSU -</w:t>
      </w:r>
      <w:r>
        <w:rPr>
          <w:rFonts w:ascii="Times New Roman" w:hAnsi="Times New Roman" w:cs="Times New Roman"/>
        </w:rPr>
        <w:t xml:space="preserve"> </w:t>
      </w:r>
      <w:r w:rsidRPr="00E4383F">
        <w:rPr>
          <w:rFonts w:ascii="Times New Roman" w:hAnsi="Times New Roman" w:cs="Times New Roman"/>
        </w:rPr>
        <w:t xml:space="preserve">Resíduos Sólidos Urbanos </w:t>
      </w:r>
    </w:p>
    <w:p w:rsidR="00DF5192" w:rsidRPr="00E4383F" w:rsidRDefault="00DF5192" w:rsidP="00DF5192">
      <w:pPr>
        <w:pStyle w:val="CM75"/>
        <w:spacing w:line="360" w:lineRule="auto"/>
        <w:rPr>
          <w:rFonts w:ascii="Times New Roman" w:hAnsi="Times New Roman" w:cs="Times New Roman"/>
        </w:rPr>
      </w:pPr>
      <w:r w:rsidRPr="00E4383F">
        <w:rPr>
          <w:rFonts w:ascii="Times New Roman" w:hAnsi="Times New Roman" w:cs="Times New Roman"/>
        </w:rPr>
        <w:t>RSSS -</w:t>
      </w:r>
      <w:r>
        <w:rPr>
          <w:rFonts w:ascii="Times New Roman" w:hAnsi="Times New Roman" w:cs="Times New Roman"/>
        </w:rPr>
        <w:t xml:space="preserve"> </w:t>
      </w:r>
      <w:r w:rsidRPr="00E4383F">
        <w:rPr>
          <w:rFonts w:ascii="Times New Roman" w:hAnsi="Times New Roman" w:cs="Times New Roman"/>
        </w:rPr>
        <w:t>Resíduos Sólidos Serviço de Saúde</w:t>
      </w:r>
    </w:p>
    <w:p w:rsidR="00DF5192" w:rsidRPr="00E4383F" w:rsidRDefault="00DF5192" w:rsidP="00DF5192">
      <w:pPr>
        <w:pStyle w:val="CM75"/>
        <w:spacing w:line="360" w:lineRule="auto"/>
        <w:rPr>
          <w:rFonts w:ascii="Times New Roman" w:hAnsi="Times New Roman" w:cs="Times New Roman"/>
        </w:rPr>
      </w:pPr>
      <w:r w:rsidRPr="00E4383F">
        <w:rPr>
          <w:rFonts w:ascii="Times New Roman" w:hAnsi="Times New Roman" w:cs="Times New Roman"/>
        </w:rPr>
        <w:t>SAA -</w:t>
      </w:r>
      <w:r>
        <w:rPr>
          <w:rFonts w:ascii="Times New Roman" w:hAnsi="Times New Roman" w:cs="Times New Roman"/>
        </w:rPr>
        <w:t xml:space="preserve"> </w:t>
      </w:r>
      <w:r w:rsidRPr="00E4383F">
        <w:rPr>
          <w:rFonts w:ascii="Times New Roman" w:hAnsi="Times New Roman" w:cs="Times New Roman"/>
        </w:rPr>
        <w:t xml:space="preserve">Sistema de Abastecimento de Água </w:t>
      </w:r>
    </w:p>
    <w:p w:rsidR="00DF5192" w:rsidRPr="00E4383F" w:rsidRDefault="00DF5192" w:rsidP="00DF5192">
      <w:pPr>
        <w:pStyle w:val="CM75"/>
        <w:spacing w:line="360" w:lineRule="auto"/>
        <w:rPr>
          <w:rFonts w:ascii="Times New Roman" w:hAnsi="Times New Roman" w:cs="Times New Roman"/>
        </w:rPr>
      </w:pPr>
      <w:r w:rsidRPr="00E4383F">
        <w:rPr>
          <w:rFonts w:ascii="Times New Roman" w:hAnsi="Times New Roman" w:cs="Times New Roman"/>
        </w:rPr>
        <w:t xml:space="preserve">SAAE </w:t>
      </w:r>
      <w:r>
        <w:rPr>
          <w:rFonts w:ascii="Times New Roman" w:hAnsi="Times New Roman" w:cs="Times New Roman"/>
        </w:rPr>
        <w:t xml:space="preserve">- </w:t>
      </w:r>
      <w:r w:rsidRPr="00E4383F">
        <w:rPr>
          <w:rFonts w:ascii="Times New Roman" w:hAnsi="Times New Roman" w:cs="Times New Roman"/>
        </w:rPr>
        <w:t>Serviço Autônomo de Água e Esgoto</w:t>
      </w:r>
    </w:p>
    <w:p w:rsidR="00DF5192" w:rsidRPr="00E4383F" w:rsidRDefault="00DF5192" w:rsidP="00DF5192">
      <w:pPr>
        <w:pStyle w:val="CM75"/>
        <w:spacing w:line="360" w:lineRule="auto"/>
        <w:rPr>
          <w:rFonts w:ascii="Times New Roman" w:hAnsi="Times New Roman" w:cs="Times New Roman"/>
          <w:i/>
          <w:iCs/>
        </w:rPr>
      </w:pPr>
      <w:r w:rsidRPr="00E4383F">
        <w:rPr>
          <w:rFonts w:ascii="Times New Roman" w:hAnsi="Times New Roman" w:cs="Times New Roman"/>
        </w:rPr>
        <w:lastRenderedPageBreak/>
        <w:t>SAD -</w:t>
      </w:r>
      <w:r>
        <w:rPr>
          <w:rFonts w:ascii="Times New Roman" w:hAnsi="Times New Roman" w:cs="Times New Roman"/>
        </w:rPr>
        <w:t xml:space="preserve"> </w:t>
      </w:r>
      <w:r w:rsidRPr="00E4383F">
        <w:rPr>
          <w:rFonts w:ascii="Times New Roman" w:hAnsi="Times New Roman" w:cs="Times New Roman"/>
          <w:i/>
          <w:iCs/>
        </w:rPr>
        <w:t xml:space="preserve">South American Datum </w:t>
      </w:r>
    </w:p>
    <w:p w:rsidR="00DF5192" w:rsidRPr="00E4383F" w:rsidRDefault="00DF5192" w:rsidP="00DF5192">
      <w:pPr>
        <w:pStyle w:val="CM75"/>
        <w:spacing w:line="360" w:lineRule="auto"/>
        <w:rPr>
          <w:rFonts w:ascii="Times New Roman" w:hAnsi="Times New Roman" w:cs="Times New Roman"/>
        </w:rPr>
      </w:pPr>
      <w:r w:rsidRPr="00E4383F">
        <w:rPr>
          <w:rFonts w:ascii="Times New Roman" w:hAnsi="Times New Roman" w:cs="Times New Roman"/>
        </w:rPr>
        <w:t>SEMAD -</w:t>
      </w:r>
      <w:r>
        <w:rPr>
          <w:rFonts w:ascii="Times New Roman" w:hAnsi="Times New Roman" w:cs="Times New Roman"/>
        </w:rPr>
        <w:t xml:space="preserve"> </w:t>
      </w:r>
      <w:r w:rsidRPr="00E4383F">
        <w:rPr>
          <w:rFonts w:ascii="Times New Roman" w:hAnsi="Times New Roman" w:cs="Times New Roman"/>
        </w:rPr>
        <w:t xml:space="preserve">Secretaria de Estado de Meio Ambiente e Desenvolvimento Sustentável </w:t>
      </w:r>
    </w:p>
    <w:p w:rsidR="00DF5192" w:rsidRPr="00E4383F" w:rsidRDefault="00DF5192" w:rsidP="00DF5192">
      <w:pPr>
        <w:pStyle w:val="CM75"/>
        <w:spacing w:line="360" w:lineRule="auto"/>
        <w:rPr>
          <w:rFonts w:ascii="Times New Roman" w:hAnsi="Times New Roman" w:cs="Times New Roman"/>
        </w:rPr>
      </w:pPr>
      <w:r w:rsidRPr="00E4383F">
        <w:rPr>
          <w:rFonts w:ascii="Times New Roman" w:hAnsi="Times New Roman" w:cs="Times New Roman"/>
        </w:rPr>
        <w:t>SES -</w:t>
      </w:r>
      <w:r>
        <w:rPr>
          <w:rFonts w:ascii="Times New Roman" w:hAnsi="Times New Roman" w:cs="Times New Roman"/>
        </w:rPr>
        <w:t xml:space="preserve"> </w:t>
      </w:r>
      <w:r w:rsidRPr="00E4383F">
        <w:rPr>
          <w:rFonts w:ascii="Times New Roman" w:hAnsi="Times New Roman" w:cs="Times New Roman"/>
        </w:rPr>
        <w:t xml:space="preserve">Sistema de Esgotamento Sanitário </w:t>
      </w:r>
    </w:p>
    <w:p w:rsidR="00DF5192" w:rsidRPr="00E4383F" w:rsidRDefault="00DF5192" w:rsidP="00DF5192">
      <w:pPr>
        <w:pStyle w:val="CM79"/>
        <w:spacing w:line="360" w:lineRule="auto"/>
        <w:ind w:left="851" w:hanging="851"/>
        <w:rPr>
          <w:rFonts w:ascii="Times New Roman" w:hAnsi="Times New Roman" w:cs="Times New Roman"/>
        </w:rPr>
      </w:pPr>
      <w:r w:rsidRPr="00E4383F">
        <w:rPr>
          <w:rFonts w:ascii="Times New Roman" w:hAnsi="Times New Roman" w:cs="Times New Roman"/>
        </w:rPr>
        <w:t>SiBCS -</w:t>
      </w:r>
      <w:r>
        <w:rPr>
          <w:rFonts w:ascii="Times New Roman" w:hAnsi="Times New Roman" w:cs="Times New Roman"/>
        </w:rPr>
        <w:t xml:space="preserve"> </w:t>
      </w:r>
      <w:r w:rsidRPr="00E4383F">
        <w:rPr>
          <w:rFonts w:ascii="Times New Roman" w:hAnsi="Times New Roman" w:cs="Times New Roman"/>
        </w:rPr>
        <w:t>Sistema Brasileiro de Classificação de Solos SIG -Sistema de Informações Geográficas</w:t>
      </w:r>
    </w:p>
    <w:p w:rsidR="00DF5192" w:rsidRPr="00E4383F" w:rsidRDefault="00DF5192" w:rsidP="00DF5192">
      <w:pPr>
        <w:pStyle w:val="CM79"/>
        <w:spacing w:line="360" w:lineRule="auto"/>
        <w:rPr>
          <w:rFonts w:ascii="Times New Roman" w:hAnsi="Times New Roman" w:cs="Times New Roman"/>
        </w:rPr>
      </w:pPr>
      <w:r w:rsidRPr="00E4383F">
        <w:rPr>
          <w:rFonts w:ascii="Times New Roman" w:hAnsi="Times New Roman" w:cs="Times New Roman"/>
        </w:rPr>
        <w:t>SINAN -</w:t>
      </w:r>
      <w:r>
        <w:rPr>
          <w:rFonts w:ascii="Times New Roman" w:hAnsi="Times New Roman" w:cs="Times New Roman"/>
        </w:rPr>
        <w:t xml:space="preserve"> </w:t>
      </w:r>
      <w:r w:rsidRPr="00E4383F">
        <w:rPr>
          <w:rFonts w:ascii="Times New Roman" w:hAnsi="Times New Roman" w:cs="Times New Roman"/>
        </w:rPr>
        <w:t xml:space="preserve">Sistema de Informação de Agravos de Notificação </w:t>
      </w:r>
    </w:p>
    <w:p w:rsidR="00DF5192" w:rsidRPr="00E4383F" w:rsidRDefault="00DF5192" w:rsidP="00DF5192">
      <w:pPr>
        <w:pStyle w:val="CM79"/>
        <w:spacing w:line="360" w:lineRule="auto"/>
        <w:rPr>
          <w:rFonts w:ascii="Times New Roman" w:hAnsi="Times New Roman" w:cs="Times New Roman"/>
        </w:rPr>
      </w:pPr>
      <w:r w:rsidRPr="00E4383F">
        <w:rPr>
          <w:rFonts w:ascii="Times New Roman" w:hAnsi="Times New Roman" w:cs="Times New Roman"/>
        </w:rPr>
        <w:t>SM -</w:t>
      </w:r>
      <w:r>
        <w:rPr>
          <w:rFonts w:ascii="Times New Roman" w:hAnsi="Times New Roman" w:cs="Times New Roman"/>
        </w:rPr>
        <w:t xml:space="preserve"> </w:t>
      </w:r>
      <w:r w:rsidRPr="00E4383F">
        <w:rPr>
          <w:rFonts w:ascii="Times New Roman" w:hAnsi="Times New Roman" w:cs="Times New Roman"/>
        </w:rPr>
        <w:t xml:space="preserve">Salário Mínimo </w:t>
      </w:r>
    </w:p>
    <w:p w:rsidR="00DF5192" w:rsidRPr="00E4383F" w:rsidRDefault="00DF5192" w:rsidP="00DF5192">
      <w:pPr>
        <w:pStyle w:val="CM79"/>
        <w:spacing w:line="360" w:lineRule="auto"/>
        <w:rPr>
          <w:rFonts w:ascii="Times New Roman" w:hAnsi="Times New Roman" w:cs="Times New Roman"/>
        </w:rPr>
      </w:pPr>
      <w:r w:rsidRPr="00E4383F">
        <w:rPr>
          <w:rFonts w:ascii="Times New Roman" w:hAnsi="Times New Roman" w:cs="Times New Roman"/>
        </w:rPr>
        <w:t>SNIF -</w:t>
      </w:r>
      <w:r>
        <w:rPr>
          <w:rFonts w:ascii="Times New Roman" w:hAnsi="Times New Roman" w:cs="Times New Roman"/>
        </w:rPr>
        <w:t xml:space="preserve"> </w:t>
      </w:r>
      <w:r w:rsidRPr="00E4383F">
        <w:rPr>
          <w:rFonts w:ascii="Times New Roman" w:hAnsi="Times New Roman" w:cs="Times New Roman"/>
        </w:rPr>
        <w:t xml:space="preserve">Sistema Nacional de Informações Florestais </w:t>
      </w:r>
    </w:p>
    <w:p w:rsidR="00DF5192" w:rsidRPr="00E4383F" w:rsidRDefault="00DF5192" w:rsidP="00DF5192">
      <w:pPr>
        <w:pStyle w:val="CM79"/>
        <w:spacing w:line="360" w:lineRule="auto"/>
        <w:rPr>
          <w:rFonts w:ascii="Times New Roman" w:hAnsi="Times New Roman" w:cs="Times New Roman"/>
        </w:rPr>
      </w:pPr>
      <w:r w:rsidRPr="00E4383F">
        <w:rPr>
          <w:rFonts w:ascii="Times New Roman" w:hAnsi="Times New Roman" w:cs="Times New Roman"/>
        </w:rPr>
        <w:t xml:space="preserve">SNIS </w:t>
      </w:r>
      <w:r>
        <w:rPr>
          <w:rFonts w:ascii="Times New Roman" w:hAnsi="Times New Roman" w:cs="Times New Roman"/>
        </w:rPr>
        <w:t xml:space="preserve">- </w:t>
      </w:r>
      <w:r w:rsidRPr="00E4383F">
        <w:rPr>
          <w:rFonts w:ascii="Times New Roman" w:hAnsi="Times New Roman" w:cs="Times New Roman"/>
        </w:rPr>
        <w:t xml:space="preserve">Sistema Nacional de Informações de Saneamento </w:t>
      </w:r>
    </w:p>
    <w:p w:rsidR="00DF5192" w:rsidRPr="00E4383F" w:rsidRDefault="00DF5192" w:rsidP="00DF5192">
      <w:pPr>
        <w:pStyle w:val="CM79"/>
        <w:spacing w:line="360" w:lineRule="auto"/>
        <w:rPr>
          <w:rFonts w:ascii="Times New Roman" w:hAnsi="Times New Roman" w:cs="Times New Roman"/>
        </w:rPr>
      </w:pPr>
      <w:r w:rsidRPr="00E4383F">
        <w:rPr>
          <w:rFonts w:ascii="Times New Roman" w:hAnsi="Times New Roman" w:cs="Times New Roman"/>
        </w:rPr>
        <w:t>SNUC -</w:t>
      </w:r>
      <w:r>
        <w:rPr>
          <w:rFonts w:ascii="Times New Roman" w:hAnsi="Times New Roman" w:cs="Times New Roman"/>
        </w:rPr>
        <w:t xml:space="preserve"> </w:t>
      </w:r>
      <w:r w:rsidRPr="00E4383F">
        <w:rPr>
          <w:rFonts w:ascii="Times New Roman" w:hAnsi="Times New Roman" w:cs="Times New Roman"/>
        </w:rPr>
        <w:t>Sistema Nacional de Unidades de Conservação</w:t>
      </w:r>
    </w:p>
    <w:p w:rsidR="00DF5192" w:rsidRPr="00E4383F" w:rsidRDefault="00DF5192" w:rsidP="00DF5192">
      <w:pPr>
        <w:pStyle w:val="CM79"/>
        <w:spacing w:line="360" w:lineRule="auto"/>
        <w:rPr>
          <w:rFonts w:ascii="Times New Roman" w:hAnsi="Times New Roman" w:cs="Times New Roman"/>
        </w:rPr>
      </w:pPr>
      <w:r w:rsidRPr="00E4383F">
        <w:rPr>
          <w:rFonts w:ascii="Times New Roman" w:hAnsi="Times New Roman" w:cs="Times New Roman"/>
        </w:rPr>
        <w:t>SUS -</w:t>
      </w:r>
      <w:r>
        <w:rPr>
          <w:rFonts w:ascii="Times New Roman" w:hAnsi="Times New Roman" w:cs="Times New Roman"/>
        </w:rPr>
        <w:t xml:space="preserve"> </w:t>
      </w:r>
      <w:r w:rsidRPr="00E4383F">
        <w:rPr>
          <w:rFonts w:ascii="Times New Roman" w:hAnsi="Times New Roman" w:cs="Times New Roman"/>
        </w:rPr>
        <w:t xml:space="preserve">Sistema Único de Saúde </w:t>
      </w:r>
    </w:p>
    <w:p w:rsidR="00DF5192" w:rsidRPr="00E4383F" w:rsidRDefault="00DF5192" w:rsidP="00DF5192">
      <w:pPr>
        <w:pStyle w:val="CM79"/>
        <w:spacing w:line="360" w:lineRule="auto"/>
        <w:rPr>
          <w:rFonts w:ascii="Times New Roman" w:hAnsi="Times New Roman" w:cs="Times New Roman"/>
        </w:rPr>
      </w:pPr>
      <w:r w:rsidRPr="00E4383F">
        <w:rPr>
          <w:rFonts w:ascii="Times New Roman" w:hAnsi="Times New Roman" w:cs="Times New Roman"/>
        </w:rPr>
        <w:t>UC -</w:t>
      </w:r>
      <w:r>
        <w:rPr>
          <w:rFonts w:ascii="Times New Roman" w:hAnsi="Times New Roman" w:cs="Times New Roman"/>
        </w:rPr>
        <w:t xml:space="preserve"> </w:t>
      </w:r>
      <w:r w:rsidRPr="00E4383F">
        <w:rPr>
          <w:rFonts w:ascii="Times New Roman" w:hAnsi="Times New Roman" w:cs="Times New Roman"/>
        </w:rPr>
        <w:t xml:space="preserve">Unidades de Conservação </w:t>
      </w:r>
    </w:p>
    <w:p w:rsidR="00DF5192" w:rsidRPr="00E4383F" w:rsidRDefault="00DF5192" w:rsidP="00DF5192">
      <w:pPr>
        <w:pStyle w:val="CM79"/>
        <w:spacing w:line="360" w:lineRule="auto"/>
        <w:rPr>
          <w:rFonts w:ascii="Times New Roman" w:hAnsi="Times New Roman" w:cs="Times New Roman"/>
        </w:rPr>
      </w:pPr>
      <w:r w:rsidRPr="00E4383F">
        <w:rPr>
          <w:rFonts w:ascii="Times New Roman" w:hAnsi="Times New Roman" w:cs="Times New Roman"/>
        </w:rPr>
        <w:t>UNESCO -</w:t>
      </w:r>
      <w:r>
        <w:rPr>
          <w:rFonts w:ascii="Times New Roman" w:hAnsi="Times New Roman" w:cs="Times New Roman"/>
        </w:rPr>
        <w:t xml:space="preserve"> </w:t>
      </w:r>
      <w:r w:rsidRPr="00E4383F">
        <w:rPr>
          <w:rFonts w:ascii="Times New Roman" w:hAnsi="Times New Roman" w:cs="Times New Roman"/>
        </w:rPr>
        <w:t>Organização das Nações Unidas para a Educação, a Ciência e a Cultura UTM -</w:t>
      </w:r>
      <w:r>
        <w:rPr>
          <w:rFonts w:ascii="Times New Roman" w:hAnsi="Times New Roman" w:cs="Times New Roman"/>
        </w:rPr>
        <w:t xml:space="preserve"> </w:t>
      </w:r>
      <w:r w:rsidRPr="00E4383F">
        <w:rPr>
          <w:rFonts w:ascii="Times New Roman" w:hAnsi="Times New Roman" w:cs="Times New Roman"/>
        </w:rPr>
        <w:t xml:space="preserve">Universal Transverso de Mercator </w:t>
      </w:r>
    </w:p>
    <w:p w:rsidR="00DF5192" w:rsidRPr="00E4383F" w:rsidRDefault="00DF5192" w:rsidP="00DF5192">
      <w:pPr>
        <w:pStyle w:val="CM79"/>
        <w:spacing w:line="360" w:lineRule="auto"/>
        <w:rPr>
          <w:rFonts w:ascii="Times New Roman" w:hAnsi="Times New Roman" w:cs="Times New Roman"/>
        </w:rPr>
      </w:pPr>
      <w:r w:rsidRPr="00E4383F">
        <w:rPr>
          <w:rFonts w:ascii="Times New Roman" w:hAnsi="Times New Roman" w:cs="Times New Roman"/>
        </w:rPr>
        <w:t>ZEE -</w:t>
      </w:r>
      <w:r>
        <w:rPr>
          <w:rFonts w:ascii="Times New Roman" w:hAnsi="Times New Roman" w:cs="Times New Roman"/>
        </w:rPr>
        <w:t xml:space="preserve"> </w:t>
      </w:r>
      <w:r w:rsidRPr="00E4383F">
        <w:rPr>
          <w:rFonts w:ascii="Times New Roman" w:hAnsi="Times New Roman" w:cs="Times New Roman"/>
        </w:rPr>
        <w:t xml:space="preserve">Zoneamento Ecológico Econômico </w:t>
      </w:r>
    </w:p>
    <w:p w:rsidR="00DF5192" w:rsidRPr="00E4383F" w:rsidRDefault="00DF5192" w:rsidP="00DF5192">
      <w:pPr>
        <w:pStyle w:val="CM79"/>
        <w:spacing w:line="360" w:lineRule="auto"/>
        <w:rPr>
          <w:rFonts w:ascii="Times New Roman" w:hAnsi="Times New Roman" w:cs="Times New Roman"/>
        </w:rPr>
      </w:pPr>
      <w:r w:rsidRPr="00E4383F">
        <w:rPr>
          <w:rFonts w:ascii="Times New Roman" w:hAnsi="Times New Roman" w:cs="Times New Roman"/>
        </w:rPr>
        <w:t>ZPE -</w:t>
      </w:r>
      <w:r>
        <w:rPr>
          <w:rFonts w:ascii="Times New Roman" w:hAnsi="Times New Roman" w:cs="Times New Roman"/>
        </w:rPr>
        <w:t xml:space="preserve"> </w:t>
      </w:r>
      <w:r w:rsidRPr="00E4383F">
        <w:rPr>
          <w:rFonts w:ascii="Times New Roman" w:hAnsi="Times New Roman" w:cs="Times New Roman"/>
        </w:rPr>
        <w:t xml:space="preserve">Zonas de Proteção Especial </w:t>
      </w:r>
    </w:p>
    <w:p w:rsidR="00011AF5" w:rsidRPr="00347E31" w:rsidRDefault="00011AF5" w:rsidP="00347E31">
      <w:pPr>
        <w:jc w:val="both"/>
        <w:rPr>
          <w:rFonts w:cs="Times New Roman"/>
          <w:szCs w:val="24"/>
        </w:rPr>
      </w:pPr>
    </w:p>
    <w:p w:rsidR="000D3824" w:rsidRDefault="0043439F" w:rsidP="0043439F">
      <w:pPr>
        <w:rPr>
          <w:rFonts w:cs="Times New Roman"/>
          <w:b/>
          <w:sz w:val="32"/>
          <w:szCs w:val="32"/>
        </w:rPr>
        <w:sectPr w:rsidR="000D3824" w:rsidSect="007557FD">
          <w:footerReference w:type="default" r:id="rId14"/>
          <w:pgSz w:w="11906" w:h="16838"/>
          <w:pgMar w:top="1417" w:right="1701" w:bottom="1417" w:left="1701" w:header="708" w:footer="0" w:gutter="0"/>
          <w:cols w:space="708"/>
          <w:docGrid w:linePitch="360"/>
        </w:sectPr>
      </w:pPr>
      <w:r w:rsidRPr="00E94D50">
        <w:rPr>
          <w:rFonts w:cs="Times New Roman"/>
          <w:b/>
          <w:sz w:val="32"/>
          <w:szCs w:val="32"/>
        </w:rPr>
        <w:br w:type="page"/>
      </w:r>
    </w:p>
    <w:p w:rsidR="00AD48E4" w:rsidRDefault="00AD48E4" w:rsidP="00971B37">
      <w:pPr>
        <w:pStyle w:val="Titulo"/>
      </w:pPr>
      <w:bookmarkStart w:id="0" w:name="_Toc370394865"/>
      <w:bookmarkStart w:id="1" w:name="_Toc372559014"/>
      <w:bookmarkStart w:id="2" w:name="_Toc372789468"/>
      <w:r w:rsidRPr="0008092F">
        <w:lastRenderedPageBreak/>
        <w:t>APRESENTAÇÃO</w:t>
      </w:r>
      <w:bookmarkEnd w:id="0"/>
      <w:bookmarkEnd w:id="1"/>
      <w:bookmarkEnd w:id="2"/>
    </w:p>
    <w:p w:rsidR="00AD48E4" w:rsidRDefault="00AD48E4" w:rsidP="00AD48E4">
      <w:pPr>
        <w:spacing w:line="360" w:lineRule="auto"/>
        <w:ind w:firstLine="709"/>
        <w:jc w:val="both"/>
        <w:rPr>
          <w:rFonts w:cs="Times New Roman"/>
          <w:szCs w:val="24"/>
        </w:rPr>
      </w:pPr>
      <w:r w:rsidRPr="00E94D50">
        <w:rPr>
          <w:rFonts w:cs="Times New Roman"/>
          <w:szCs w:val="24"/>
        </w:rPr>
        <w:t xml:space="preserve">Este documento faz parte dos produtos relativos aos serviços contratados pela Prefeitura Municipal de Aimorés </w:t>
      </w:r>
      <w:r>
        <w:rPr>
          <w:rFonts w:cs="Times New Roman"/>
          <w:szCs w:val="24"/>
        </w:rPr>
        <w:t xml:space="preserve">com a </w:t>
      </w:r>
      <w:r w:rsidRPr="00E94D50">
        <w:rPr>
          <w:rFonts w:cs="Times New Roman"/>
          <w:szCs w:val="24"/>
        </w:rPr>
        <w:t xml:space="preserve">Fundação Educacional de Caratinga - FUNEC, </w:t>
      </w:r>
      <w:r>
        <w:rPr>
          <w:rFonts w:cs="Times New Roman"/>
          <w:szCs w:val="24"/>
        </w:rPr>
        <w:t xml:space="preserve">segundo Contrato de Nº 031/2013, que tem como objetivo principal </w:t>
      </w:r>
      <w:r w:rsidRPr="00E94D50">
        <w:rPr>
          <w:rFonts w:cs="Times New Roman"/>
          <w:szCs w:val="24"/>
        </w:rPr>
        <w:t xml:space="preserve">a elaboração do Plano </w:t>
      </w:r>
      <w:r>
        <w:rPr>
          <w:rFonts w:cs="Times New Roman"/>
          <w:szCs w:val="24"/>
        </w:rPr>
        <w:t xml:space="preserve">Municipal </w:t>
      </w:r>
      <w:r w:rsidRPr="00E94D50">
        <w:rPr>
          <w:rFonts w:cs="Times New Roman"/>
          <w:szCs w:val="24"/>
        </w:rPr>
        <w:t xml:space="preserve">de Saneamento Básico de Aimorés - PMSBA, que compreende os eixos de: abastecimento de água potável, esgotamento sanitário, manejo de resíduos sólidos e manejo de águas pluviais urbanas e </w:t>
      </w:r>
      <w:r>
        <w:rPr>
          <w:rFonts w:cs="Times New Roman"/>
          <w:szCs w:val="24"/>
        </w:rPr>
        <w:t>especificamente contém o produto 04</w:t>
      </w:r>
      <w:r w:rsidRPr="00E94D50">
        <w:rPr>
          <w:rFonts w:cs="Times New Roman"/>
          <w:szCs w:val="24"/>
        </w:rPr>
        <w:t>/11</w:t>
      </w:r>
      <w:r>
        <w:rPr>
          <w:rFonts w:cs="Times New Roman"/>
          <w:szCs w:val="24"/>
        </w:rPr>
        <w:t xml:space="preserve"> especificado no Termo de Referência utilizado como base para a definição dos trabalhos, </w:t>
      </w:r>
      <w:r w:rsidRPr="00E94D50">
        <w:rPr>
          <w:rFonts w:cs="Times New Roman"/>
          <w:szCs w:val="24"/>
        </w:rPr>
        <w:t>denominado de</w:t>
      </w:r>
      <w:r w:rsidRPr="00E94D50">
        <w:rPr>
          <w:rFonts w:cs="Times New Roman"/>
          <w:b/>
          <w:szCs w:val="24"/>
        </w:rPr>
        <w:t xml:space="preserve">: </w:t>
      </w:r>
      <w:r>
        <w:rPr>
          <w:rFonts w:cs="Times New Roman"/>
          <w:b/>
          <w:szCs w:val="24"/>
        </w:rPr>
        <w:t>RELATÓRIO DO DIAGÓSTICO TÉCNICO-PARTICIPATIVO DO PLANO MUNICIPAL DE SANEAMENTO BÁSICO</w:t>
      </w:r>
      <w:r w:rsidRPr="00E94D50">
        <w:rPr>
          <w:rFonts w:cs="Times New Roman"/>
          <w:szCs w:val="24"/>
        </w:rPr>
        <w:t xml:space="preserve">.    </w:t>
      </w:r>
    </w:p>
    <w:p w:rsidR="00AD48E4" w:rsidRDefault="00AD48E4" w:rsidP="00AD48E4">
      <w:pPr>
        <w:spacing w:after="200" w:line="276" w:lineRule="auto"/>
        <w:rPr>
          <w:rFonts w:cs="Times New Roman"/>
          <w:szCs w:val="24"/>
        </w:rPr>
      </w:pPr>
      <w:r>
        <w:rPr>
          <w:rFonts w:cs="Times New Roman"/>
          <w:szCs w:val="24"/>
        </w:rPr>
        <w:br w:type="page"/>
      </w:r>
    </w:p>
    <w:p w:rsidR="00AD48E4" w:rsidRPr="0008092F" w:rsidRDefault="00AD48E4" w:rsidP="00971B37">
      <w:pPr>
        <w:pStyle w:val="Titulo"/>
      </w:pPr>
      <w:bookmarkStart w:id="3" w:name="_Toc370394866"/>
      <w:bookmarkStart w:id="4" w:name="_Toc372559015"/>
      <w:bookmarkStart w:id="5" w:name="_Toc372789469"/>
      <w:r w:rsidRPr="0008092F">
        <w:lastRenderedPageBreak/>
        <w:t>1 INTRODUÇÃO</w:t>
      </w:r>
      <w:bookmarkEnd w:id="3"/>
      <w:bookmarkEnd w:id="4"/>
      <w:bookmarkEnd w:id="5"/>
    </w:p>
    <w:p w:rsidR="00AD48E4" w:rsidRPr="00CB047C" w:rsidRDefault="00AD48E4" w:rsidP="00AD48E4">
      <w:pPr>
        <w:pStyle w:val="Recuodecorpodetexto"/>
        <w:spacing w:line="360" w:lineRule="auto"/>
        <w:ind w:firstLine="709"/>
        <w:rPr>
          <w:rFonts w:eastAsia="Arial Unicode MS"/>
        </w:rPr>
      </w:pPr>
      <w:r w:rsidRPr="00CB047C">
        <w:rPr>
          <w:rFonts w:eastAsia="Arial Unicode MS"/>
        </w:rPr>
        <w:t xml:space="preserve">Após anos de intensos debate e a apresentação de sucessivos projetos de lei, o legislativo nacional aprovou a Lei Nº 11.445 de 5 de janeiro de 2007, que estabelece as diretrizes nacionais para o saneamento básico e para a política federal de saneamento básico (BRASIL, 2007). </w:t>
      </w:r>
    </w:p>
    <w:p w:rsidR="00AD48E4" w:rsidRPr="00CB047C" w:rsidRDefault="00AD48E4" w:rsidP="00AD48E4">
      <w:pPr>
        <w:pStyle w:val="Recuodecorpodetexto"/>
        <w:spacing w:line="360" w:lineRule="auto"/>
        <w:ind w:firstLine="709"/>
        <w:rPr>
          <w:rFonts w:eastAsia="Arial Unicode MS"/>
        </w:rPr>
      </w:pPr>
      <w:r w:rsidRPr="00CB047C">
        <w:rPr>
          <w:rFonts w:eastAsia="Arial Unicode MS"/>
        </w:rPr>
        <w:t>O Ministério da Saúde, através da FUNASA, vem implementando a política de Saneamento Básico no país, com ações voltadas para a melhoria da infraestrutura nos serviços de abastecimento de água, coleta e tratamento de esgotos sanitário, limpeza urbana e manejo dos resíduos sólidos e drenagem de águas pluviais urbanas.</w:t>
      </w:r>
    </w:p>
    <w:p w:rsidR="00AD48E4" w:rsidRDefault="00AD48E4" w:rsidP="00AD48E4">
      <w:pPr>
        <w:pStyle w:val="Recuodecorpodetexto"/>
        <w:spacing w:line="360" w:lineRule="auto"/>
        <w:ind w:firstLine="709"/>
        <w:rPr>
          <w:rFonts w:eastAsia="Arial Unicode MS"/>
        </w:rPr>
      </w:pPr>
      <w:r w:rsidRPr="00CB047C">
        <w:rPr>
          <w:rFonts w:eastAsia="Arial Unicode MS"/>
        </w:rPr>
        <w:t xml:space="preserve">A Prefeitura Municipal de </w:t>
      </w:r>
      <w:r>
        <w:rPr>
          <w:rFonts w:eastAsia="Arial Unicode MS"/>
        </w:rPr>
        <w:t>Aimorés</w:t>
      </w:r>
      <w:r w:rsidRPr="00CB047C">
        <w:rPr>
          <w:rFonts w:eastAsia="Arial Unicode MS"/>
        </w:rPr>
        <w:t xml:space="preserve"> após ser contemplada com financiamento da FUNASA</w:t>
      </w:r>
      <w:r>
        <w:rPr>
          <w:rFonts w:eastAsia="Arial Unicode MS"/>
        </w:rPr>
        <w:t>,</w:t>
      </w:r>
      <w:r w:rsidRPr="00CB047C">
        <w:rPr>
          <w:rFonts w:eastAsia="Arial Unicode MS"/>
        </w:rPr>
        <w:t xml:space="preserve"> </w:t>
      </w:r>
      <w:r>
        <w:rPr>
          <w:rFonts w:eastAsia="Arial Unicode MS"/>
        </w:rPr>
        <w:t>deu</w:t>
      </w:r>
      <w:r w:rsidRPr="00CB047C">
        <w:rPr>
          <w:rFonts w:eastAsia="Arial Unicode MS"/>
        </w:rPr>
        <w:t xml:space="preserve"> início à formulação de seu Plano Municipal de Saneamento Básico.</w:t>
      </w:r>
    </w:p>
    <w:p w:rsidR="00AD48E4" w:rsidRPr="00673009" w:rsidRDefault="00AD48E4" w:rsidP="00AD48E4">
      <w:pPr>
        <w:pStyle w:val="Recuodecorpodetexto"/>
        <w:spacing w:line="360" w:lineRule="auto"/>
        <w:ind w:firstLine="709"/>
        <w:rPr>
          <w:rFonts w:eastAsia="Arial Unicode MS"/>
        </w:rPr>
      </w:pPr>
      <w:r w:rsidRPr="00673009">
        <w:rPr>
          <w:rFonts w:eastAsia="Arial Unicode MS"/>
        </w:rPr>
        <w:t xml:space="preserve">Os estudos para a elaboração do Plano Municipal de Saneamento Básico </w:t>
      </w:r>
      <w:r>
        <w:rPr>
          <w:rFonts w:eastAsia="Arial Unicode MS"/>
        </w:rPr>
        <w:t>estão sendo</w:t>
      </w:r>
      <w:r w:rsidRPr="00673009">
        <w:rPr>
          <w:rFonts w:eastAsia="Arial Unicode MS"/>
        </w:rPr>
        <w:t xml:space="preserve"> desenvolvidos a partir da metodologia participativa da sociedade na elaboração do plano. Para a constituição do diagnóstico da situação e de seus impactos nas condições de vida, </w:t>
      </w:r>
      <w:r>
        <w:rPr>
          <w:rFonts w:eastAsia="Arial Unicode MS"/>
        </w:rPr>
        <w:t xml:space="preserve">foram </w:t>
      </w:r>
      <w:r w:rsidRPr="00673009">
        <w:rPr>
          <w:rFonts w:eastAsia="Arial Unicode MS"/>
        </w:rPr>
        <w:t xml:space="preserve">utilizados sistemas de indicadores sanitários, epidemiológicos, ambientais e socioeconômicos apontando as causas das deficiências detectadas, sendo sempre assegurada a participação da sociedade e </w:t>
      </w:r>
      <w:r>
        <w:rPr>
          <w:rFonts w:eastAsia="Arial Unicode MS"/>
        </w:rPr>
        <w:t xml:space="preserve">uma </w:t>
      </w:r>
      <w:r w:rsidRPr="00673009">
        <w:rPr>
          <w:rFonts w:eastAsia="Arial Unicode MS"/>
        </w:rPr>
        <w:t>ampla divulgação dos estudos e propostas.</w:t>
      </w:r>
    </w:p>
    <w:p w:rsidR="00AD48E4" w:rsidRDefault="00AD48E4" w:rsidP="00AD48E4">
      <w:pPr>
        <w:spacing w:after="200" w:line="276" w:lineRule="auto"/>
        <w:rPr>
          <w:rFonts w:eastAsia="Arial Unicode MS"/>
        </w:rPr>
      </w:pPr>
      <w:r>
        <w:rPr>
          <w:rFonts w:eastAsia="Arial Unicode MS"/>
        </w:rPr>
        <w:br w:type="page"/>
      </w:r>
    </w:p>
    <w:p w:rsidR="00AD48E4" w:rsidRPr="00011AF5" w:rsidRDefault="00AD48E4" w:rsidP="00971B37">
      <w:pPr>
        <w:pStyle w:val="Titulo"/>
      </w:pPr>
      <w:bookmarkStart w:id="6" w:name="_Toc372559016"/>
      <w:bookmarkStart w:id="7" w:name="_Toc372789470"/>
      <w:r w:rsidRPr="00011AF5">
        <w:lastRenderedPageBreak/>
        <w:t>2 CONTEXTUALIZA</w:t>
      </w:r>
      <w:r w:rsidRPr="00673009">
        <w:t>ÇÃO</w:t>
      </w:r>
      <w:bookmarkEnd w:id="6"/>
      <w:bookmarkEnd w:id="7"/>
    </w:p>
    <w:p w:rsidR="00AD48E4" w:rsidRDefault="00AD48E4" w:rsidP="00AD48E4">
      <w:pPr>
        <w:spacing w:after="0" w:line="360" w:lineRule="auto"/>
        <w:ind w:firstLine="709"/>
        <w:jc w:val="both"/>
        <w:rPr>
          <w:rFonts w:eastAsia="Arial Unicode MS" w:cs="Times New Roman"/>
          <w:szCs w:val="24"/>
        </w:rPr>
      </w:pPr>
      <w:r w:rsidRPr="00011AF5">
        <w:rPr>
          <w:rFonts w:eastAsia="Arial Unicode MS" w:cs="Times New Roman"/>
          <w:szCs w:val="24"/>
        </w:rPr>
        <w:t xml:space="preserve">Historicamente no Brasil as questões de saneamento </w:t>
      </w:r>
      <w:r>
        <w:rPr>
          <w:rFonts w:eastAsia="Arial Unicode MS" w:cs="Times New Roman"/>
          <w:szCs w:val="24"/>
        </w:rPr>
        <w:t>tem sido</w:t>
      </w:r>
      <w:r w:rsidRPr="00011AF5">
        <w:rPr>
          <w:rFonts w:eastAsia="Arial Unicode MS" w:cs="Times New Roman"/>
          <w:szCs w:val="24"/>
        </w:rPr>
        <w:t xml:space="preserve"> tratadas sem uma integração efetiva d</w:t>
      </w:r>
      <w:r>
        <w:rPr>
          <w:rFonts w:eastAsia="Arial Unicode MS" w:cs="Times New Roman"/>
          <w:szCs w:val="24"/>
        </w:rPr>
        <w:t>o</w:t>
      </w:r>
      <w:r w:rsidRPr="00011AF5">
        <w:rPr>
          <w:rFonts w:eastAsia="Arial Unicode MS" w:cs="Times New Roman"/>
          <w:szCs w:val="24"/>
        </w:rPr>
        <w:t xml:space="preserve">s </w:t>
      </w:r>
      <w:r>
        <w:rPr>
          <w:rFonts w:eastAsia="Arial Unicode MS" w:cs="Times New Roman"/>
          <w:szCs w:val="24"/>
        </w:rPr>
        <w:t xml:space="preserve">pilares que de fato se relacionam </w:t>
      </w:r>
      <w:r w:rsidRPr="00011AF5">
        <w:rPr>
          <w:rFonts w:eastAsia="Arial Unicode MS" w:cs="Times New Roman"/>
          <w:szCs w:val="24"/>
        </w:rPr>
        <w:t xml:space="preserve">ao saneamento básico. Em Aimorés não </w:t>
      </w:r>
      <w:r>
        <w:rPr>
          <w:rFonts w:eastAsia="Arial Unicode MS" w:cs="Times New Roman"/>
          <w:szCs w:val="24"/>
        </w:rPr>
        <w:t>foi</w:t>
      </w:r>
      <w:r w:rsidRPr="00011AF5">
        <w:rPr>
          <w:rFonts w:eastAsia="Arial Unicode MS" w:cs="Times New Roman"/>
          <w:szCs w:val="24"/>
        </w:rPr>
        <w:t xml:space="preserve"> diferente, o saneamento de uma foram geral</w:t>
      </w:r>
      <w:r>
        <w:rPr>
          <w:rFonts w:eastAsia="Arial Unicode MS" w:cs="Times New Roman"/>
          <w:szCs w:val="24"/>
        </w:rPr>
        <w:t>,</w:t>
      </w:r>
      <w:r w:rsidRPr="00011AF5">
        <w:rPr>
          <w:rFonts w:eastAsia="Arial Unicode MS" w:cs="Times New Roman"/>
          <w:szCs w:val="24"/>
        </w:rPr>
        <w:t xml:space="preserve"> tem </w:t>
      </w:r>
      <w:r>
        <w:rPr>
          <w:rFonts w:eastAsia="Arial Unicode MS" w:cs="Times New Roman"/>
          <w:szCs w:val="24"/>
        </w:rPr>
        <w:t xml:space="preserve">sido tratado </w:t>
      </w:r>
      <w:r w:rsidRPr="00011AF5">
        <w:rPr>
          <w:rFonts w:eastAsia="Arial Unicode MS" w:cs="Times New Roman"/>
          <w:szCs w:val="24"/>
        </w:rPr>
        <w:t>sem uma integração mais efetiva de toda a administração municipal, principalmente quando relacionado ao planejamento, gestão e controle dos serviços prestados.</w:t>
      </w:r>
    </w:p>
    <w:p w:rsidR="00AD48E4" w:rsidRDefault="00AD48E4" w:rsidP="00AD48E4">
      <w:pPr>
        <w:spacing w:after="0" w:line="360" w:lineRule="auto"/>
        <w:ind w:firstLine="709"/>
        <w:jc w:val="both"/>
        <w:rPr>
          <w:rFonts w:eastAsia="Arial Unicode MS" w:cs="Times New Roman"/>
          <w:szCs w:val="24"/>
        </w:rPr>
      </w:pPr>
      <w:r w:rsidRPr="007D30BE">
        <w:rPr>
          <w:rFonts w:eastAsia="Arial Unicode MS" w:cs="Times New Roman"/>
          <w:szCs w:val="24"/>
        </w:rPr>
        <w:t>O conceito de saneamento tem evoluído ao l</w:t>
      </w:r>
      <w:r>
        <w:rPr>
          <w:rFonts w:eastAsia="Arial Unicode MS" w:cs="Times New Roman"/>
          <w:szCs w:val="24"/>
        </w:rPr>
        <w:t xml:space="preserve">ongo da história relacionado, </w:t>
      </w:r>
      <w:r w:rsidRPr="007D30BE">
        <w:rPr>
          <w:rFonts w:eastAsia="Arial Unicode MS" w:cs="Times New Roman"/>
          <w:szCs w:val="24"/>
        </w:rPr>
        <w:t>principalmente, ao contexto político e social de cada</w:t>
      </w:r>
      <w:r>
        <w:rPr>
          <w:rFonts w:eastAsia="Arial Unicode MS" w:cs="Times New Roman"/>
          <w:szCs w:val="24"/>
        </w:rPr>
        <w:t xml:space="preserve"> estágio de desenvolvimento da </w:t>
      </w:r>
      <w:r w:rsidRPr="007D30BE">
        <w:rPr>
          <w:rFonts w:eastAsia="Arial Unicode MS" w:cs="Times New Roman"/>
          <w:szCs w:val="24"/>
        </w:rPr>
        <w:t>sociedade. Originalmente, sua característica fund</w:t>
      </w:r>
      <w:r>
        <w:rPr>
          <w:rFonts w:eastAsia="Arial Unicode MS" w:cs="Times New Roman"/>
          <w:szCs w:val="24"/>
        </w:rPr>
        <w:t xml:space="preserve">amentou-se na promoção de ações </w:t>
      </w:r>
      <w:r w:rsidRPr="007D30BE">
        <w:rPr>
          <w:rFonts w:eastAsia="Arial Unicode MS" w:cs="Times New Roman"/>
          <w:szCs w:val="24"/>
        </w:rPr>
        <w:t>que busquem a melhoria das condições de saúde. Mai</w:t>
      </w:r>
      <w:r>
        <w:rPr>
          <w:rFonts w:eastAsia="Arial Unicode MS" w:cs="Times New Roman"/>
          <w:szCs w:val="24"/>
        </w:rPr>
        <w:t xml:space="preserve">s recentemente, em função dos rápidos </w:t>
      </w:r>
      <w:r w:rsidRPr="007D30BE">
        <w:rPr>
          <w:rFonts w:eastAsia="Arial Unicode MS" w:cs="Times New Roman"/>
          <w:szCs w:val="24"/>
        </w:rPr>
        <w:t>processos de urbanização das cidades brasileiras,</w:t>
      </w:r>
      <w:r>
        <w:rPr>
          <w:rFonts w:eastAsia="Arial Unicode MS" w:cs="Times New Roman"/>
          <w:szCs w:val="24"/>
        </w:rPr>
        <w:t xml:space="preserve"> a noção de saneamento passa a </w:t>
      </w:r>
      <w:r w:rsidRPr="007D30BE">
        <w:rPr>
          <w:rFonts w:eastAsia="Arial Unicode MS" w:cs="Times New Roman"/>
          <w:szCs w:val="24"/>
        </w:rPr>
        <w:t>incorporar questões que vão além dos aspectos sa</w:t>
      </w:r>
      <w:r>
        <w:rPr>
          <w:rFonts w:eastAsia="Arial Unicode MS" w:cs="Times New Roman"/>
          <w:szCs w:val="24"/>
        </w:rPr>
        <w:t xml:space="preserve">nitários, agregando, com maior </w:t>
      </w:r>
      <w:r w:rsidRPr="007D30BE">
        <w:rPr>
          <w:rFonts w:eastAsia="Arial Unicode MS" w:cs="Times New Roman"/>
          <w:szCs w:val="24"/>
        </w:rPr>
        <w:t>ênfase, a dimensão ambiental, com destaque à impor</w:t>
      </w:r>
      <w:r>
        <w:rPr>
          <w:rFonts w:eastAsia="Arial Unicode MS" w:cs="Times New Roman"/>
          <w:szCs w:val="24"/>
        </w:rPr>
        <w:t xml:space="preserve">tância das intervenções para a </w:t>
      </w:r>
      <w:r w:rsidRPr="007D30BE">
        <w:rPr>
          <w:rFonts w:eastAsia="Arial Unicode MS" w:cs="Times New Roman"/>
          <w:szCs w:val="24"/>
        </w:rPr>
        <w:t>preservação e a conservação do meio ambiente. A par</w:t>
      </w:r>
      <w:r>
        <w:rPr>
          <w:rFonts w:eastAsia="Arial Unicode MS" w:cs="Times New Roman"/>
          <w:szCs w:val="24"/>
        </w:rPr>
        <w:t xml:space="preserve">tir de então fica fortalecido, </w:t>
      </w:r>
      <w:r w:rsidRPr="007D30BE">
        <w:rPr>
          <w:rFonts w:eastAsia="Arial Unicode MS" w:cs="Times New Roman"/>
          <w:szCs w:val="24"/>
        </w:rPr>
        <w:t>também, o papel essencial do saneamento</w:t>
      </w:r>
      <w:r>
        <w:rPr>
          <w:rFonts w:eastAsia="Arial Unicode MS" w:cs="Times New Roman"/>
          <w:szCs w:val="24"/>
        </w:rPr>
        <w:t xml:space="preserve"> na indução do desenvolvimento </w:t>
      </w:r>
      <w:r w:rsidRPr="007D30BE">
        <w:rPr>
          <w:rFonts w:eastAsia="Arial Unicode MS" w:cs="Times New Roman"/>
          <w:szCs w:val="24"/>
        </w:rPr>
        <w:t xml:space="preserve">sustentável e, por conseguinte, na melhoria da </w:t>
      </w:r>
      <w:r>
        <w:rPr>
          <w:rFonts w:eastAsia="Arial Unicode MS" w:cs="Times New Roman"/>
          <w:szCs w:val="24"/>
        </w:rPr>
        <w:t xml:space="preserve">qualidade de vida da população </w:t>
      </w:r>
      <w:r w:rsidRPr="007D30BE">
        <w:rPr>
          <w:rFonts w:eastAsia="Arial Unicode MS" w:cs="Times New Roman"/>
          <w:szCs w:val="24"/>
        </w:rPr>
        <w:t>brasileira e na garantia da preservação dos recu</w:t>
      </w:r>
      <w:r>
        <w:rPr>
          <w:rFonts w:eastAsia="Arial Unicode MS" w:cs="Times New Roman"/>
          <w:szCs w:val="24"/>
        </w:rPr>
        <w:t xml:space="preserve">rsos naturais para as gerações </w:t>
      </w:r>
      <w:r w:rsidRPr="007D30BE">
        <w:rPr>
          <w:rFonts w:eastAsia="Arial Unicode MS" w:cs="Times New Roman"/>
          <w:szCs w:val="24"/>
        </w:rPr>
        <w:t>futuras</w:t>
      </w:r>
      <w:r>
        <w:rPr>
          <w:rFonts w:eastAsia="Arial Unicode MS" w:cs="Times New Roman"/>
          <w:szCs w:val="24"/>
        </w:rPr>
        <w:t>.</w:t>
      </w:r>
    </w:p>
    <w:p w:rsidR="00AD48E4" w:rsidRPr="00011AF5" w:rsidRDefault="00AD48E4" w:rsidP="00AD48E4">
      <w:pPr>
        <w:spacing w:after="0" w:line="360" w:lineRule="auto"/>
        <w:ind w:firstLine="709"/>
        <w:jc w:val="both"/>
        <w:rPr>
          <w:rFonts w:eastAsia="Arial Unicode MS" w:cs="Times New Roman"/>
          <w:szCs w:val="24"/>
        </w:rPr>
      </w:pPr>
      <w:r w:rsidRPr="007D30BE">
        <w:rPr>
          <w:rFonts w:eastAsia="Arial Unicode MS" w:cs="Times New Roman"/>
          <w:szCs w:val="24"/>
        </w:rPr>
        <w:t>Assim, pode-se considerar que o saneamento vin</w:t>
      </w:r>
      <w:r>
        <w:rPr>
          <w:rFonts w:eastAsia="Arial Unicode MS" w:cs="Times New Roman"/>
          <w:szCs w:val="24"/>
        </w:rPr>
        <w:t xml:space="preserve">cula-se diretamente a questões </w:t>
      </w:r>
      <w:r w:rsidRPr="007D30BE">
        <w:rPr>
          <w:rFonts w:eastAsia="Arial Unicode MS" w:cs="Times New Roman"/>
          <w:szCs w:val="24"/>
        </w:rPr>
        <w:t xml:space="preserve">sociais </w:t>
      </w:r>
      <w:r>
        <w:rPr>
          <w:rFonts w:eastAsia="Arial Unicode MS" w:cs="Times New Roman"/>
          <w:szCs w:val="24"/>
        </w:rPr>
        <w:t>que acabam gerando problemas de considerável gravidade como:</w:t>
      </w:r>
      <w:r w:rsidRPr="007D30BE">
        <w:rPr>
          <w:rFonts w:eastAsia="Arial Unicode MS" w:cs="Times New Roman"/>
          <w:szCs w:val="24"/>
        </w:rPr>
        <w:t xml:space="preserve"> à reversão de quadros epidemiológicos alarmantes e </w:t>
      </w:r>
      <w:r>
        <w:rPr>
          <w:rFonts w:eastAsia="Arial Unicode MS" w:cs="Times New Roman"/>
          <w:szCs w:val="24"/>
        </w:rPr>
        <w:t>sua</w:t>
      </w:r>
      <w:r w:rsidRPr="007D30BE">
        <w:rPr>
          <w:rFonts w:eastAsia="Arial Unicode MS" w:cs="Times New Roman"/>
          <w:szCs w:val="24"/>
        </w:rPr>
        <w:t xml:space="preserve"> recuperação, melhoria, conservação e preservação ambiental, com impacto imediato na saúde pública, traduzindo-se em melhorias para o ambiente urbano e rural e da qualidade de vida da população. Sob essa lógica, os serviços de saneamento devem ser concebidos em articulação com as políticas de desenvolvimento urbano e regional, de habitação, de combate à pobreza, de proteção ambiental, de recursos hídricos, de promoção da saúde, de educação ambiental e outras </w:t>
      </w:r>
      <w:r>
        <w:rPr>
          <w:rFonts w:eastAsia="Arial Unicode MS" w:cs="Times New Roman"/>
          <w:szCs w:val="24"/>
        </w:rPr>
        <w:t xml:space="preserve">de relevante interesse social, </w:t>
      </w:r>
      <w:r w:rsidRPr="007D30BE">
        <w:rPr>
          <w:rFonts w:eastAsia="Arial Unicode MS" w:cs="Times New Roman"/>
          <w:szCs w:val="24"/>
        </w:rPr>
        <w:t>voltadas para a melhoria da qualidade de vida, para as quais o saneamento básico seja fator determinante. Essa abordagem pressupõe, portanto, a estreita articulação do setor com questões ambientais, econômic</w:t>
      </w:r>
      <w:r>
        <w:rPr>
          <w:rFonts w:eastAsia="Arial Unicode MS" w:cs="Times New Roman"/>
          <w:szCs w:val="24"/>
        </w:rPr>
        <w:t xml:space="preserve">as, de saúde, de educação e de </w:t>
      </w:r>
      <w:r w:rsidR="00A04754">
        <w:rPr>
          <w:rFonts w:eastAsia="Arial Unicode MS" w:cs="Times New Roman"/>
          <w:szCs w:val="24"/>
        </w:rPr>
        <w:t>de</w:t>
      </w:r>
      <w:r w:rsidRPr="007D30BE">
        <w:rPr>
          <w:rFonts w:eastAsia="Arial Unicode MS" w:cs="Times New Roman"/>
          <w:szCs w:val="24"/>
        </w:rPr>
        <w:t>senvolvimento social.</w:t>
      </w:r>
    </w:p>
    <w:p w:rsidR="00AD48E4" w:rsidRPr="00011AF5" w:rsidRDefault="00AD48E4" w:rsidP="00460877">
      <w:pPr>
        <w:pStyle w:val="Titulo"/>
        <w:spacing w:before="0"/>
      </w:pPr>
      <w:r>
        <w:rPr>
          <w:szCs w:val="24"/>
          <w:highlight w:val="yellow"/>
        </w:rPr>
        <w:br w:type="page"/>
      </w:r>
      <w:bookmarkStart w:id="8" w:name="_Toc372559017"/>
      <w:bookmarkStart w:id="9" w:name="_Toc372789471"/>
      <w:r w:rsidRPr="00011AF5">
        <w:lastRenderedPageBreak/>
        <w:t>3 OBJETIVOS</w:t>
      </w:r>
      <w:bookmarkEnd w:id="8"/>
      <w:bookmarkEnd w:id="9"/>
    </w:p>
    <w:p w:rsidR="00AD48E4" w:rsidRDefault="00347E31" w:rsidP="00971B37">
      <w:pPr>
        <w:pStyle w:val="Titulo"/>
      </w:pPr>
      <w:bookmarkStart w:id="10" w:name="_Toc372559018"/>
      <w:bookmarkStart w:id="11" w:name="_Toc372789472"/>
      <w:r w:rsidRPr="00166C63">
        <w:t xml:space="preserve">3.1 </w:t>
      </w:r>
      <w:r w:rsidR="00AD48E4" w:rsidRPr="00166C63">
        <w:t>Objetivo Geral</w:t>
      </w:r>
      <w:bookmarkEnd w:id="10"/>
      <w:bookmarkEnd w:id="11"/>
      <w:r w:rsidR="00AD48E4">
        <w:t xml:space="preserve"> </w:t>
      </w:r>
    </w:p>
    <w:p w:rsidR="00AD48E4" w:rsidRPr="00011AF5" w:rsidRDefault="00AD48E4" w:rsidP="00AD48E4">
      <w:pPr>
        <w:spacing w:line="360" w:lineRule="auto"/>
        <w:ind w:firstLine="709"/>
        <w:jc w:val="both"/>
        <w:rPr>
          <w:rFonts w:eastAsia="Arial Unicode MS" w:cs="Times New Roman"/>
          <w:szCs w:val="24"/>
        </w:rPr>
      </w:pPr>
      <w:r w:rsidRPr="00011AF5">
        <w:rPr>
          <w:rFonts w:eastAsia="Arial Unicode MS" w:cs="Times New Roman"/>
          <w:szCs w:val="24"/>
        </w:rPr>
        <w:t xml:space="preserve">O objetivo geral </w:t>
      </w:r>
      <w:r>
        <w:rPr>
          <w:rFonts w:eastAsia="Arial Unicode MS" w:cs="Times New Roman"/>
          <w:szCs w:val="24"/>
        </w:rPr>
        <w:t xml:space="preserve">deste produto foi elaborar </w:t>
      </w:r>
      <w:r w:rsidRPr="00011AF5">
        <w:rPr>
          <w:rFonts w:eastAsia="Arial Unicode MS" w:cs="Times New Roman"/>
          <w:szCs w:val="24"/>
        </w:rPr>
        <w:t xml:space="preserve">o </w:t>
      </w:r>
      <w:r>
        <w:rPr>
          <w:rFonts w:eastAsia="Arial Unicode MS" w:cs="Times New Roman"/>
          <w:szCs w:val="24"/>
        </w:rPr>
        <w:t>D</w:t>
      </w:r>
      <w:r w:rsidRPr="00011AF5">
        <w:rPr>
          <w:rFonts w:eastAsia="Arial Unicode MS" w:cs="Times New Roman"/>
          <w:szCs w:val="24"/>
        </w:rPr>
        <w:t xml:space="preserve">iagnóstico </w:t>
      </w:r>
      <w:r>
        <w:rPr>
          <w:rFonts w:eastAsia="Arial Unicode MS" w:cs="Times New Roman"/>
          <w:szCs w:val="24"/>
        </w:rPr>
        <w:t xml:space="preserve">Técnico Participativo </w:t>
      </w:r>
      <w:r w:rsidRPr="00011AF5">
        <w:rPr>
          <w:rFonts w:eastAsia="Arial Unicode MS" w:cs="Times New Roman"/>
          <w:szCs w:val="24"/>
        </w:rPr>
        <w:t>da situação do saneamento básico (água, esgotamento sanitário, drenagem e manejo de águas pluviais e limpeza urbana e resíduos sólidos)</w:t>
      </w:r>
      <w:r>
        <w:rPr>
          <w:rFonts w:eastAsia="Arial Unicode MS" w:cs="Times New Roman"/>
          <w:szCs w:val="24"/>
        </w:rPr>
        <w:t xml:space="preserve">, no município de Aimorés, baseado na </w:t>
      </w:r>
      <w:r w:rsidRPr="00011AF5">
        <w:rPr>
          <w:rFonts w:eastAsia="Arial Unicode MS" w:cs="Times New Roman"/>
          <w:szCs w:val="24"/>
        </w:rPr>
        <w:t>consolida</w:t>
      </w:r>
      <w:r>
        <w:rPr>
          <w:rFonts w:eastAsia="Arial Unicode MS" w:cs="Times New Roman"/>
          <w:szCs w:val="24"/>
        </w:rPr>
        <w:t>ção de</w:t>
      </w:r>
      <w:r w:rsidRPr="00011AF5">
        <w:rPr>
          <w:rFonts w:eastAsia="Arial Unicode MS" w:cs="Times New Roman"/>
          <w:szCs w:val="24"/>
        </w:rPr>
        <w:t xml:space="preserve"> informações sobre</w:t>
      </w:r>
      <w:r>
        <w:rPr>
          <w:rFonts w:eastAsia="Arial Unicode MS" w:cs="Times New Roman"/>
          <w:szCs w:val="24"/>
        </w:rPr>
        <w:t>:</w:t>
      </w:r>
      <w:r w:rsidRPr="00011AF5">
        <w:rPr>
          <w:rFonts w:eastAsia="Arial Unicode MS" w:cs="Times New Roman"/>
          <w:szCs w:val="24"/>
        </w:rPr>
        <w:t xml:space="preserve"> as condições de salubridade ambiental e dos serviços de saneamento básico, considerando os dados atuais e projeções como o perfil populacional, o quadro epidemiológico e de saúde, os indicadores socioeconômicos e ambientais, o desempenho na prestação de serviços, e dados de outros setores correlatos</w:t>
      </w:r>
      <w:r>
        <w:rPr>
          <w:rFonts w:eastAsia="Arial Unicode MS" w:cs="Times New Roman"/>
          <w:szCs w:val="24"/>
        </w:rPr>
        <w:t>; além da opinião da sociedade sobre a operacionalização em qualidade e quantidade dos serviços de saneamento básico, em todo o município de Aimorés</w:t>
      </w:r>
      <w:r w:rsidRPr="00011AF5">
        <w:rPr>
          <w:rFonts w:eastAsia="Arial Unicode MS" w:cs="Times New Roman"/>
          <w:szCs w:val="24"/>
        </w:rPr>
        <w:t xml:space="preserve">. </w:t>
      </w:r>
    </w:p>
    <w:p w:rsidR="00AD48E4" w:rsidRDefault="00347E31" w:rsidP="00971B37">
      <w:pPr>
        <w:pStyle w:val="Titulo"/>
      </w:pPr>
      <w:bookmarkStart w:id="12" w:name="_Toc372559019"/>
      <w:bookmarkStart w:id="13" w:name="_Toc372789473"/>
      <w:r w:rsidRPr="00166C63">
        <w:t xml:space="preserve">3.2 </w:t>
      </w:r>
      <w:r w:rsidR="00AD48E4" w:rsidRPr="00166C63">
        <w:t>Objetivos Específicos</w:t>
      </w:r>
      <w:bookmarkEnd w:id="12"/>
      <w:bookmarkEnd w:id="13"/>
    </w:p>
    <w:p w:rsidR="00AD48E4" w:rsidRDefault="00AD48E4" w:rsidP="0053477A">
      <w:pPr>
        <w:pStyle w:val="CM73"/>
        <w:numPr>
          <w:ilvl w:val="0"/>
          <w:numId w:val="6"/>
        </w:numPr>
        <w:spacing w:line="360" w:lineRule="auto"/>
        <w:ind w:left="426" w:hanging="426"/>
        <w:jc w:val="both"/>
        <w:rPr>
          <w:rFonts w:ascii="Times New Roman" w:hAnsi="Times New Roman" w:cs="Times New Roman"/>
        </w:rPr>
      </w:pPr>
      <w:r w:rsidRPr="00987CD2">
        <w:rPr>
          <w:rFonts w:ascii="Times New Roman" w:hAnsi="Times New Roman" w:cs="Times New Roman"/>
        </w:rPr>
        <w:t>Caracterizar o município considerando a inserção regional, incluindo a relação com os municípios vizinhos, o e</w:t>
      </w:r>
      <w:r>
        <w:rPr>
          <w:rFonts w:ascii="Times New Roman" w:hAnsi="Times New Roman" w:cs="Times New Roman"/>
        </w:rPr>
        <w:t>stado e as bacias hidrográficas.</w:t>
      </w:r>
    </w:p>
    <w:p w:rsidR="00AD48E4" w:rsidRDefault="00AD48E4" w:rsidP="0053477A">
      <w:pPr>
        <w:pStyle w:val="CM73"/>
        <w:numPr>
          <w:ilvl w:val="0"/>
          <w:numId w:val="6"/>
        </w:numPr>
        <w:spacing w:line="360" w:lineRule="auto"/>
        <w:ind w:left="426" w:hanging="426"/>
        <w:jc w:val="both"/>
        <w:rPr>
          <w:rFonts w:ascii="Times New Roman" w:hAnsi="Times New Roman" w:cs="Times New Roman"/>
        </w:rPr>
      </w:pPr>
      <w:r>
        <w:rPr>
          <w:rFonts w:ascii="Times New Roman" w:hAnsi="Times New Roman" w:cs="Times New Roman"/>
        </w:rPr>
        <w:t xml:space="preserve">Avaliar a situação atual dos serviços de saneamento básico e identificar as </w:t>
      </w:r>
      <w:r w:rsidRPr="00011AF5">
        <w:rPr>
          <w:rFonts w:ascii="Times New Roman" w:hAnsi="Times New Roman" w:cs="Times New Roman"/>
        </w:rPr>
        <w:t>causas das deficiências dos serviços de saneamento (água, esgotamento sanitário, drenagem e manejo de águas pluviais e limpeza urbana e resíduos sólidos), para que seja possível indicar as alternativas para a universalização dos serviços de saneamento</w:t>
      </w:r>
      <w:r>
        <w:rPr>
          <w:rFonts w:ascii="Times New Roman" w:hAnsi="Times New Roman" w:cs="Times New Roman"/>
        </w:rPr>
        <w:t>, sendo os itens avaliados os seguintes</w:t>
      </w:r>
      <w:r w:rsidRPr="00011AF5">
        <w:rPr>
          <w:rFonts w:ascii="Times New Roman" w:hAnsi="Times New Roman" w:cs="Times New Roman"/>
        </w:rPr>
        <w:t xml:space="preserve">: </w:t>
      </w:r>
    </w:p>
    <w:p w:rsidR="00AD48E4" w:rsidRDefault="00AD48E4" w:rsidP="0053477A">
      <w:pPr>
        <w:pStyle w:val="CM73"/>
        <w:numPr>
          <w:ilvl w:val="0"/>
          <w:numId w:val="7"/>
        </w:numPr>
        <w:spacing w:line="360" w:lineRule="auto"/>
        <w:ind w:left="851" w:hanging="425"/>
        <w:jc w:val="both"/>
        <w:rPr>
          <w:rFonts w:ascii="Times New Roman" w:hAnsi="Times New Roman" w:cs="Times New Roman"/>
        </w:rPr>
      </w:pPr>
      <w:r w:rsidRPr="00011AF5">
        <w:rPr>
          <w:rFonts w:ascii="Times New Roman" w:hAnsi="Times New Roman" w:cs="Times New Roman"/>
        </w:rPr>
        <w:t xml:space="preserve">Abastecimento de água: constituído pelas atividades, infraestruturas e instalações necessárias ao abastecimento público de água potável, desde a captação até as ligações prediais e respectivos instrumentos de medição; </w:t>
      </w:r>
    </w:p>
    <w:p w:rsidR="00AD48E4" w:rsidRDefault="00AD48E4" w:rsidP="0053477A">
      <w:pPr>
        <w:pStyle w:val="CM73"/>
        <w:numPr>
          <w:ilvl w:val="0"/>
          <w:numId w:val="7"/>
        </w:numPr>
        <w:spacing w:line="360" w:lineRule="auto"/>
        <w:ind w:left="851" w:hanging="425"/>
        <w:jc w:val="both"/>
        <w:rPr>
          <w:rFonts w:ascii="Times New Roman" w:hAnsi="Times New Roman" w:cs="Times New Roman"/>
        </w:rPr>
      </w:pPr>
      <w:r w:rsidRPr="00011AF5">
        <w:rPr>
          <w:rFonts w:ascii="Times New Roman" w:hAnsi="Times New Roman" w:cs="Times New Roman"/>
        </w:rPr>
        <w:t>Esgotamento sanitário: constituído pelas atividades</w:t>
      </w:r>
      <w:r>
        <w:rPr>
          <w:rFonts w:ascii="Times New Roman" w:hAnsi="Times New Roman" w:cs="Times New Roman"/>
        </w:rPr>
        <w:t xml:space="preserve"> de</w:t>
      </w:r>
      <w:r w:rsidRPr="00011AF5">
        <w:rPr>
          <w:rFonts w:ascii="Times New Roman" w:hAnsi="Times New Roman" w:cs="Times New Roman"/>
        </w:rPr>
        <w:t xml:space="preserve"> infraestruturas e instalações operacionais de coleta, tratamento e disposição final adequados de esgotos sanitários, desde as ligações prediais até o lançamento final do efluente tratado ao meio ambiente; </w:t>
      </w:r>
    </w:p>
    <w:p w:rsidR="00AD48E4" w:rsidRDefault="00AD48E4" w:rsidP="0053477A">
      <w:pPr>
        <w:pStyle w:val="CM73"/>
        <w:numPr>
          <w:ilvl w:val="0"/>
          <w:numId w:val="7"/>
        </w:numPr>
        <w:spacing w:line="360" w:lineRule="auto"/>
        <w:ind w:left="851" w:hanging="425"/>
        <w:jc w:val="both"/>
        <w:rPr>
          <w:rFonts w:ascii="Times New Roman" w:hAnsi="Times New Roman" w:cs="Times New Roman"/>
        </w:rPr>
      </w:pPr>
      <w:r w:rsidRPr="00011AF5">
        <w:rPr>
          <w:rFonts w:ascii="Times New Roman" w:hAnsi="Times New Roman" w:cs="Times New Roman"/>
        </w:rPr>
        <w:t xml:space="preserve">Drenagem e manejo de águas pluviais urbanas: conjunto de atividades, infraestruturas e instalações operacionais de drenagem urbana de águas pluviais, de transporte, detenção ou retenção para o amortecimento de vazões de cheias, </w:t>
      </w:r>
      <w:r w:rsidRPr="00011AF5">
        <w:rPr>
          <w:rFonts w:ascii="Times New Roman" w:hAnsi="Times New Roman" w:cs="Times New Roman"/>
        </w:rPr>
        <w:lastRenderedPageBreak/>
        <w:t>tratamento e disposição final das águas pluviais;</w:t>
      </w:r>
    </w:p>
    <w:p w:rsidR="00AD48E4" w:rsidRPr="00011AF5" w:rsidRDefault="00AD48E4" w:rsidP="0053477A">
      <w:pPr>
        <w:pStyle w:val="CM73"/>
        <w:numPr>
          <w:ilvl w:val="0"/>
          <w:numId w:val="7"/>
        </w:numPr>
        <w:spacing w:line="360" w:lineRule="auto"/>
        <w:ind w:left="851" w:hanging="425"/>
        <w:jc w:val="both"/>
        <w:rPr>
          <w:rFonts w:ascii="Times New Roman" w:hAnsi="Times New Roman" w:cs="Times New Roman"/>
        </w:rPr>
      </w:pPr>
      <w:r w:rsidRPr="00011AF5">
        <w:rPr>
          <w:rFonts w:ascii="Times New Roman" w:hAnsi="Times New Roman" w:cs="Times New Roman"/>
        </w:rPr>
        <w:t xml:space="preserve">Limpeza urbana e manejo dos resíduos sólidos, compreendendo o conjunto de atividades de infraestruturas tais como: instalações operacionais de coleta, manipulação, transporte, transbordo, tratamento e monitoramento e destino final dos resíduos sólidos, lixo doméstico e lixo originário de varrição e limpeza de logradouros e vias públicas do município, a partir das informações da caracterização dos resíduos sólidos e normas e leis pertinentes. </w:t>
      </w:r>
    </w:p>
    <w:p w:rsidR="00AD48E4" w:rsidRPr="00987CD2" w:rsidRDefault="00AD48E4" w:rsidP="00AD48E4">
      <w:pPr>
        <w:pStyle w:val="Default"/>
        <w:jc w:val="both"/>
        <w:rPr>
          <w:rFonts w:ascii="Times New Roman" w:hAnsi="Times New Roman" w:cs="Times New Roman"/>
          <w:color w:val="auto"/>
          <w:sz w:val="22"/>
          <w:szCs w:val="22"/>
        </w:rPr>
      </w:pPr>
    </w:p>
    <w:p w:rsidR="00AD48E4" w:rsidRDefault="00AD48E4" w:rsidP="00AD48E4">
      <w:pPr>
        <w:spacing w:after="200" w:line="276" w:lineRule="auto"/>
        <w:rPr>
          <w:lang w:eastAsia="pt-BR"/>
        </w:rPr>
      </w:pPr>
      <w:r>
        <w:rPr>
          <w:lang w:eastAsia="pt-BR"/>
        </w:rPr>
        <w:br w:type="page"/>
      </w:r>
    </w:p>
    <w:p w:rsidR="00AD48E4" w:rsidRPr="00987CD2" w:rsidRDefault="00AD48E4" w:rsidP="00971B37">
      <w:pPr>
        <w:pStyle w:val="Titulo"/>
        <w:rPr>
          <w:lang w:eastAsia="pt-BR"/>
        </w:rPr>
      </w:pPr>
      <w:bookmarkStart w:id="14" w:name="_Toc372559020"/>
      <w:bookmarkStart w:id="15" w:name="_Toc372789474"/>
      <w:r>
        <w:rPr>
          <w:lang w:eastAsia="pt-BR"/>
        </w:rPr>
        <w:lastRenderedPageBreak/>
        <w:t>4 DIRETRIZES GERAIS ADOTADAS</w:t>
      </w:r>
      <w:bookmarkEnd w:id="14"/>
      <w:bookmarkEnd w:id="15"/>
    </w:p>
    <w:p w:rsidR="00AD48E4" w:rsidRPr="00BF4A30" w:rsidRDefault="00AD48E4" w:rsidP="00924AB9">
      <w:pPr>
        <w:spacing w:after="0" w:line="360" w:lineRule="auto"/>
        <w:ind w:firstLine="708"/>
        <w:jc w:val="both"/>
        <w:rPr>
          <w:rFonts w:eastAsia="Arial Unicode MS" w:cs="Times New Roman"/>
          <w:szCs w:val="24"/>
        </w:rPr>
      </w:pPr>
      <w:r w:rsidRPr="00BF4A30">
        <w:rPr>
          <w:rFonts w:eastAsia="Arial Unicode MS" w:cs="Times New Roman"/>
          <w:szCs w:val="24"/>
        </w:rPr>
        <w:t xml:space="preserve">As diretrizes adotadas pelo PMSB </w:t>
      </w:r>
      <w:r>
        <w:rPr>
          <w:rFonts w:eastAsia="Arial Unicode MS" w:cs="Times New Roman"/>
          <w:szCs w:val="24"/>
        </w:rPr>
        <w:t xml:space="preserve">de </w:t>
      </w:r>
      <w:r w:rsidRPr="00BF4A30">
        <w:rPr>
          <w:rFonts w:eastAsia="Arial Unicode MS" w:cs="Times New Roman"/>
          <w:szCs w:val="24"/>
        </w:rPr>
        <w:t>Aimorés consideram as diretrizes nacionais para o saneamento básico</w:t>
      </w:r>
      <w:r>
        <w:rPr>
          <w:rFonts w:eastAsia="Arial Unicode MS" w:cs="Times New Roman"/>
          <w:szCs w:val="24"/>
        </w:rPr>
        <w:t>,</w:t>
      </w:r>
      <w:r w:rsidRPr="00BF4A30">
        <w:rPr>
          <w:rFonts w:eastAsia="Arial Unicode MS" w:cs="Times New Roman"/>
          <w:szCs w:val="24"/>
        </w:rPr>
        <w:t xml:space="preserve"> estabelecidas pela Lei Federal nº. 11.445/2007, a Resolução Recomendada nº. 75 do Conselho das Cidades, além de estar em consonância com o Plano Diretor do Município, com os objetivos e as diretrizes do Plano de Recursos Hídricos da Bacia do Rio Doce, com a legislação ambiental, com a legislação de saúde e de educação, e demais diplomas legais correlatos. Neste item estão relacionadas as principais diretrizes do PMSB de Aimorés – MG, segundo o Termo de Referência da FUNASA: </w:t>
      </w:r>
    </w:p>
    <w:p w:rsidR="00AD48E4" w:rsidRPr="00BF4A30" w:rsidRDefault="00AD48E4" w:rsidP="0053477A">
      <w:pPr>
        <w:pStyle w:val="PargrafodaLista"/>
        <w:numPr>
          <w:ilvl w:val="0"/>
          <w:numId w:val="8"/>
        </w:numPr>
        <w:spacing w:after="0" w:line="360" w:lineRule="auto"/>
        <w:jc w:val="both"/>
        <w:rPr>
          <w:rFonts w:eastAsia="Arial Unicode MS" w:cs="Times New Roman"/>
          <w:szCs w:val="24"/>
        </w:rPr>
      </w:pPr>
      <w:r w:rsidRPr="00BF4A30">
        <w:rPr>
          <w:rFonts w:eastAsia="Arial Unicode MS" w:cs="Times New Roman"/>
          <w:szCs w:val="24"/>
        </w:rPr>
        <w:t>O PMSB/AIMORÉS</w:t>
      </w:r>
      <w:r>
        <w:rPr>
          <w:rFonts w:eastAsia="Arial Unicode MS" w:cs="Times New Roman"/>
          <w:szCs w:val="24"/>
        </w:rPr>
        <w:t xml:space="preserve"> </w:t>
      </w:r>
      <w:r w:rsidRPr="00BF4A30">
        <w:rPr>
          <w:rFonts w:eastAsia="Arial Unicode MS" w:cs="Times New Roman"/>
          <w:szCs w:val="24"/>
        </w:rPr>
        <w:t xml:space="preserve">deverá ser instrumento fundamental para implementação da Política Municipal de Saneamento Básico; </w:t>
      </w:r>
    </w:p>
    <w:p w:rsidR="00AD48E4" w:rsidRPr="00BF4A30" w:rsidRDefault="00AD48E4" w:rsidP="0053477A">
      <w:pPr>
        <w:pStyle w:val="PargrafodaLista"/>
        <w:numPr>
          <w:ilvl w:val="0"/>
          <w:numId w:val="8"/>
        </w:numPr>
        <w:spacing w:after="0" w:line="360" w:lineRule="auto"/>
        <w:jc w:val="both"/>
        <w:rPr>
          <w:rFonts w:eastAsia="Arial Unicode MS" w:cs="Times New Roman"/>
          <w:szCs w:val="24"/>
        </w:rPr>
      </w:pPr>
      <w:r w:rsidRPr="00BF4A30">
        <w:rPr>
          <w:rFonts w:eastAsia="Arial Unicode MS" w:cs="Times New Roman"/>
          <w:szCs w:val="24"/>
        </w:rPr>
        <w:t>O PMSB/AIMORÉS</w:t>
      </w:r>
      <w:r>
        <w:rPr>
          <w:rFonts w:eastAsia="Arial Unicode MS" w:cs="Times New Roman"/>
          <w:szCs w:val="24"/>
        </w:rPr>
        <w:t xml:space="preserve"> </w:t>
      </w:r>
      <w:r w:rsidRPr="00BF4A30">
        <w:rPr>
          <w:rFonts w:eastAsia="Arial Unicode MS" w:cs="Times New Roman"/>
          <w:szCs w:val="24"/>
        </w:rPr>
        <w:t xml:space="preserve">deverá fazer parte do desenvolvimento urbano e ambiental da cidade; </w:t>
      </w:r>
    </w:p>
    <w:p w:rsidR="00AD48E4" w:rsidRPr="00BF4A30" w:rsidRDefault="00AD48E4" w:rsidP="0053477A">
      <w:pPr>
        <w:pStyle w:val="PargrafodaLista"/>
        <w:numPr>
          <w:ilvl w:val="0"/>
          <w:numId w:val="8"/>
        </w:numPr>
        <w:spacing w:after="0" w:line="360" w:lineRule="auto"/>
        <w:jc w:val="both"/>
        <w:rPr>
          <w:rFonts w:eastAsia="Arial Unicode MS" w:cs="Times New Roman"/>
          <w:szCs w:val="24"/>
        </w:rPr>
      </w:pPr>
      <w:r w:rsidRPr="00BF4A30">
        <w:rPr>
          <w:rFonts w:eastAsia="Arial Unicode MS" w:cs="Times New Roman"/>
          <w:szCs w:val="24"/>
        </w:rPr>
        <w:t>O PMSB/AIMORÉS</w:t>
      </w:r>
      <w:r>
        <w:rPr>
          <w:rFonts w:eastAsia="Arial Unicode MS" w:cs="Times New Roman"/>
          <w:szCs w:val="24"/>
        </w:rPr>
        <w:t xml:space="preserve"> </w:t>
      </w:r>
      <w:r w:rsidRPr="00BF4A30">
        <w:rPr>
          <w:rFonts w:eastAsia="Arial Unicode MS" w:cs="Times New Roman"/>
          <w:szCs w:val="24"/>
        </w:rPr>
        <w:t xml:space="preserve">deverá ser desenvolvido para um horizonte temporal da ordem de vinte anos e ser revisado e atualizado a cada quatro anos. A promoção de ações de educação sanitária e ambiental como instrumento de sensibilização e conscientização da população deve ser realizada permanentemente; </w:t>
      </w:r>
    </w:p>
    <w:p w:rsidR="00AD48E4" w:rsidRPr="00BF4A30" w:rsidRDefault="00AD48E4" w:rsidP="00924AB9">
      <w:pPr>
        <w:spacing w:after="0" w:line="360" w:lineRule="auto"/>
        <w:ind w:firstLine="709"/>
        <w:jc w:val="both"/>
        <w:rPr>
          <w:rFonts w:eastAsia="Arial Unicode MS" w:cs="Times New Roman"/>
          <w:szCs w:val="24"/>
        </w:rPr>
      </w:pPr>
      <w:r w:rsidRPr="00BF4A30">
        <w:rPr>
          <w:rFonts w:eastAsia="Arial Unicode MS" w:cs="Times New Roman"/>
          <w:szCs w:val="24"/>
        </w:rPr>
        <w:t>A participação e controle social devem ser assegurados na f</w:t>
      </w:r>
      <w:r>
        <w:rPr>
          <w:rFonts w:eastAsia="Arial Unicode MS" w:cs="Times New Roman"/>
          <w:szCs w:val="24"/>
        </w:rPr>
        <w:t>ormulação e avaliação do PMSB/AIMORÉS</w:t>
      </w:r>
      <w:r w:rsidRPr="00BF4A30">
        <w:rPr>
          <w:rFonts w:eastAsia="Arial Unicode MS" w:cs="Times New Roman"/>
          <w:szCs w:val="24"/>
        </w:rPr>
        <w:t xml:space="preserve">. </w:t>
      </w:r>
    </w:p>
    <w:p w:rsidR="00AD48E4" w:rsidRPr="00987CD2" w:rsidRDefault="00AD48E4" w:rsidP="00AD48E4">
      <w:pPr>
        <w:rPr>
          <w:lang w:eastAsia="pt-BR"/>
        </w:rPr>
      </w:pPr>
    </w:p>
    <w:p w:rsidR="00AD48E4" w:rsidRDefault="00AD48E4" w:rsidP="00AD48E4">
      <w:pPr>
        <w:spacing w:after="200" w:line="276" w:lineRule="auto"/>
        <w:rPr>
          <w:rFonts w:ascii="Arial" w:hAnsi="Arial" w:cs="Arial"/>
          <w:b/>
        </w:rPr>
      </w:pPr>
      <w:r>
        <w:rPr>
          <w:rFonts w:ascii="Arial" w:hAnsi="Arial" w:cs="Arial"/>
          <w:b/>
        </w:rPr>
        <w:br w:type="page"/>
      </w:r>
    </w:p>
    <w:p w:rsidR="00AD48E4" w:rsidRDefault="00AD48E4" w:rsidP="00971B37">
      <w:pPr>
        <w:pStyle w:val="Titulo"/>
      </w:pPr>
      <w:bookmarkStart w:id="16" w:name="_Toc372559021"/>
      <w:bookmarkStart w:id="17" w:name="_Toc372789475"/>
      <w:r>
        <w:lastRenderedPageBreak/>
        <w:t>5 METODOLOGIA</w:t>
      </w:r>
      <w:r w:rsidR="00347E31">
        <w:t xml:space="preserve"> GERAL</w:t>
      </w:r>
      <w:bookmarkEnd w:id="16"/>
      <w:bookmarkEnd w:id="17"/>
    </w:p>
    <w:p w:rsidR="00AD48E4" w:rsidRPr="006F3B58" w:rsidRDefault="00AD48E4" w:rsidP="00924AB9">
      <w:pPr>
        <w:pStyle w:val="CM73"/>
        <w:spacing w:line="360" w:lineRule="auto"/>
        <w:ind w:firstLine="709"/>
        <w:jc w:val="both"/>
        <w:rPr>
          <w:rFonts w:ascii="Times New Roman" w:hAnsi="Times New Roman" w:cs="Times New Roman"/>
        </w:rPr>
      </w:pPr>
      <w:r w:rsidRPr="006F3B58">
        <w:rPr>
          <w:rFonts w:ascii="Times New Roman" w:hAnsi="Times New Roman" w:cs="Times New Roman"/>
        </w:rPr>
        <w:t>O Diagnóstico da si</w:t>
      </w:r>
      <w:r>
        <w:rPr>
          <w:rFonts w:ascii="Times New Roman" w:hAnsi="Times New Roman" w:cs="Times New Roman"/>
        </w:rPr>
        <w:t>tuação do saneamento básico do Plano M</w:t>
      </w:r>
      <w:r w:rsidRPr="006F3B58">
        <w:rPr>
          <w:rFonts w:ascii="Times New Roman" w:hAnsi="Times New Roman" w:cs="Times New Roman"/>
        </w:rPr>
        <w:t>unicipal de Saneamento Básico -</w:t>
      </w:r>
      <w:r>
        <w:rPr>
          <w:rFonts w:ascii="Times New Roman" w:hAnsi="Times New Roman" w:cs="Times New Roman"/>
        </w:rPr>
        <w:t xml:space="preserve"> </w:t>
      </w:r>
      <w:r w:rsidRPr="006F3B58">
        <w:rPr>
          <w:rFonts w:ascii="Times New Roman" w:hAnsi="Times New Roman" w:cs="Times New Roman"/>
        </w:rPr>
        <w:t xml:space="preserve">PMSB foi elaborado conforme metodologia definida pelo Termo de Referência </w:t>
      </w:r>
      <w:r>
        <w:rPr>
          <w:rFonts w:ascii="Times New Roman" w:hAnsi="Times New Roman" w:cs="Times New Roman"/>
        </w:rPr>
        <w:t>da FUNASA.</w:t>
      </w:r>
      <w:r w:rsidRPr="006F3B58">
        <w:rPr>
          <w:rFonts w:ascii="Times New Roman" w:hAnsi="Times New Roman" w:cs="Times New Roman"/>
        </w:rPr>
        <w:t xml:space="preserve"> </w:t>
      </w:r>
    </w:p>
    <w:p w:rsidR="00AD48E4" w:rsidRPr="006F3B58" w:rsidRDefault="00AD48E4" w:rsidP="00924AB9">
      <w:pPr>
        <w:pStyle w:val="CM73"/>
        <w:spacing w:line="360" w:lineRule="auto"/>
        <w:ind w:firstLine="709"/>
        <w:jc w:val="both"/>
        <w:rPr>
          <w:rFonts w:ascii="Times New Roman" w:hAnsi="Times New Roman" w:cs="Times New Roman"/>
        </w:rPr>
      </w:pPr>
      <w:r>
        <w:rPr>
          <w:rFonts w:ascii="Times New Roman" w:hAnsi="Times New Roman" w:cs="Times New Roman"/>
        </w:rPr>
        <w:t xml:space="preserve">Foram necessárias </w:t>
      </w:r>
      <w:r w:rsidRPr="006F3B58">
        <w:rPr>
          <w:rFonts w:ascii="Times New Roman" w:hAnsi="Times New Roman" w:cs="Times New Roman"/>
        </w:rPr>
        <w:t>adaptações para um bom desenvolvimento dos trabalhos levando em consideração as peculiaridades locais</w:t>
      </w:r>
      <w:r>
        <w:rPr>
          <w:rFonts w:ascii="Times New Roman" w:hAnsi="Times New Roman" w:cs="Times New Roman"/>
        </w:rPr>
        <w:t>.</w:t>
      </w:r>
      <w:r w:rsidRPr="006F3B58">
        <w:rPr>
          <w:rFonts w:ascii="Times New Roman" w:hAnsi="Times New Roman" w:cs="Times New Roman"/>
        </w:rPr>
        <w:t xml:space="preserve"> </w:t>
      </w:r>
    </w:p>
    <w:p w:rsidR="00AD48E4" w:rsidRPr="006F3B58" w:rsidRDefault="00AD48E4" w:rsidP="00924AB9">
      <w:pPr>
        <w:pStyle w:val="CM73"/>
        <w:spacing w:line="360" w:lineRule="auto"/>
        <w:ind w:firstLine="709"/>
        <w:jc w:val="both"/>
        <w:rPr>
          <w:rFonts w:ascii="Times New Roman" w:hAnsi="Times New Roman" w:cs="Times New Roman"/>
        </w:rPr>
      </w:pPr>
      <w:r w:rsidRPr="006F3B58">
        <w:rPr>
          <w:rFonts w:ascii="Times New Roman" w:hAnsi="Times New Roman" w:cs="Times New Roman"/>
        </w:rPr>
        <w:t xml:space="preserve">A participação da sociedade </w:t>
      </w:r>
      <w:r>
        <w:rPr>
          <w:rFonts w:ascii="Times New Roman" w:hAnsi="Times New Roman" w:cs="Times New Roman"/>
        </w:rPr>
        <w:t xml:space="preserve">em </w:t>
      </w:r>
      <w:r w:rsidRPr="006F3B58">
        <w:rPr>
          <w:rFonts w:ascii="Times New Roman" w:hAnsi="Times New Roman" w:cs="Times New Roman"/>
        </w:rPr>
        <w:t>ocorr</w:t>
      </w:r>
      <w:r>
        <w:rPr>
          <w:rFonts w:ascii="Times New Roman" w:hAnsi="Times New Roman" w:cs="Times New Roman"/>
        </w:rPr>
        <w:t xml:space="preserve">ido </w:t>
      </w:r>
      <w:r w:rsidRPr="006F3B58">
        <w:rPr>
          <w:rFonts w:ascii="Times New Roman" w:hAnsi="Times New Roman" w:cs="Times New Roman"/>
        </w:rPr>
        <w:t>ao longo do processo de elaboração do Plano Municipal de Saneamento Básico, através de reuniões com o grupo consultivo, levantamento de dados nas diferentes secretarias municipais</w:t>
      </w:r>
      <w:r>
        <w:rPr>
          <w:rFonts w:ascii="Times New Roman" w:hAnsi="Times New Roman" w:cs="Times New Roman"/>
        </w:rPr>
        <w:t xml:space="preserve"> e o órgão prestador de serviços em saneamento</w:t>
      </w:r>
      <w:r w:rsidRPr="006F3B58">
        <w:rPr>
          <w:rFonts w:ascii="Times New Roman" w:hAnsi="Times New Roman" w:cs="Times New Roman"/>
        </w:rPr>
        <w:t xml:space="preserve">, através de reuniões setoriais e audiências públicas, onde a população aimoreense </w:t>
      </w:r>
      <w:r>
        <w:rPr>
          <w:rFonts w:ascii="Times New Roman" w:hAnsi="Times New Roman" w:cs="Times New Roman"/>
        </w:rPr>
        <w:t>tem sido</w:t>
      </w:r>
      <w:r w:rsidRPr="006F3B58">
        <w:rPr>
          <w:rFonts w:ascii="Times New Roman" w:hAnsi="Times New Roman" w:cs="Times New Roman"/>
        </w:rPr>
        <w:t xml:space="preserve"> envolvida ao longo de todo o processo para discutir as situações atuais e futuras do saneamento básico de Aimorés. </w:t>
      </w:r>
    </w:p>
    <w:p w:rsidR="00AD48E4" w:rsidRPr="006F3B58" w:rsidRDefault="00AD48E4" w:rsidP="00924AB9">
      <w:pPr>
        <w:pStyle w:val="CM73"/>
        <w:spacing w:line="360" w:lineRule="auto"/>
        <w:ind w:firstLine="709"/>
        <w:jc w:val="both"/>
        <w:rPr>
          <w:rFonts w:ascii="Times New Roman" w:hAnsi="Times New Roman" w:cs="Times New Roman"/>
        </w:rPr>
      </w:pPr>
      <w:r w:rsidRPr="006F3B58">
        <w:rPr>
          <w:rFonts w:ascii="Times New Roman" w:hAnsi="Times New Roman" w:cs="Times New Roman"/>
        </w:rPr>
        <w:t xml:space="preserve">Como parte do Diagnóstico da Situação do Saneamento Básico, inicialmente </w:t>
      </w:r>
      <w:r>
        <w:rPr>
          <w:rFonts w:ascii="Times New Roman" w:hAnsi="Times New Roman" w:cs="Times New Roman"/>
        </w:rPr>
        <w:t>foi</w:t>
      </w:r>
      <w:r w:rsidRPr="006F3B58">
        <w:rPr>
          <w:rFonts w:ascii="Times New Roman" w:hAnsi="Times New Roman" w:cs="Times New Roman"/>
        </w:rPr>
        <w:t xml:space="preserve"> elaborada a caracterização geral de Aimorés, com informações históricas, culturais, assistenciais, econômicas, de saúde, educação e infraestrutura, tendo sido abordadas as principais deficiências e potencialidades municipais em cada setor. </w:t>
      </w:r>
    </w:p>
    <w:p w:rsidR="00AD48E4" w:rsidRPr="006F3B58" w:rsidRDefault="00AD48E4" w:rsidP="00924AB9">
      <w:pPr>
        <w:pStyle w:val="CM73"/>
        <w:spacing w:line="360" w:lineRule="auto"/>
        <w:ind w:firstLine="709"/>
        <w:jc w:val="both"/>
        <w:rPr>
          <w:rFonts w:ascii="Times New Roman" w:hAnsi="Times New Roman" w:cs="Times New Roman"/>
        </w:rPr>
      </w:pPr>
      <w:r w:rsidRPr="006F3B58">
        <w:rPr>
          <w:rFonts w:ascii="Times New Roman" w:hAnsi="Times New Roman" w:cs="Times New Roman"/>
        </w:rPr>
        <w:t>Na sequência, foram diagnosticados os serviços públicos de saneamento básico, que conforme a Lei Federal nº. 11.445 de 2007 compreendem:</w:t>
      </w:r>
    </w:p>
    <w:p w:rsidR="00AD48E4" w:rsidRPr="006F3B58" w:rsidRDefault="00AD48E4" w:rsidP="0053477A">
      <w:pPr>
        <w:pStyle w:val="CM73"/>
        <w:numPr>
          <w:ilvl w:val="0"/>
          <w:numId w:val="9"/>
        </w:numPr>
        <w:spacing w:line="360" w:lineRule="auto"/>
        <w:ind w:left="709" w:hanging="283"/>
        <w:jc w:val="both"/>
        <w:rPr>
          <w:rFonts w:ascii="Times New Roman" w:hAnsi="Times New Roman" w:cs="Times New Roman"/>
        </w:rPr>
      </w:pPr>
      <w:r w:rsidRPr="006F3B58">
        <w:rPr>
          <w:rFonts w:ascii="Times New Roman" w:hAnsi="Times New Roman" w:cs="Times New Roman"/>
        </w:rPr>
        <w:t xml:space="preserve">Abastecimento de água potável: constituído pelas atividades, infraestruturas e instalações necessárias ao abastecimento público de água potável, desde a captação até as ligações prediais; </w:t>
      </w:r>
    </w:p>
    <w:p w:rsidR="00AD48E4" w:rsidRPr="006F3B58" w:rsidRDefault="00AD48E4" w:rsidP="0053477A">
      <w:pPr>
        <w:pStyle w:val="CM73"/>
        <w:numPr>
          <w:ilvl w:val="0"/>
          <w:numId w:val="9"/>
        </w:numPr>
        <w:spacing w:line="360" w:lineRule="auto"/>
        <w:ind w:left="709" w:hanging="283"/>
        <w:jc w:val="both"/>
        <w:rPr>
          <w:rFonts w:ascii="Times New Roman" w:hAnsi="Times New Roman" w:cs="Times New Roman"/>
        </w:rPr>
      </w:pPr>
      <w:r w:rsidRPr="006F3B58">
        <w:rPr>
          <w:rFonts w:ascii="Times New Roman" w:hAnsi="Times New Roman" w:cs="Times New Roman"/>
        </w:rPr>
        <w:t xml:space="preserve">Esgotamento sanitário: constituído pelas atividades, infraestruturas e instalações operacionais de coleta, transporte, tratamento e disposição final adequados desde as ligações prediais até o seu lançamento final no meio ambiente; </w:t>
      </w:r>
    </w:p>
    <w:p w:rsidR="00AD48E4" w:rsidRPr="006F3B58" w:rsidRDefault="00AD48E4" w:rsidP="0053477A">
      <w:pPr>
        <w:pStyle w:val="CM73"/>
        <w:numPr>
          <w:ilvl w:val="0"/>
          <w:numId w:val="9"/>
        </w:numPr>
        <w:spacing w:line="360" w:lineRule="auto"/>
        <w:ind w:left="709" w:hanging="283"/>
        <w:jc w:val="both"/>
        <w:rPr>
          <w:rFonts w:ascii="Times New Roman" w:hAnsi="Times New Roman" w:cs="Times New Roman"/>
        </w:rPr>
      </w:pPr>
      <w:r w:rsidRPr="006F3B58">
        <w:rPr>
          <w:rFonts w:ascii="Times New Roman" w:hAnsi="Times New Roman" w:cs="Times New Roman"/>
        </w:rPr>
        <w:t xml:space="preserve">Limpeza urbana e manejo de resíduos sólidos: conjunto de atividades, infraestruturas e instalações operacionais de coleta, transporte, transbordo, tratamento e destino final do lixo doméstico e do lixo originário da varrição e limpeza de logradouros e vias públicas; </w:t>
      </w:r>
    </w:p>
    <w:p w:rsidR="00AD48E4" w:rsidRDefault="00AD48E4" w:rsidP="0053477A">
      <w:pPr>
        <w:pStyle w:val="CM73"/>
        <w:numPr>
          <w:ilvl w:val="0"/>
          <w:numId w:val="9"/>
        </w:numPr>
        <w:spacing w:line="360" w:lineRule="auto"/>
        <w:ind w:left="709" w:hanging="283"/>
        <w:jc w:val="both"/>
        <w:rPr>
          <w:rFonts w:ascii="Times New Roman" w:hAnsi="Times New Roman" w:cs="Times New Roman"/>
        </w:rPr>
      </w:pPr>
      <w:r w:rsidRPr="006F3B58">
        <w:rPr>
          <w:rFonts w:ascii="Times New Roman" w:hAnsi="Times New Roman" w:cs="Times New Roman"/>
        </w:rPr>
        <w:t xml:space="preserve">Drenagem e manejo das águas pluviais urbanas: conjunto de atividades, infraestruturas e instalações operacionais de drenagem urbana de águas pluviais, de </w:t>
      </w:r>
      <w:r w:rsidRPr="006F3B58">
        <w:rPr>
          <w:rFonts w:ascii="Times New Roman" w:hAnsi="Times New Roman" w:cs="Times New Roman"/>
        </w:rPr>
        <w:lastRenderedPageBreak/>
        <w:t>transporte, detenção ou retenção para o amortecimento de vazões de cheias</w:t>
      </w:r>
      <w:r>
        <w:rPr>
          <w:rFonts w:ascii="Times New Roman" w:hAnsi="Times New Roman" w:cs="Times New Roman"/>
        </w:rPr>
        <w:t>.</w:t>
      </w:r>
    </w:p>
    <w:p w:rsidR="00AD48E4" w:rsidRDefault="00AD48E4" w:rsidP="00924AB9">
      <w:pPr>
        <w:pStyle w:val="CM73"/>
        <w:spacing w:line="360" w:lineRule="auto"/>
        <w:ind w:firstLine="708"/>
        <w:jc w:val="both"/>
        <w:rPr>
          <w:rFonts w:ascii="Times New Roman" w:hAnsi="Times New Roman" w:cs="Times New Roman"/>
        </w:rPr>
      </w:pPr>
      <w:r w:rsidRPr="006F3B58">
        <w:rPr>
          <w:rFonts w:ascii="Times New Roman" w:hAnsi="Times New Roman" w:cs="Times New Roman"/>
        </w:rPr>
        <w:t>Para a consecução da caracterização do município e do diagnóstico dos serviços públicos de saneamento básico, realizou-se um levantamento d</w:t>
      </w:r>
      <w:r>
        <w:rPr>
          <w:rFonts w:ascii="Times New Roman" w:hAnsi="Times New Roman" w:cs="Times New Roman"/>
        </w:rPr>
        <w:t>as</w:t>
      </w:r>
      <w:r w:rsidRPr="006F3B58">
        <w:rPr>
          <w:rFonts w:ascii="Times New Roman" w:hAnsi="Times New Roman" w:cs="Times New Roman"/>
        </w:rPr>
        <w:t xml:space="preserve"> informações das áreas rurais e urbanas, fornecidas pela administração local e/ou adquiridas através de órgãos oficiais, tais como: o Instituto Brasileiro de Geografia e Estatística (IBGE), Sistema Nacional de Indicadores de Saneamento (SNIS), Programa das Nações Unidas para o Desenvolvimento (PNUD), Sistema Nacional de Indicadores Urbanos (SNIU), Indicadores do Sistema Único de Saúde (DATASUS), Empresa Brasileira de Pesquisa Agropecuária (EMBRAPA), Serviço Geológico do Brasil (CPRM), Instituto Brasileiro do Meio Ambiente e dos Recursos Naturais Renováveis (IBAMA), Empresa de Assistência Técnica e Extensão Rural (EMATER), </w:t>
      </w:r>
      <w:r>
        <w:rPr>
          <w:rFonts w:ascii="Times New Roman" w:hAnsi="Times New Roman" w:cs="Times New Roman"/>
        </w:rPr>
        <w:t>Conselho Regional de Engenharia e Agronomia de Minas Gerais (CREA-MG)</w:t>
      </w:r>
      <w:r w:rsidRPr="006F3B58">
        <w:rPr>
          <w:rFonts w:ascii="Times New Roman" w:hAnsi="Times New Roman" w:cs="Times New Roman"/>
        </w:rPr>
        <w:t xml:space="preserve">, </w:t>
      </w:r>
      <w:r>
        <w:rPr>
          <w:rFonts w:ascii="Times New Roman" w:hAnsi="Times New Roman" w:cs="Times New Roman"/>
        </w:rPr>
        <w:t>Instituto Mineiro de Gestão das Águas</w:t>
      </w:r>
      <w:r w:rsidRPr="006F3B58">
        <w:rPr>
          <w:rFonts w:ascii="Times New Roman" w:hAnsi="Times New Roman" w:cs="Times New Roman"/>
        </w:rPr>
        <w:t xml:space="preserve"> (</w:t>
      </w:r>
      <w:r>
        <w:rPr>
          <w:rFonts w:ascii="Times New Roman" w:hAnsi="Times New Roman" w:cs="Times New Roman"/>
        </w:rPr>
        <w:t>IGAM</w:t>
      </w:r>
      <w:r w:rsidRPr="006F3B58">
        <w:rPr>
          <w:rFonts w:ascii="Times New Roman" w:hAnsi="Times New Roman" w:cs="Times New Roman"/>
        </w:rPr>
        <w:t>), Ministério do Meio Ambiente (MMA), Departamento Nacional de Produção Mineral (DNPM), Instituto Estadual de Florestas (IEF)</w:t>
      </w:r>
      <w:r>
        <w:rPr>
          <w:rFonts w:ascii="Times New Roman" w:hAnsi="Times New Roman" w:cs="Times New Roman"/>
        </w:rPr>
        <w:t>, Instituto Terra</w:t>
      </w:r>
      <w:r w:rsidRPr="006F3B58">
        <w:rPr>
          <w:rFonts w:ascii="Times New Roman" w:hAnsi="Times New Roman" w:cs="Times New Roman"/>
        </w:rPr>
        <w:t xml:space="preserve"> e o Sistema Estadual de Meio Ambiente (SISEMA), mais especificamente o Zoneamento Ecológico Econômico do estado de Minas Gerais (ZEE/MG). </w:t>
      </w:r>
    </w:p>
    <w:p w:rsidR="00AD48E4" w:rsidRPr="006F3B58" w:rsidRDefault="00AD48E4" w:rsidP="00924AB9">
      <w:pPr>
        <w:pStyle w:val="CM73"/>
        <w:spacing w:line="360" w:lineRule="auto"/>
        <w:ind w:firstLine="708"/>
        <w:jc w:val="both"/>
        <w:rPr>
          <w:rFonts w:ascii="Times New Roman" w:hAnsi="Times New Roman" w:cs="Times New Roman"/>
        </w:rPr>
      </w:pPr>
      <w:r w:rsidRPr="008F34B6">
        <w:rPr>
          <w:rFonts w:ascii="Times New Roman" w:hAnsi="Times New Roman" w:cs="Times New Roman"/>
        </w:rPr>
        <w:t xml:space="preserve">As informações referentes aos eixos de abastecimento de água e esgotamento sanitário foram disponibilizadas pelo Serviço </w:t>
      </w:r>
      <w:r>
        <w:rPr>
          <w:rFonts w:ascii="Times New Roman" w:hAnsi="Times New Roman" w:cs="Times New Roman"/>
        </w:rPr>
        <w:t>de Autônomo</w:t>
      </w:r>
      <w:r w:rsidRPr="008F34B6">
        <w:rPr>
          <w:rFonts w:ascii="Times New Roman" w:hAnsi="Times New Roman" w:cs="Times New Roman"/>
        </w:rPr>
        <w:t xml:space="preserve"> de Água e Esgoto</w:t>
      </w:r>
      <w:r>
        <w:rPr>
          <w:rFonts w:ascii="Times New Roman" w:hAnsi="Times New Roman" w:cs="Times New Roman"/>
        </w:rPr>
        <w:t xml:space="preserve"> (SAAE)</w:t>
      </w:r>
      <w:r w:rsidRPr="008F34B6">
        <w:rPr>
          <w:rFonts w:ascii="Times New Roman" w:hAnsi="Times New Roman" w:cs="Times New Roman"/>
        </w:rPr>
        <w:t xml:space="preserve"> de Aimorés por meio dos diferentes setores da administração. </w:t>
      </w:r>
    </w:p>
    <w:p w:rsidR="00AD48E4" w:rsidRPr="00BF4A30" w:rsidRDefault="00AD48E4" w:rsidP="00924AB9">
      <w:pPr>
        <w:pStyle w:val="CM73"/>
        <w:spacing w:line="360" w:lineRule="auto"/>
        <w:ind w:firstLine="708"/>
        <w:jc w:val="both"/>
        <w:rPr>
          <w:rFonts w:ascii="Times New Roman" w:hAnsi="Times New Roman" w:cs="Times New Roman"/>
        </w:rPr>
      </w:pPr>
      <w:r w:rsidRPr="00BF4A30">
        <w:rPr>
          <w:rFonts w:ascii="Times New Roman" w:hAnsi="Times New Roman" w:cs="Times New Roman"/>
        </w:rPr>
        <w:t>Para o eixo de Resíduos Sólidos e Limpeza Urbana as informações foram coletadas principalmente na Secretaria Mu</w:t>
      </w:r>
      <w:r>
        <w:rPr>
          <w:rFonts w:ascii="Times New Roman" w:hAnsi="Times New Roman" w:cs="Times New Roman"/>
        </w:rPr>
        <w:t>nicipal de Meio Ambiente</w:t>
      </w:r>
      <w:r w:rsidRPr="00BF4A30">
        <w:rPr>
          <w:rFonts w:ascii="Times New Roman" w:hAnsi="Times New Roman" w:cs="Times New Roman"/>
        </w:rPr>
        <w:t xml:space="preserve"> e empresas que foram contratadas para realizarem os serviços referentes a este eixo. </w:t>
      </w:r>
    </w:p>
    <w:p w:rsidR="00AD48E4" w:rsidRPr="00BF4A30" w:rsidRDefault="00AD48E4" w:rsidP="00924AB9">
      <w:pPr>
        <w:pStyle w:val="CM73"/>
        <w:spacing w:line="360" w:lineRule="auto"/>
        <w:ind w:firstLine="708"/>
        <w:jc w:val="both"/>
        <w:rPr>
          <w:rFonts w:ascii="Times New Roman" w:hAnsi="Times New Roman" w:cs="Times New Roman"/>
        </w:rPr>
      </w:pPr>
      <w:r w:rsidRPr="00BF4A30">
        <w:rPr>
          <w:rFonts w:ascii="Times New Roman" w:hAnsi="Times New Roman" w:cs="Times New Roman"/>
        </w:rPr>
        <w:t>Já para a drenagem urbana e manejo de águas pluviais as informações foram coletadas na Secretaria Municipal de Obras e Serviços Urbanos</w:t>
      </w:r>
    </w:p>
    <w:p w:rsidR="00AD48E4" w:rsidRPr="00BF4A30" w:rsidRDefault="00AD48E4" w:rsidP="00924AB9">
      <w:pPr>
        <w:pStyle w:val="CM73"/>
        <w:spacing w:line="360" w:lineRule="auto"/>
        <w:ind w:firstLine="708"/>
        <w:jc w:val="both"/>
        <w:rPr>
          <w:rFonts w:ascii="Times New Roman" w:hAnsi="Times New Roman" w:cs="Times New Roman"/>
        </w:rPr>
      </w:pPr>
      <w:r w:rsidRPr="00BF4A30">
        <w:rPr>
          <w:rFonts w:ascii="Times New Roman" w:hAnsi="Times New Roman" w:cs="Times New Roman"/>
        </w:rPr>
        <w:t>As informações para a caracterização da prestação dos serviços públicos são apresentadas conforme as divisões distritais já utilizadas pelo municíp</w:t>
      </w:r>
      <w:r>
        <w:rPr>
          <w:rFonts w:ascii="Times New Roman" w:hAnsi="Times New Roman" w:cs="Times New Roman"/>
        </w:rPr>
        <w:t xml:space="preserve">io. </w:t>
      </w:r>
      <w:r w:rsidRPr="00BF4A30">
        <w:rPr>
          <w:rFonts w:ascii="Times New Roman" w:hAnsi="Times New Roman" w:cs="Times New Roman"/>
        </w:rPr>
        <w:t xml:space="preserve">Junto às informações obtidas pelas fontes locais e de órgãos oficiais, </w:t>
      </w:r>
      <w:r>
        <w:rPr>
          <w:rFonts w:ascii="Times New Roman" w:hAnsi="Times New Roman" w:cs="Times New Roman"/>
        </w:rPr>
        <w:t>foram</w:t>
      </w:r>
      <w:r w:rsidRPr="00BF4A30">
        <w:rPr>
          <w:rFonts w:ascii="Times New Roman" w:hAnsi="Times New Roman" w:cs="Times New Roman"/>
        </w:rPr>
        <w:t xml:space="preserve"> compiladas as principais legislações federais, estaduais e municipais consideradas relevantes para a execução do diagnóstico. Foram realizadas visitas de campo, levantamento de dados junto aos setores da administração que estão relacionados com o saneamento, levantamento fotográfico na sede </w:t>
      </w:r>
      <w:r w:rsidRPr="00BF4A30">
        <w:rPr>
          <w:rFonts w:ascii="Times New Roman" w:hAnsi="Times New Roman" w:cs="Times New Roman"/>
        </w:rPr>
        <w:lastRenderedPageBreak/>
        <w:t xml:space="preserve">de </w:t>
      </w:r>
      <w:r>
        <w:rPr>
          <w:rFonts w:ascii="Times New Roman" w:hAnsi="Times New Roman" w:cs="Times New Roman"/>
        </w:rPr>
        <w:t>Aimorés</w:t>
      </w:r>
      <w:r w:rsidRPr="00BF4A30">
        <w:rPr>
          <w:rFonts w:ascii="Times New Roman" w:hAnsi="Times New Roman" w:cs="Times New Roman"/>
        </w:rPr>
        <w:t xml:space="preserve"> e nos distritos, reuniões técnicas com o grupo consultivo, membros da equipe da administração local e com a população. Todas as informações obtidas </w:t>
      </w:r>
      <w:r>
        <w:rPr>
          <w:rFonts w:ascii="Times New Roman" w:hAnsi="Times New Roman" w:cs="Times New Roman"/>
        </w:rPr>
        <w:t>foram</w:t>
      </w:r>
      <w:r w:rsidRPr="00BF4A30">
        <w:rPr>
          <w:rFonts w:ascii="Times New Roman" w:hAnsi="Times New Roman" w:cs="Times New Roman"/>
        </w:rPr>
        <w:t xml:space="preserve"> comparadas e compiladas pela equipe técnica da </w:t>
      </w:r>
      <w:r>
        <w:rPr>
          <w:rFonts w:ascii="Times New Roman" w:hAnsi="Times New Roman" w:cs="Times New Roman"/>
        </w:rPr>
        <w:t>FUNEC</w:t>
      </w:r>
      <w:r w:rsidRPr="00BF4A30">
        <w:rPr>
          <w:rFonts w:ascii="Times New Roman" w:hAnsi="Times New Roman" w:cs="Times New Roman"/>
        </w:rPr>
        <w:t xml:space="preserve"> e inseridas no produto final no caderno denominado Processo Participativo. </w:t>
      </w:r>
    </w:p>
    <w:p w:rsidR="00AD48E4" w:rsidRPr="00BF4A30" w:rsidRDefault="00AD48E4" w:rsidP="00924AB9">
      <w:pPr>
        <w:pStyle w:val="CM73"/>
        <w:spacing w:line="360" w:lineRule="auto"/>
        <w:ind w:firstLine="708"/>
        <w:jc w:val="both"/>
        <w:rPr>
          <w:rFonts w:ascii="Times New Roman" w:hAnsi="Times New Roman" w:cs="Times New Roman"/>
        </w:rPr>
      </w:pPr>
      <w:r w:rsidRPr="00BF4A30">
        <w:rPr>
          <w:rFonts w:ascii="Times New Roman" w:hAnsi="Times New Roman" w:cs="Times New Roman"/>
        </w:rPr>
        <w:t xml:space="preserve">A metodologia adotada para a análise e sistematização do Diagnóstico da Situação do Saneamento Básico em </w:t>
      </w:r>
      <w:r>
        <w:rPr>
          <w:rFonts w:ascii="Times New Roman" w:hAnsi="Times New Roman" w:cs="Times New Roman"/>
        </w:rPr>
        <w:t>Aimorés</w:t>
      </w:r>
      <w:r w:rsidRPr="00BF4A30">
        <w:rPr>
          <w:rFonts w:ascii="Times New Roman" w:hAnsi="Times New Roman" w:cs="Times New Roman"/>
        </w:rPr>
        <w:t xml:space="preserve"> foi a denominada “Metodologia de Condicionantes, Deficiências e Potencialidades –</w:t>
      </w:r>
      <w:r w:rsidR="00F522A3">
        <w:rPr>
          <w:rFonts w:ascii="Times New Roman" w:hAnsi="Times New Roman" w:cs="Times New Roman"/>
        </w:rPr>
        <w:t xml:space="preserve"> CDP”, desenvolvida na Alemanha</w:t>
      </w:r>
      <w:r w:rsidRPr="00BF4A30">
        <w:rPr>
          <w:rFonts w:ascii="Times New Roman" w:hAnsi="Times New Roman" w:cs="Times New Roman"/>
        </w:rPr>
        <w:t xml:space="preserve"> e aferida em diversos países ao redor do mundo, também é adotada como metodologia padrão pela Organização das Nações Unidas -(ONU). </w:t>
      </w:r>
    </w:p>
    <w:p w:rsidR="00AD48E4" w:rsidRPr="00BF4A30" w:rsidRDefault="00AD48E4" w:rsidP="00924AB9">
      <w:pPr>
        <w:pStyle w:val="CM73"/>
        <w:spacing w:line="360" w:lineRule="auto"/>
        <w:ind w:firstLine="708"/>
        <w:jc w:val="both"/>
        <w:rPr>
          <w:rFonts w:ascii="Times New Roman" w:hAnsi="Times New Roman" w:cs="Times New Roman"/>
        </w:rPr>
      </w:pPr>
      <w:r w:rsidRPr="00BF4A30">
        <w:rPr>
          <w:rFonts w:ascii="Times New Roman" w:hAnsi="Times New Roman" w:cs="Times New Roman"/>
        </w:rPr>
        <w:t xml:space="preserve">A sistemática CDP representa uma metodologia de ordenação dos dados levantados que possibilita uma análise de forma sistematizada com fácil visualização. Através deste método, foi possível ter uma visão sintética que será extremamente eficaz para a definição do planejamento estratégico. </w:t>
      </w:r>
    </w:p>
    <w:p w:rsidR="00AD48E4" w:rsidRPr="00BF4A30" w:rsidRDefault="00AD48E4" w:rsidP="00924AB9">
      <w:pPr>
        <w:pStyle w:val="CM73"/>
        <w:spacing w:line="360" w:lineRule="auto"/>
        <w:ind w:firstLine="708"/>
        <w:jc w:val="both"/>
        <w:rPr>
          <w:rFonts w:ascii="Times New Roman" w:hAnsi="Times New Roman" w:cs="Times New Roman"/>
        </w:rPr>
      </w:pPr>
      <w:r w:rsidRPr="00BF4A30">
        <w:rPr>
          <w:rFonts w:ascii="Times New Roman" w:hAnsi="Times New Roman" w:cs="Times New Roman"/>
        </w:rPr>
        <w:t xml:space="preserve">Segundo GTZ (1998), na metodologia CDP, os dados levantados são classificados em três categorias descritas abaixo: </w:t>
      </w:r>
    </w:p>
    <w:p w:rsidR="00AD48E4" w:rsidRPr="00BF4A30" w:rsidRDefault="00AD48E4" w:rsidP="0053477A">
      <w:pPr>
        <w:pStyle w:val="CM73"/>
        <w:numPr>
          <w:ilvl w:val="0"/>
          <w:numId w:val="10"/>
        </w:numPr>
        <w:spacing w:line="360" w:lineRule="auto"/>
        <w:ind w:left="851" w:hanging="425"/>
        <w:jc w:val="both"/>
        <w:rPr>
          <w:rFonts w:ascii="Times New Roman" w:hAnsi="Times New Roman" w:cs="Times New Roman"/>
        </w:rPr>
      </w:pPr>
      <w:r>
        <w:rPr>
          <w:rFonts w:ascii="Times New Roman" w:hAnsi="Times New Roman" w:cs="Times New Roman"/>
        </w:rPr>
        <w:t>CONDICIONANTES:</w:t>
      </w:r>
      <w:r w:rsidRPr="00BF4A30">
        <w:rPr>
          <w:rFonts w:ascii="Times New Roman" w:hAnsi="Times New Roman" w:cs="Times New Roman"/>
        </w:rPr>
        <w:t xml:space="preserve"> Figuram como restrições, impedimentos e obrigatoriedades, devendo ser considerados, para o planejamento, aspectos de preservação, manutenção e conservação, dependendo das peculiaridades das diferentes condicionantes e das diferentes exigências locais.</w:t>
      </w:r>
    </w:p>
    <w:p w:rsidR="00AD48E4" w:rsidRPr="00BF4A30" w:rsidRDefault="00AD48E4" w:rsidP="0053477A">
      <w:pPr>
        <w:pStyle w:val="CM73"/>
        <w:numPr>
          <w:ilvl w:val="0"/>
          <w:numId w:val="10"/>
        </w:numPr>
        <w:spacing w:line="360" w:lineRule="auto"/>
        <w:ind w:left="851" w:hanging="425"/>
        <w:jc w:val="both"/>
        <w:rPr>
          <w:rFonts w:ascii="Times New Roman" w:hAnsi="Times New Roman" w:cs="Times New Roman"/>
        </w:rPr>
      </w:pPr>
      <w:r w:rsidRPr="00BF4A30">
        <w:rPr>
          <w:rFonts w:ascii="Times New Roman" w:hAnsi="Times New Roman" w:cs="Times New Roman"/>
        </w:rPr>
        <w:t xml:space="preserve">DEFICIÊNCIAS: Elementos que são caracterizados como problemas que devem ser solucionados através de ações e/ou políticas que provoquem as mudanças desejadas; </w:t>
      </w:r>
    </w:p>
    <w:p w:rsidR="00AD48E4" w:rsidRPr="00BF4A30" w:rsidRDefault="00AD48E4" w:rsidP="0053477A">
      <w:pPr>
        <w:pStyle w:val="CM73"/>
        <w:numPr>
          <w:ilvl w:val="0"/>
          <w:numId w:val="10"/>
        </w:numPr>
        <w:spacing w:line="360" w:lineRule="auto"/>
        <w:ind w:left="851" w:hanging="425"/>
        <w:jc w:val="both"/>
        <w:rPr>
          <w:rFonts w:ascii="Times New Roman" w:hAnsi="Times New Roman" w:cs="Times New Roman"/>
        </w:rPr>
      </w:pPr>
      <w:r w:rsidRPr="00BF4A30">
        <w:rPr>
          <w:rFonts w:ascii="Times New Roman" w:hAnsi="Times New Roman" w:cs="Times New Roman"/>
        </w:rPr>
        <w:t xml:space="preserve">POTENCIALIDADES: Elementos que podem ser utilizados para melhorar a qualidade de vida da população. </w:t>
      </w:r>
    </w:p>
    <w:p w:rsidR="00AD48E4" w:rsidRPr="00BF4A30" w:rsidRDefault="00AD48E4" w:rsidP="00924AB9">
      <w:pPr>
        <w:pStyle w:val="CM73"/>
        <w:spacing w:line="360" w:lineRule="auto"/>
        <w:ind w:firstLine="708"/>
        <w:jc w:val="both"/>
        <w:rPr>
          <w:rFonts w:ascii="Times New Roman" w:hAnsi="Times New Roman" w:cs="Times New Roman"/>
        </w:rPr>
      </w:pPr>
      <w:r w:rsidRPr="00BF4A30">
        <w:rPr>
          <w:rFonts w:ascii="Times New Roman" w:hAnsi="Times New Roman" w:cs="Times New Roman"/>
        </w:rPr>
        <w:t>A sistematização em Condicionantes, Deficiências e Potencialidades auxilia na elaboração e análise de cenários alternativos de evolução das medidas mitigadoras que possam ser previstas no PMSB/AIMORÉS</w:t>
      </w:r>
      <w:r>
        <w:rPr>
          <w:rFonts w:ascii="Times New Roman" w:hAnsi="Times New Roman" w:cs="Times New Roman"/>
        </w:rPr>
        <w:t xml:space="preserve"> </w:t>
      </w:r>
      <w:r w:rsidRPr="00BF4A30">
        <w:rPr>
          <w:rFonts w:ascii="Times New Roman" w:hAnsi="Times New Roman" w:cs="Times New Roman"/>
        </w:rPr>
        <w:t xml:space="preserve">para o horizonte de projeto que </w:t>
      </w:r>
      <w:r>
        <w:rPr>
          <w:rFonts w:ascii="Times New Roman" w:hAnsi="Times New Roman" w:cs="Times New Roman"/>
        </w:rPr>
        <w:t>é de 20 anos, como preconiza a L</w:t>
      </w:r>
      <w:r w:rsidRPr="00BF4A30">
        <w:rPr>
          <w:rFonts w:ascii="Times New Roman" w:hAnsi="Times New Roman" w:cs="Times New Roman"/>
        </w:rPr>
        <w:t>ei</w:t>
      </w:r>
      <w:r>
        <w:rPr>
          <w:rFonts w:ascii="Times New Roman" w:hAnsi="Times New Roman" w:cs="Times New Roman"/>
        </w:rPr>
        <w:t xml:space="preserve"> n°</w:t>
      </w:r>
      <w:r w:rsidRPr="00BF4A30">
        <w:rPr>
          <w:rFonts w:ascii="Times New Roman" w:hAnsi="Times New Roman" w:cs="Times New Roman"/>
        </w:rPr>
        <w:t xml:space="preserve"> 11.445/2007. </w:t>
      </w:r>
    </w:p>
    <w:p w:rsidR="00AD48E4" w:rsidRPr="00BF4A30" w:rsidRDefault="00AD48E4" w:rsidP="00924AB9">
      <w:pPr>
        <w:pStyle w:val="CM73"/>
        <w:spacing w:line="360" w:lineRule="auto"/>
        <w:ind w:firstLine="708"/>
        <w:jc w:val="both"/>
        <w:rPr>
          <w:rFonts w:ascii="Times New Roman" w:hAnsi="Times New Roman" w:cs="Times New Roman"/>
        </w:rPr>
      </w:pPr>
      <w:r w:rsidRPr="00BF4A30">
        <w:rPr>
          <w:rFonts w:ascii="Times New Roman" w:hAnsi="Times New Roman" w:cs="Times New Roman"/>
        </w:rPr>
        <w:t xml:space="preserve">O banco de dados georreferenciados do PMSB </w:t>
      </w:r>
      <w:r>
        <w:rPr>
          <w:rFonts w:ascii="Times New Roman" w:hAnsi="Times New Roman" w:cs="Times New Roman"/>
        </w:rPr>
        <w:t>foi</w:t>
      </w:r>
      <w:r w:rsidRPr="00BF4A30">
        <w:rPr>
          <w:rFonts w:ascii="Times New Roman" w:hAnsi="Times New Roman" w:cs="Times New Roman"/>
        </w:rPr>
        <w:t xml:space="preserve"> elaborado com base no Sistema de Informações Geográficas (SIG). Os planos de informação desse sistema </w:t>
      </w:r>
      <w:r>
        <w:rPr>
          <w:rFonts w:ascii="Times New Roman" w:hAnsi="Times New Roman" w:cs="Times New Roman"/>
        </w:rPr>
        <w:t>foram</w:t>
      </w:r>
      <w:r w:rsidRPr="00BF4A30">
        <w:rPr>
          <w:rFonts w:ascii="Times New Roman" w:hAnsi="Times New Roman" w:cs="Times New Roman"/>
        </w:rPr>
        <w:t xml:space="preserve"> projetados </w:t>
      </w:r>
      <w:r w:rsidRPr="00BF4A30">
        <w:rPr>
          <w:rFonts w:ascii="Times New Roman" w:hAnsi="Times New Roman" w:cs="Times New Roman"/>
        </w:rPr>
        <w:lastRenderedPageBreak/>
        <w:t>no sistema de coordenadas Universal Trans</w:t>
      </w:r>
      <w:r>
        <w:rPr>
          <w:rFonts w:ascii="Times New Roman" w:hAnsi="Times New Roman" w:cs="Times New Roman"/>
        </w:rPr>
        <w:t>verso de Mercator (UTM), zona 24</w:t>
      </w:r>
      <w:r w:rsidRPr="00BF4A30">
        <w:rPr>
          <w:rFonts w:ascii="Times New Roman" w:hAnsi="Times New Roman" w:cs="Times New Roman"/>
        </w:rPr>
        <w:t xml:space="preserve">S, </w:t>
      </w:r>
      <w:r w:rsidRPr="00347E31">
        <w:rPr>
          <w:rFonts w:ascii="Times New Roman" w:hAnsi="Times New Roman" w:cs="Times New Roman"/>
          <w:i/>
        </w:rPr>
        <w:t>datum</w:t>
      </w:r>
      <w:r w:rsidRPr="00BF4A30">
        <w:rPr>
          <w:rFonts w:ascii="Times New Roman" w:hAnsi="Times New Roman" w:cs="Times New Roman"/>
        </w:rPr>
        <w:t xml:space="preserve"> horizontal SAD-69. </w:t>
      </w:r>
    </w:p>
    <w:p w:rsidR="00AD48E4" w:rsidRDefault="00AD48E4" w:rsidP="00924AB9">
      <w:pPr>
        <w:pStyle w:val="CM73"/>
        <w:spacing w:line="360" w:lineRule="auto"/>
        <w:ind w:firstLine="708"/>
        <w:jc w:val="both"/>
        <w:rPr>
          <w:rFonts w:ascii="Times New Roman" w:hAnsi="Times New Roman" w:cs="Times New Roman"/>
          <w:b/>
        </w:rPr>
      </w:pPr>
      <w:r w:rsidRPr="00BF4A30">
        <w:rPr>
          <w:rFonts w:ascii="Times New Roman" w:hAnsi="Times New Roman" w:cs="Times New Roman"/>
        </w:rPr>
        <w:t xml:space="preserve">A metodologia utilizada, assim como os impactos da situação do saneamento do município na qualidade de vida da população, </w:t>
      </w:r>
      <w:r>
        <w:rPr>
          <w:rFonts w:ascii="Times New Roman" w:hAnsi="Times New Roman" w:cs="Times New Roman"/>
        </w:rPr>
        <w:t>foram</w:t>
      </w:r>
      <w:r w:rsidRPr="00BF4A30">
        <w:rPr>
          <w:rFonts w:ascii="Times New Roman" w:hAnsi="Times New Roman" w:cs="Times New Roman"/>
        </w:rPr>
        <w:t xml:space="preserve"> itens abordados e detalhados ao longo do texto do diagnóstico. Da mesma forma, os valores de indicadores sanitários, epidemiológicos, ambientais e socioeconômicos </w:t>
      </w:r>
      <w:r>
        <w:rPr>
          <w:rFonts w:ascii="Times New Roman" w:hAnsi="Times New Roman" w:cs="Times New Roman"/>
        </w:rPr>
        <w:t>foram</w:t>
      </w:r>
      <w:r w:rsidRPr="00BF4A30">
        <w:rPr>
          <w:rFonts w:ascii="Times New Roman" w:hAnsi="Times New Roman" w:cs="Times New Roman"/>
        </w:rPr>
        <w:t xml:space="preserve"> citados no decorrer do texto de cada setor pertinente.</w:t>
      </w:r>
      <w:r>
        <w:rPr>
          <w:rFonts w:ascii="Times New Roman" w:hAnsi="Times New Roman" w:cs="Times New Roman"/>
          <w:b/>
        </w:rPr>
        <w:br w:type="page"/>
      </w:r>
    </w:p>
    <w:p w:rsidR="00AD48E4" w:rsidRPr="00B55826" w:rsidRDefault="00AD48E4" w:rsidP="00971B37">
      <w:pPr>
        <w:pStyle w:val="Titulo"/>
      </w:pPr>
      <w:bookmarkStart w:id="18" w:name="_Toc372559022"/>
      <w:bookmarkStart w:id="19" w:name="_Toc372789476"/>
      <w:r>
        <w:lastRenderedPageBreak/>
        <w:t xml:space="preserve">6. </w:t>
      </w:r>
      <w:r w:rsidRPr="00B55826">
        <w:t>CARACTERIZAÇÃO GERAL</w:t>
      </w:r>
      <w:bookmarkEnd w:id="18"/>
      <w:bookmarkEnd w:id="19"/>
    </w:p>
    <w:p w:rsidR="00AD48E4" w:rsidRDefault="00347E31" w:rsidP="006B06F3">
      <w:pPr>
        <w:pStyle w:val="Titulo"/>
        <w:spacing w:before="120"/>
      </w:pPr>
      <w:bookmarkStart w:id="20" w:name="_Toc372559023"/>
      <w:bookmarkStart w:id="21" w:name="_Toc372789477"/>
      <w:r>
        <w:t xml:space="preserve">6.1 </w:t>
      </w:r>
      <w:r w:rsidR="00AD48E4" w:rsidRPr="004E03A9">
        <w:t>Inserção no Contexto Regional</w:t>
      </w:r>
      <w:bookmarkEnd w:id="20"/>
      <w:bookmarkEnd w:id="21"/>
    </w:p>
    <w:p w:rsidR="00146231" w:rsidRPr="001E178D" w:rsidRDefault="00AD48E4" w:rsidP="001E178D">
      <w:pPr>
        <w:pStyle w:val="CM81"/>
        <w:spacing w:before="120" w:line="360" w:lineRule="auto"/>
        <w:ind w:firstLine="709"/>
        <w:jc w:val="both"/>
        <w:rPr>
          <w:rFonts w:ascii="Times New Roman" w:hAnsi="Times New Roman" w:cs="Times New Roman"/>
        </w:rPr>
      </w:pPr>
      <w:r w:rsidRPr="004E03A9">
        <w:rPr>
          <w:rFonts w:ascii="Times New Roman" w:hAnsi="Times New Roman" w:cs="Times New Roman"/>
        </w:rPr>
        <w:t xml:space="preserve">Aimorés, é um município brasileiro do estado de Minas Gerais, que faz parte da denominada microrregião homônima juntamente com os municípios de Alvarenga, Conceição de Ipanema, Conselheiro Pena, Cuparaque, Goiabeira, Ipanema, </w:t>
      </w:r>
      <w:r>
        <w:rPr>
          <w:rFonts w:ascii="Times New Roman" w:hAnsi="Times New Roman" w:cs="Times New Roman"/>
        </w:rPr>
        <w:t xml:space="preserve">Itueta, </w:t>
      </w:r>
      <w:r w:rsidRPr="004E03A9">
        <w:rPr>
          <w:rFonts w:ascii="Times New Roman" w:hAnsi="Times New Roman" w:cs="Times New Roman"/>
        </w:rPr>
        <w:t>Mutum, Pocrane, Resplendo</w:t>
      </w:r>
      <w:r>
        <w:rPr>
          <w:rFonts w:ascii="Times New Roman" w:hAnsi="Times New Roman" w:cs="Times New Roman"/>
        </w:rPr>
        <w:t>r, Santa Rita do Itueto e Tapar</w:t>
      </w:r>
      <w:r w:rsidRPr="004E03A9">
        <w:rPr>
          <w:rFonts w:ascii="Times New Roman" w:hAnsi="Times New Roman" w:cs="Times New Roman"/>
        </w:rPr>
        <w:t>uba, todos integrantes da mesorregião Vale do Rio Doce, compondo uma das doze mesorregiões do estado, formada pela união de 102 municípios agrupados (</w:t>
      </w:r>
      <w:r w:rsidRPr="00D8326D">
        <w:rPr>
          <w:rFonts w:ascii="Times New Roman" w:hAnsi="Times New Roman" w:cs="Times New Roman"/>
        </w:rPr>
        <w:t>Figura 1</w:t>
      </w:r>
      <w:r w:rsidRPr="004E03A9">
        <w:rPr>
          <w:rFonts w:ascii="Times New Roman" w:hAnsi="Times New Roman" w:cs="Times New Roman"/>
        </w:rPr>
        <w:t xml:space="preserve">). Em 2010, a população da mesorregião foi calculada em 1.620.740 habitantes e sua área total em 47.713 km² (IBGE, 2010). </w:t>
      </w:r>
      <w:r w:rsidR="00146231">
        <w:rPr>
          <w:b/>
        </w:rPr>
        <w:tab/>
      </w:r>
    </w:p>
    <w:p w:rsidR="00146231" w:rsidRDefault="00146231" w:rsidP="001E178D">
      <w:pPr>
        <w:pStyle w:val="Legenda"/>
        <w:keepNext/>
        <w:spacing w:before="120"/>
      </w:pPr>
      <w:bookmarkStart w:id="22" w:name="_Toc372740084"/>
      <w:r>
        <w:t xml:space="preserve">Figura </w:t>
      </w:r>
      <w:fldSimple w:instr=" SEQ Figura \* ARABIC ">
        <w:r w:rsidR="004F77E2">
          <w:rPr>
            <w:noProof/>
          </w:rPr>
          <w:t>1</w:t>
        </w:r>
      </w:fldSimple>
      <w:r>
        <w:t xml:space="preserve">- </w:t>
      </w:r>
      <w:r w:rsidRPr="00531AEA">
        <w:t>Inserção no contexto regional: microrregião de Aimorés e seus municípios</w:t>
      </w:r>
      <w:bookmarkEnd w:id="22"/>
    </w:p>
    <w:p w:rsidR="00AD48E4" w:rsidRPr="00F26E8F" w:rsidRDefault="00146231" w:rsidP="003C6612">
      <w:pPr>
        <w:pStyle w:val="TituloFiguras"/>
        <w:spacing w:before="120" w:after="120" w:line="240" w:lineRule="auto"/>
        <w:jc w:val="center"/>
        <w:rPr>
          <w:b/>
        </w:rPr>
      </w:pPr>
      <w:r w:rsidRPr="003672CA">
        <w:rPr>
          <w:rFonts w:eastAsiaTheme="minorHAnsi"/>
          <w:noProof/>
          <w:bdr w:val="single" w:sz="4" w:space="0" w:color="auto"/>
        </w:rPr>
        <w:drawing>
          <wp:inline distT="0" distB="0" distL="0" distR="0">
            <wp:extent cx="3343797" cy="4775303"/>
            <wp:effectExtent l="19050" t="0" r="9003"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_localização aimorés.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51996" cy="4787012"/>
                    </a:xfrm>
                    <a:prstGeom prst="rect">
                      <a:avLst/>
                    </a:prstGeom>
                  </pic:spPr>
                </pic:pic>
              </a:graphicData>
            </a:graphic>
          </wp:inline>
        </w:drawing>
      </w:r>
    </w:p>
    <w:p w:rsidR="00AD48E4" w:rsidRPr="00D8326D" w:rsidRDefault="00AD48E4" w:rsidP="006B06F3">
      <w:pPr>
        <w:pStyle w:val="CM81"/>
        <w:spacing w:line="360" w:lineRule="auto"/>
        <w:ind w:left="1701"/>
        <w:jc w:val="both"/>
        <w:rPr>
          <w:rFonts w:ascii="Times New Roman" w:eastAsiaTheme="minorHAnsi" w:hAnsi="Times New Roman" w:cs="Times New Roman"/>
          <w:sz w:val="20"/>
          <w:szCs w:val="20"/>
        </w:rPr>
      </w:pPr>
      <w:r w:rsidRPr="00D8326D">
        <w:rPr>
          <w:rFonts w:ascii="Times New Roman" w:hAnsi="Times New Roman" w:cs="Times New Roman"/>
          <w:sz w:val="20"/>
          <w:szCs w:val="20"/>
        </w:rPr>
        <w:t>Fonte: Fundação Educacional de Caratinga – FUNEC, 2013</w:t>
      </w:r>
    </w:p>
    <w:p w:rsidR="00AD48E4" w:rsidRPr="004E03A9" w:rsidRDefault="00AD48E4" w:rsidP="002210B9">
      <w:pPr>
        <w:pStyle w:val="CM81"/>
        <w:spacing w:before="120" w:line="360" w:lineRule="auto"/>
        <w:ind w:firstLine="709"/>
        <w:jc w:val="both"/>
        <w:rPr>
          <w:rFonts w:ascii="Times New Roman" w:hAnsi="Times New Roman" w:cs="Times New Roman"/>
        </w:rPr>
      </w:pPr>
      <w:r w:rsidRPr="004E03A9">
        <w:rPr>
          <w:rFonts w:ascii="Times New Roman" w:hAnsi="Times New Roman" w:cs="Times New Roman"/>
        </w:rPr>
        <w:lastRenderedPageBreak/>
        <w:t>A economia da região é movida principalmente pela pecuária leiteira</w:t>
      </w:r>
      <w:r>
        <w:rPr>
          <w:rFonts w:ascii="Times New Roman" w:hAnsi="Times New Roman" w:cs="Times New Roman"/>
        </w:rPr>
        <w:t>, seguida da pecuária de corte</w:t>
      </w:r>
      <w:r w:rsidRPr="004E03A9">
        <w:rPr>
          <w:rFonts w:ascii="Times New Roman" w:hAnsi="Times New Roman" w:cs="Times New Roman"/>
        </w:rPr>
        <w:t>. Sua população foi estimada em 2010 pelo IBGE em 149.456 habitantes, com uma área total de 8.315 km²</w:t>
      </w:r>
      <w:r>
        <w:rPr>
          <w:rFonts w:ascii="Times New Roman" w:hAnsi="Times New Roman" w:cs="Times New Roman"/>
        </w:rPr>
        <w:t>, uma densidade demográfica de 18,0 hab</w:t>
      </w:r>
      <w:r w:rsidR="00924AB9">
        <w:rPr>
          <w:rFonts w:ascii="Times New Roman" w:hAnsi="Times New Roman" w:cs="Times New Roman"/>
        </w:rPr>
        <w:t>.</w:t>
      </w:r>
      <w:r>
        <w:rPr>
          <w:rFonts w:ascii="Times New Roman" w:hAnsi="Times New Roman" w:cs="Times New Roman"/>
        </w:rPr>
        <w:t>/km²</w:t>
      </w:r>
      <w:r w:rsidRPr="004E03A9">
        <w:rPr>
          <w:rFonts w:ascii="Times New Roman" w:hAnsi="Times New Roman" w:cs="Times New Roman"/>
        </w:rPr>
        <w:t xml:space="preserve"> e Produto Interno Bruto de R$ </w:t>
      </w:r>
      <w:r>
        <w:rPr>
          <w:rFonts w:ascii="Times New Roman" w:hAnsi="Times New Roman" w:cs="Times New Roman"/>
        </w:rPr>
        <w:t>31.384,46</w:t>
      </w:r>
      <w:r w:rsidRPr="004E03A9">
        <w:rPr>
          <w:rFonts w:ascii="Times New Roman" w:hAnsi="Times New Roman" w:cs="Times New Roman"/>
        </w:rPr>
        <w:t xml:space="preserve"> (</w:t>
      </w:r>
      <w:r w:rsidR="006A43ED">
        <w:rPr>
          <w:rFonts w:ascii="Times New Roman" w:hAnsi="Times New Roman" w:cs="Times New Roman"/>
        </w:rPr>
        <w:t>Quadro</w:t>
      </w:r>
      <w:r w:rsidRPr="004E03A9">
        <w:rPr>
          <w:rFonts w:ascii="Times New Roman" w:hAnsi="Times New Roman" w:cs="Times New Roman"/>
        </w:rPr>
        <w:t xml:space="preserve"> </w:t>
      </w:r>
      <w:r>
        <w:rPr>
          <w:rFonts w:ascii="Times New Roman" w:hAnsi="Times New Roman" w:cs="Times New Roman"/>
        </w:rPr>
        <w:t>1</w:t>
      </w:r>
      <w:r w:rsidRPr="004E03A9">
        <w:rPr>
          <w:rFonts w:ascii="Times New Roman" w:hAnsi="Times New Roman" w:cs="Times New Roman"/>
        </w:rPr>
        <w:t xml:space="preserve">). </w:t>
      </w:r>
    </w:p>
    <w:p w:rsidR="00AD48E4" w:rsidRPr="00F26E8F" w:rsidRDefault="00B02273" w:rsidP="00B02273">
      <w:pPr>
        <w:pStyle w:val="Legenda"/>
        <w:rPr>
          <w:b w:val="0"/>
        </w:rPr>
      </w:pPr>
      <w:bookmarkStart w:id="23" w:name="_Toc372740507"/>
      <w:r>
        <w:t xml:space="preserve">Quadro </w:t>
      </w:r>
      <w:fldSimple w:instr=" SEQ Quadro \* ARABIC ">
        <w:r w:rsidR="004F77E2">
          <w:rPr>
            <w:noProof/>
          </w:rPr>
          <w:t>1</w:t>
        </w:r>
      </w:fldSimple>
      <w:r>
        <w:t xml:space="preserve"> - </w:t>
      </w:r>
      <w:r w:rsidRPr="00A31330">
        <w:rPr>
          <w:noProof/>
        </w:rPr>
        <w:t>Informações da Microrregião de Aimorés.</w:t>
      </w:r>
      <w:bookmarkEnd w:id="23"/>
    </w:p>
    <w:tbl>
      <w:tblPr>
        <w:tblW w:w="8720" w:type="dxa"/>
        <w:tblBorders>
          <w:top w:val="nil"/>
          <w:left w:val="nil"/>
          <w:bottom w:val="nil"/>
          <w:right w:val="nil"/>
        </w:tblBorders>
        <w:tblLayout w:type="fixed"/>
        <w:tblLook w:val="0000" w:firstRow="0" w:lastRow="0" w:firstColumn="0" w:lastColumn="0" w:noHBand="0" w:noVBand="0"/>
      </w:tblPr>
      <w:tblGrid>
        <w:gridCol w:w="2776"/>
        <w:gridCol w:w="2413"/>
        <w:gridCol w:w="1401"/>
        <w:gridCol w:w="2130"/>
      </w:tblGrid>
      <w:tr w:rsidR="00AD48E4" w:rsidRPr="004E03A9" w:rsidTr="002210B9">
        <w:trPr>
          <w:trHeight w:val="282"/>
          <w:tblHeader/>
        </w:trPr>
        <w:tc>
          <w:tcPr>
            <w:tcW w:w="2776" w:type="dxa"/>
            <w:tcBorders>
              <w:top w:val="single" w:sz="6" w:space="0" w:color="000000"/>
              <w:left w:val="single" w:sz="2" w:space="0" w:color="000000"/>
              <w:bottom w:val="single" w:sz="6" w:space="0" w:color="000000"/>
              <w:right w:val="single" w:sz="4" w:space="0" w:color="000000"/>
            </w:tcBorders>
            <w:shd w:val="clear" w:color="auto" w:fill="D9D9D9" w:themeFill="background1" w:themeFillShade="D9"/>
            <w:vAlign w:val="center"/>
          </w:tcPr>
          <w:p w:rsidR="00AD48E4" w:rsidRPr="002210B9" w:rsidRDefault="00AD48E4" w:rsidP="002210B9">
            <w:pPr>
              <w:pStyle w:val="Default"/>
              <w:spacing w:before="120" w:after="120"/>
              <w:jc w:val="center"/>
              <w:rPr>
                <w:rFonts w:ascii="Times New Roman" w:hAnsi="Times New Roman" w:cs="Times New Roman"/>
              </w:rPr>
            </w:pPr>
            <w:r w:rsidRPr="002210B9">
              <w:rPr>
                <w:rFonts w:ascii="Times New Roman" w:hAnsi="Times New Roman" w:cs="Times New Roman"/>
              </w:rPr>
              <w:t>Microrregião-Municípios</w:t>
            </w:r>
          </w:p>
        </w:tc>
        <w:tc>
          <w:tcPr>
            <w:tcW w:w="2413" w:type="dxa"/>
            <w:tcBorders>
              <w:top w:val="single" w:sz="6" w:space="0" w:color="000000"/>
              <w:left w:val="single" w:sz="4" w:space="0" w:color="000000"/>
              <w:bottom w:val="single" w:sz="6" w:space="0" w:color="000000"/>
              <w:right w:val="single" w:sz="4" w:space="0" w:color="000000"/>
            </w:tcBorders>
            <w:shd w:val="clear" w:color="auto" w:fill="D9D9D9" w:themeFill="background1" w:themeFillShade="D9"/>
            <w:vAlign w:val="center"/>
          </w:tcPr>
          <w:p w:rsidR="00AD48E4" w:rsidRPr="002210B9" w:rsidRDefault="00AD48E4" w:rsidP="002210B9">
            <w:pPr>
              <w:pStyle w:val="Default"/>
              <w:spacing w:before="120" w:after="120"/>
              <w:jc w:val="center"/>
              <w:rPr>
                <w:rFonts w:ascii="Times New Roman" w:hAnsi="Times New Roman" w:cs="Times New Roman"/>
              </w:rPr>
            </w:pPr>
            <w:r w:rsidRPr="002210B9">
              <w:rPr>
                <w:rFonts w:ascii="Times New Roman" w:hAnsi="Times New Roman" w:cs="Times New Roman"/>
              </w:rPr>
              <w:t>Total de Habitantes (2010)</w:t>
            </w:r>
          </w:p>
        </w:tc>
        <w:tc>
          <w:tcPr>
            <w:tcW w:w="1401" w:type="dxa"/>
            <w:tcBorders>
              <w:top w:val="single" w:sz="6" w:space="0" w:color="000000"/>
              <w:left w:val="single" w:sz="4" w:space="0" w:color="000000"/>
              <w:bottom w:val="single" w:sz="6" w:space="0" w:color="000000"/>
              <w:right w:val="single" w:sz="4" w:space="0" w:color="000000"/>
            </w:tcBorders>
            <w:shd w:val="clear" w:color="auto" w:fill="D9D9D9" w:themeFill="background1" w:themeFillShade="D9"/>
            <w:vAlign w:val="center"/>
          </w:tcPr>
          <w:p w:rsidR="00AD48E4" w:rsidRPr="002210B9" w:rsidRDefault="00AD48E4" w:rsidP="002210B9">
            <w:pPr>
              <w:pStyle w:val="Default"/>
              <w:spacing w:before="120" w:after="120"/>
              <w:jc w:val="center"/>
              <w:rPr>
                <w:rFonts w:ascii="Times New Roman" w:hAnsi="Times New Roman" w:cs="Times New Roman"/>
              </w:rPr>
            </w:pPr>
            <w:r w:rsidRPr="002210B9">
              <w:rPr>
                <w:rFonts w:ascii="Times New Roman" w:hAnsi="Times New Roman" w:cs="Times New Roman"/>
              </w:rPr>
              <w:t>Área (km²)</w:t>
            </w:r>
          </w:p>
        </w:tc>
        <w:tc>
          <w:tcPr>
            <w:tcW w:w="2130" w:type="dxa"/>
            <w:tcBorders>
              <w:top w:val="single" w:sz="6" w:space="0" w:color="000000"/>
              <w:left w:val="single" w:sz="4" w:space="0" w:color="000000"/>
              <w:bottom w:val="single" w:sz="6" w:space="0" w:color="000000"/>
              <w:right w:val="single" w:sz="2" w:space="0" w:color="000000"/>
            </w:tcBorders>
            <w:shd w:val="clear" w:color="auto" w:fill="D9D9D9" w:themeFill="background1" w:themeFillShade="D9"/>
            <w:vAlign w:val="center"/>
          </w:tcPr>
          <w:p w:rsidR="00AD48E4" w:rsidRPr="004E03A9" w:rsidRDefault="00AD48E4" w:rsidP="002210B9">
            <w:pPr>
              <w:pStyle w:val="Default"/>
              <w:spacing w:before="120" w:after="120"/>
              <w:jc w:val="center"/>
              <w:rPr>
                <w:rFonts w:ascii="Times New Roman" w:hAnsi="Times New Roman" w:cs="Times New Roman"/>
              </w:rPr>
            </w:pPr>
            <w:r w:rsidRPr="002210B9">
              <w:rPr>
                <w:rFonts w:ascii="Times New Roman" w:hAnsi="Times New Roman" w:cs="Times New Roman"/>
              </w:rPr>
              <w:t xml:space="preserve">PIB </w:t>
            </w:r>
            <w:r w:rsidR="002210B9">
              <w:rPr>
                <w:rFonts w:ascii="Times New Roman" w:hAnsi="Times New Roman" w:cs="Times New Roman"/>
              </w:rPr>
              <w:t xml:space="preserve">x </w:t>
            </w:r>
            <w:r w:rsidRPr="002210B9">
              <w:rPr>
                <w:rFonts w:ascii="Times New Roman" w:hAnsi="Times New Roman" w:cs="Times New Roman"/>
              </w:rPr>
              <w:t>mil R$ (2009)</w:t>
            </w:r>
          </w:p>
        </w:tc>
      </w:tr>
      <w:tr w:rsidR="00AD48E4" w:rsidRPr="004E03A9" w:rsidTr="00AD48E4">
        <w:trPr>
          <w:trHeight w:val="265"/>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rPr>
            </w:pPr>
            <w:r w:rsidRPr="004E03A9">
              <w:rPr>
                <w:rFonts w:ascii="Times New Roman" w:hAnsi="Times New Roman" w:cs="Times New Roman"/>
              </w:rPr>
              <w:t>Aimorés</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24.959</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1.348, 775</w:t>
            </w:r>
          </w:p>
        </w:tc>
        <w:tc>
          <w:tcPr>
            <w:tcW w:w="2130" w:type="dxa"/>
            <w:tcBorders>
              <w:top w:val="single" w:sz="6" w:space="0" w:color="000000"/>
              <w:left w:val="single" w:sz="4" w:space="0" w:color="000000"/>
              <w:bottom w:val="single" w:sz="6" w:space="0" w:color="000000"/>
              <w:right w:val="single" w:sz="2" w:space="0" w:color="000000"/>
            </w:tcBorders>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10.398, 21</w:t>
            </w:r>
          </w:p>
        </w:tc>
      </w:tr>
      <w:tr w:rsidR="00AD48E4" w:rsidRPr="004E03A9" w:rsidTr="00AD48E4">
        <w:trPr>
          <w:trHeight w:val="265"/>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rPr>
            </w:pPr>
            <w:r w:rsidRPr="004E03A9">
              <w:rPr>
                <w:rFonts w:ascii="Times New Roman" w:hAnsi="Times New Roman" w:cs="Times New Roman"/>
              </w:rPr>
              <w:t>Alvarenga</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4.444</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278,173</w:t>
            </w:r>
          </w:p>
        </w:tc>
        <w:tc>
          <w:tcPr>
            <w:tcW w:w="2130" w:type="dxa"/>
            <w:tcBorders>
              <w:top w:val="single" w:sz="6" w:space="0" w:color="000000"/>
              <w:left w:val="single" w:sz="4" w:space="0" w:color="000000"/>
              <w:bottom w:val="single" w:sz="6" w:space="0" w:color="000000"/>
              <w:right w:val="single" w:sz="2" w:space="0" w:color="000000"/>
            </w:tcBorders>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5.787, 92</w:t>
            </w:r>
          </w:p>
        </w:tc>
      </w:tr>
      <w:tr w:rsidR="00AD48E4" w:rsidRPr="004E03A9" w:rsidTr="00AD48E4">
        <w:trPr>
          <w:trHeight w:val="270"/>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rPr>
            </w:pPr>
            <w:r w:rsidRPr="004E03A9">
              <w:rPr>
                <w:rFonts w:ascii="Times New Roman" w:hAnsi="Times New Roman" w:cs="Times New Roman"/>
              </w:rPr>
              <w:t>Conceição de Ipanema</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4.456</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253,935</w:t>
            </w:r>
          </w:p>
        </w:tc>
        <w:tc>
          <w:tcPr>
            <w:tcW w:w="2130" w:type="dxa"/>
            <w:tcBorders>
              <w:top w:val="single" w:sz="6" w:space="0" w:color="000000"/>
              <w:left w:val="single" w:sz="4" w:space="0" w:color="000000"/>
              <w:bottom w:val="single" w:sz="6" w:space="0" w:color="000000"/>
              <w:right w:val="single" w:sz="2"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6.389, 97</w:t>
            </w:r>
          </w:p>
        </w:tc>
      </w:tr>
      <w:tr w:rsidR="00AD48E4" w:rsidRPr="004E03A9" w:rsidTr="00AD48E4">
        <w:trPr>
          <w:trHeight w:val="265"/>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rPr>
            </w:pPr>
            <w:r w:rsidRPr="004E03A9">
              <w:rPr>
                <w:rFonts w:ascii="Times New Roman" w:hAnsi="Times New Roman" w:cs="Times New Roman"/>
              </w:rPr>
              <w:t>Conselheiro Pena</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22.242</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1.483, 884</w:t>
            </w:r>
          </w:p>
        </w:tc>
        <w:tc>
          <w:tcPr>
            <w:tcW w:w="2130" w:type="dxa"/>
            <w:tcBorders>
              <w:top w:val="single" w:sz="6" w:space="0" w:color="000000"/>
              <w:left w:val="single" w:sz="4" w:space="0" w:color="000000"/>
              <w:bottom w:val="single" w:sz="6" w:space="0" w:color="000000"/>
              <w:right w:val="single" w:sz="2" w:space="0" w:color="000000"/>
            </w:tcBorders>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8.282, 61</w:t>
            </w:r>
          </w:p>
        </w:tc>
      </w:tr>
      <w:tr w:rsidR="00AD48E4" w:rsidRPr="004E03A9" w:rsidTr="00AD48E4">
        <w:trPr>
          <w:trHeight w:val="270"/>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rPr>
            </w:pPr>
            <w:r w:rsidRPr="004E03A9">
              <w:rPr>
                <w:rFonts w:ascii="Times New Roman" w:hAnsi="Times New Roman" w:cs="Times New Roman"/>
              </w:rPr>
              <w:t>Cuparaque</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4.680</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226,750</w:t>
            </w:r>
          </w:p>
        </w:tc>
        <w:tc>
          <w:tcPr>
            <w:tcW w:w="2130" w:type="dxa"/>
            <w:tcBorders>
              <w:top w:val="single" w:sz="6" w:space="0" w:color="000000"/>
              <w:left w:val="single" w:sz="4" w:space="0" w:color="000000"/>
              <w:bottom w:val="single" w:sz="6" w:space="0" w:color="000000"/>
              <w:right w:val="single" w:sz="2"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6.229,46</w:t>
            </w:r>
          </w:p>
        </w:tc>
      </w:tr>
      <w:tr w:rsidR="00AD48E4" w:rsidRPr="004E03A9" w:rsidTr="00AD48E4">
        <w:trPr>
          <w:trHeight w:val="270"/>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rPr>
            </w:pPr>
            <w:r w:rsidRPr="004E03A9">
              <w:rPr>
                <w:rFonts w:ascii="Times New Roman" w:hAnsi="Times New Roman" w:cs="Times New Roman"/>
              </w:rPr>
              <w:t>Goiabeira</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3.053</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112, 443</w:t>
            </w:r>
          </w:p>
        </w:tc>
        <w:tc>
          <w:tcPr>
            <w:tcW w:w="2130" w:type="dxa"/>
            <w:tcBorders>
              <w:top w:val="single" w:sz="6" w:space="0" w:color="000000"/>
              <w:left w:val="single" w:sz="4" w:space="0" w:color="000000"/>
              <w:bottom w:val="single" w:sz="6" w:space="0" w:color="000000"/>
              <w:right w:val="single" w:sz="2"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6.665, 91</w:t>
            </w:r>
          </w:p>
        </w:tc>
      </w:tr>
      <w:tr w:rsidR="00AD48E4" w:rsidRPr="004E03A9" w:rsidTr="00AD48E4">
        <w:trPr>
          <w:trHeight w:val="270"/>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rPr>
            </w:pPr>
            <w:r w:rsidRPr="004E03A9">
              <w:rPr>
                <w:rFonts w:ascii="Times New Roman" w:hAnsi="Times New Roman" w:cs="Times New Roman"/>
              </w:rPr>
              <w:t>Ipanema</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18.170</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456, 641</w:t>
            </w:r>
          </w:p>
        </w:tc>
        <w:tc>
          <w:tcPr>
            <w:tcW w:w="2130" w:type="dxa"/>
            <w:tcBorders>
              <w:top w:val="single" w:sz="6" w:space="0" w:color="000000"/>
              <w:left w:val="single" w:sz="4" w:space="0" w:color="000000"/>
              <w:bottom w:val="single" w:sz="6" w:space="0" w:color="000000"/>
              <w:right w:val="single" w:sz="2"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7.106, 51</w:t>
            </w:r>
          </w:p>
        </w:tc>
      </w:tr>
      <w:tr w:rsidR="00AD48E4" w:rsidRPr="004E03A9" w:rsidTr="00AD48E4">
        <w:trPr>
          <w:trHeight w:val="270"/>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rPr>
            </w:pPr>
            <w:r>
              <w:rPr>
                <w:rFonts w:ascii="Times New Roman" w:hAnsi="Times New Roman" w:cs="Times New Roman"/>
              </w:rPr>
              <w:t>Itueta</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Pr>
                <w:rFonts w:ascii="Times New Roman" w:hAnsi="Times New Roman" w:cs="Times New Roman"/>
              </w:rPr>
              <w:t>5.836</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Pr>
                <w:rFonts w:ascii="Times New Roman" w:hAnsi="Times New Roman" w:cs="Times New Roman"/>
              </w:rPr>
              <w:t>452,68</w:t>
            </w:r>
          </w:p>
        </w:tc>
        <w:tc>
          <w:tcPr>
            <w:tcW w:w="2130" w:type="dxa"/>
            <w:tcBorders>
              <w:top w:val="single" w:sz="6" w:space="0" w:color="000000"/>
              <w:left w:val="single" w:sz="4" w:space="0" w:color="000000"/>
              <w:bottom w:val="single" w:sz="6" w:space="0" w:color="000000"/>
              <w:right w:val="single" w:sz="2"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Pr>
                <w:rFonts w:ascii="Times New Roman" w:hAnsi="Times New Roman" w:cs="Times New Roman"/>
              </w:rPr>
              <w:t>8.544,34</w:t>
            </w:r>
          </w:p>
        </w:tc>
      </w:tr>
      <w:tr w:rsidR="00AD48E4" w:rsidRPr="004E03A9" w:rsidTr="00AD48E4">
        <w:trPr>
          <w:trHeight w:val="270"/>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rPr>
            </w:pPr>
            <w:r w:rsidRPr="004E03A9">
              <w:rPr>
                <w:rFonts w:ascii="Times New Roman" w:hAnsi="Times New Roman" w:cs="Times New Roman"/>
              </w:rPr>
              <w:t>Mutum</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26.661</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1.250,824</w:t>
            </w:r>
          </w:p>
        </w:tc>
        <w:tc>
          <w:tcPr>
            <w:tcW w:w="2130" w:type="dxa"/>
            <w:tcBorders>
              <w:top w:val="single" w:sz="6" w:space="0" w:color="000000"/>
              <w:left w:val="single" w:sz="4" w:space="0" w:color="000000"/>
              <w:bottom w:val="single" w:sz="6" w:space="0" w:color="000000"/>
              <w:right w:val="single" w:sz="2"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7.757, 50</w:t>
            </w:r>
          </w:p>
        </w:tc>
      </w:tr>
      <w:tr w:rsidR="00AD48E4" w:rsidRPr="004E03A9" w:rsidTr="00AD48E4">
        <w:trPr>
          <w:trHeight w:val="270"/>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rPr>
            </w:pPr>
            <w:r w:rsidRPr="004E03A9">
              <w:rPr>
                <w:rFonts w:ascii="Times New Roman" w:hAnsi="Times New Roman" w:cs="Times New Roman"/>
              </w:rPr>
              <w:t>Pocrane</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8.986</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691,066</w:t>
            </w:r>
          </w:p>
        </w:tc>
        <w:tc>
          <w:tcPr>
            <w:tcW w:w="2130" w:type="dxa"/>
            <w:tcBorders>
              <w:top w:val="single" w:sz="6" w:space="0" w:color="000000"/>
              <w:left w:val="single" w:sz="4" w:space="0" w:color="000000"/>
              <w:bottom w:val="single" w:sz="6" w:space="0" w:color="000000"/>
              <w:right w:val="single" w:sz="2"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6.496, 85</w:t>
            </w:r>
          </w:p>
        </w:tc>
      </w:tr>
      <w:tr w:rsidR="00AD48E4" w:rsidRPr="004E03A9" w:rsidTr="00AD48E4">
        <w:trPr>
          <w:trHeight w:val="270"/>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rPr>
            </w:pPr>
            <w:r w:rsidRPr="004E03A9">
              <w:rPr>
                <w:rFonts w:ascii="Times New Roman" w:hAnsi="Times New Roman" w:cs="Times New Roman"/>
              </w:rPr>
              <w:t>Resplendor</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17.089</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1.081, 796</w:t>
            </w:r>
          </w:p>
        </w:tc>
        <w:tc>
          <w:tcPr>
            <w:tcW w:w="2130" w:type="dxa"/>
            <w:tcBorders>
              <w:top w:val="single" w:sz="6" w:space="0" w:color="000000"/>
              <w:left w:val="single" w:sz="4" w:space="0" w:color="000000"/>
              <w:bottom w:val="single" w:sz="6" w:space="0" w:color="000000"/>
              <w:right w:val="single" w:sz="2"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10.267, 98</w:t>
            </w:r>
          </w:p>
        </w:tc>
      </w:tr>
      <w:tr w:rsidR="00AD48E4" w:rsidRPr="004E03A9" w:rsidTr="00AD48E4">
        <w:trPr>
          <w:trHeight w:val="270"/>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rPr>
            </w:pPr>
            <w:r w:rsidRPr="004E03A9">
              <w:rPr>
                <w:rFonts w:ascii="Times New Roman" w:hAnsi="Times New Roman" w:cs="Times New Roman"/>
              </w:rPr>
              <w:t>Santa Rita do Itueto</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5.697</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485, 081</w:t>
            </w:r>
          </w:p>
        </w:tc>
        <w:tc>
          <w:tcPr>
            <w:tcW w:w="2130" w:type="dxa"/>
            <w:tcBorders>
              <w:top w:val="single" w:sz="6" w:space="0" w:color="000000"/>
              <w:left w:val="single" w:sz="4" w:space="0" w:color="000000"/>
              <w:bottom w:val="single" w:sz="6" w:space="0" w:color="000000"/>
              <w:right w:val="single" w:sz="2"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9.625,12</w:t>
            </w:r>
          </w:p>
        </w:tc>
      </w:tr>
      <w:tr w:rsidR="00AD48E4" w:rsidRPr="004E03A9" w:rsidTr="00AD48E4">
        <w:trPr>
          <w:trHeight w:val="270"/>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rPr>
            </w:pPr>
            <w:r w:rsidRPr="004E03A9">
              <w:rPr>
                <w:rFonts w:ascii="Times New Roman" w:hAnsi="Times New Roman" w:cs="Times New Roman"/>
              </w:rPr>
              <w:t>Taparuba</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3.137</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193, 082</w:t>
            </w:r>
          </w:p>
        </w:tc>
        <w:tc>
          <w:tcPr>
            <w:tcW w:w="2130" w:type="dxa"/>
            <w:tcBorders>
              <w:top w:val="single" w:sz="6" w:space="0" w:color="000000"/>
              <w:left w:val="single" w:sz="4" w:space="0" w:color="000000"/>
              <w:bottom w:val="single" w:sz="6" w:space="0" w:color="000000"/>
              <w:right w:val="single" w:sz="2" w:space="0" w:color="000000"/>
            </w:tcBorders>
            <w:vAlign w:val="center"/>
          </w:tcPr>
          <w:p w:rsidR="00AD48E4" w:rsidRPr="004E03A9" w:rsidRDefault="00AD48E4" w:rsidP="002210B9">
            <w:pPr>
              <w:pStyle w:val="Default"/>
              <w:spacing w:before="120" w:after="120"/>
              <w:jc w:val="center"/>
              <w:rPr>
                <w:rFonts w:ascii="Times New Roman" w:hAnsi="Times New Roman" w:cs="Times New Roman"/>
              </w:rPr>
            </w:pPr>
            <w:r w:rsidRPr="004E03A9">
              <w:rPr>
                <w:rFonts w:ascii="Times New Roman" w:hAnsi="Times New Roman" w:cs="Times New Roman"/>
              </w:rPr>
              <w:t>6.985,54</w:t>
            </w:r>
          </w:p>
        </w:tc>
      </w:tr>
      <w:tr w:rsidR="00AD48E4" w:rsidRPr="004E03A9" w:rsidTr="00AD48E4">
        <w:trPr>
          <w:trHeight w:val="270"/>
        </w:trPr>
        <w:tc>
          <w:tcPr>
            <w:tcW w:w="2776"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2210B9">
            <w:pPr>
              <w:pStyle w:val="Default"/>
              <w:spacing w:before="120" w:after="120"/>
              <w:rPr>
                <w:rFonts w:ascii="Times New Roman" w:hAnsi="Times New Roman" w:cs="Times New Roman"/>
                <w:b/>
              </w:rPr>
            </w:pPr>
            <w:r w:rsidRPr="004E03A9">
              <w:rPr>
                <w:rFonts w:ascii="Times New Roman" w:hAnsi="Times New Roman" w:cs="Times New Roman"/>
                <w:b/>
              </w:rPr>
              <w:t>Total</w:t>
            </w:r>
          </w:p>
        </w:tc>
        <w:tc>
          <w:tcPr>
            <w:tcW w:w="241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b/>
              </w:rPr>
            </w:pPr>
            <w:r w:rsidRPr="004E03A9">
              <w:rPr>
                <w:rFonts w:ascii="Times New Roman" w:hAnsi="Times New Roman" w:cs="Times New Roman"/>
                <w:b/>
              </w:rPr>
              <w:t>149.456</w:t>
            </w:r>
          </w:p>
        </w:tc>
        <w:tc>
          <w:tcPr>
            <w:tcW w:w="1401"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2210B9">
            <w:pPr>
              <w:pStyle w:val="Default"/>
              <w:spacing w:before="120" w:after="120"/>
              <w:jc w:val="center"/>
              <w:rPr>
                <w:rFonts w:ascii="Times New Roman" w:hAnsi="Times New Roman" w:cs="Times New Roman"/>
                <w:b/>
              </w:rPr>
            </w:pPr>
            <w:r w:rsidRPr="004E03A9">
              <w:rPr>
                <w:rFonts w:ascii="Times New Roman" w:hAnsi="Times New Roman" w:cs="Times New Roman"/>
                <w:b/>
              </w:rPr>
              <w:t>8.315</w:t>
            </w:r>
          </w:p>
        </w:tc>
        <w:tc>
          <w:tcPr>
            <w:tcW w:w="2130" w:type="dxa"/>
            <w:tcBorders>
              <w:top w:val="single" w:sz="6" w:space="0" w:color="000000"/>
              <w:left w:val="single" w:sz="4" w:space="0" w:color="000000"/>
              <w:bottom w:val="single" w:sz="6" w:space="0" w:color="000000"/>
              <w:right w:val="single" w:sz="2" w:space="0" w:color="000000"/>
            </w:tcBorders>
            <w:vAlign w:val="center"/>
          </w:tcPr>
          <w:p w:rsidR="00AD48E4" w:rsidRPr="004E03A9" w:rsidRDefault="00AD48E4" w:rsidP="002210B9">
            <w:pPr>
              <w:pStyle w:val="Default"/>
              <w:spacing w:before="120" w:after="120"/>
              <w:jc w:val="center"/>
              <w:rPr>
                <w:rFonts w:ascii="Times New Roman" w:hAnsi="Times New Roman" w:cs="Times New Roman"/>
                <w:b/>
              </w:rPr>
            </w:pPr>
            <w:r w:rsidRPr="009C05AA">
              <w:rPr>
                <w:rFonts w:ascii="Times New Roman" w:hAnsi="Times New Roman" w:cs="Times New Roman"/>
                <w:b/>
              </w:rPr>
              <w:t>31.384,46</w:t>
            </w:r>
          </w:p>
        </w:tc>
      </w:tr>
    </w:tbl>
    <w:p w:rsidR="00AD48E4" w:rsidRPr="004E03A9" w:rsidRDefault="00AD48E4" w:rsidP="00AD48E4">
      <w:pPr>
        <w:pStyle w:val="Fonte"/>
      </w:pPr>
      <w:r w:rsidRPr="004E03A9">
        <w:t>Fonte: IBGE, 2010.</w:t>
      </w:r>
    </w:p>
    <w:p w:rsidR="00AD48E4" w:rsidRPr="004E03A9" w:rsidRDefault="00AD48E4" w:rsidP="002210B9">
      <w:pPr>
        <w:pStyle w:val="CM81"/>
        <w:spacing w:before="120" w:line="360" w:lineRule="auto"/>
        <w:ind w:firstLine="709"/>
        <w:jc w:val="both"/>
        <w:rPr>
          <w:rFonts w:ascii="Times New Roman" w:hAnsi="Times New Roman" w:cs="Times New Roman"/>
          <w:b/>
          <w:bCs/>
        </w:rPr>
      </w:pPr>
      <w:r>
        <w:rPr>
          <w:rFonts w:ascii="Times New Roman" w:hAnsi="Times New Roman" w:cs="Times New Roman"/>
        </w:rPr>
        <w:t xml:space="preserve">O município de </w:t>
      </w:r>
      <w:r w:rsidRPr="004E03A9">
        <w:rPr>
          <w:rFonts w:ascii="Times New Roman" w:hAnsi="Times New Roman" w:cs="Times New Roman"/>
        </w:rPr>
        <w:t>Aimorés possui</w:t>
      </w:r>
      <w:r>
        <w:rPr>
          <w:rFonts w:ascii="Times New Roman" w:hAnsi="Times New Roman" w:cs="Times New Roman"/>
        </w:rPr>
        <w:t xml:space="preserve"> uma área territorial de 1.348,</w:t>
      </w:r>
      <w:r w:rsidRPr="004E03A9">
        <w:rPr>
          <w:rFonts w:ascii="Times New Roman" w:hAnsi="Times New Roman" w:cs="Times New Roman"/>
        </w:rPr>
        <w:t xml:space="preserve">775 km² e está localizada a 6 km ao Norte-Oeste de Baixo Guandu, a maior cidade nos arredores, nas coordenadas geográficas Latitude: 19° 29' 34'' Sul Longitude: 41° 3' 59'' Oeste. </w:t>
      </w:r>
    </w:p>
    <w:p w:rsidR="00AD48E4" w:rsidRPr="00BF5409" w:rsidRDefault="00AD48E4" w:rsidP="00AD48E4">
      <w:pPr>
        <w:pStyle w:val="CM72"/>
        <w:spacing w:line="360" w:lineRule="auto"/>
        <w:ind w:firstLine="709"/>
        <w:jc w:val="both"/>
        <w:rPr>
          <w:rFonts w:ascii="Times New Roman" w:hAnsi="Times New Roman" w:cs="Times New Roman"/>
        </w:rPr>
      </w:pPr>
      <w:r w:rsidRPr="004E03A9">
        <w:rPr>
          <w:rFonts w:ascii="Times New Roman" w:hAnsi="Times New Roman" w:cs="Times New Roman"/>
        </w:rPr>
        <w:t xml:space="preserve">Segundo a pesquisa de rodovias da Confederação Nacional de Transportes – CNT </w:t>
      </w:r>
      <w:r w:rsidRPr="004E03A9">
        <w:rPr>
          <w:rFonts w:ascii="Times New Roman" w:hAnsi="Times New Roman" w:cs="Times New Roman"/>
        </w:rPr>
        <w:lastRenderedPageBreak/>
        <w:t xml:space="preserve">(2012), o estado geral, a pavimentação, a sinalização e a geometria das rodovias podem ser visualizados </w:t>
      </w:r>
      <w:r w:rsidRPr="00BF5409">
        <w:rPr>
          <w:rFonts w:ascii="Times New Roman" w:hAnsi="Times New Roman" w:cs="Times New Roman"/>
        </w:rPr>
        <w:t xml:space="preserve">na </w:t>
      </w:r>
      <w:r w:rsidR="006A43ED" w:rsidRPr="00BF5409">
        <w:rPr>
          <w:rFonts w:ascii="Times New Roman" w:hAnsi="Times New Roman" w:cs="Times New Roman"/>
        </w:rPr>
        <w:t>Tabela</w:t>
      </w:r>
      <w:r w:rsidRPr="00BF5409">
        <w:rPr>
          <w:rFonts w:ascii="Times New Roman" w:hAnsi="Times New Roman" w:cs="Times New Roman"/>
        </w:rPr>
        <w:t xml:space="preserve"> </w:t>
      </w:r>
      <w:r w:rsidR="006A43ED" w:rsidRPr="00BF5409">
        <w:rPr>
          <w:rFonts w:ascii="Times New Roman" w:hAnsi="Times New Roman" w:cs="Times New Roman"/>
        </w:rPr>
        <w:t>1</w:t>
      </w:r>
      <w:r w:rsidRPr="00BF5409">
        <w:rPr>
          <w:rFonts w:ascii="Times New Roman" w:hAnsi="Times New Roman" w:cs="Times New Roman"/>
        </w:rPr>
        <w:t xml:space="preserve">. </w:t>
      </w:r>
    </w:p>
    <w:p w:rsidR="00AD48E4" w:rsidRPr="00F26E8F" w:rsidRDefault="00A80257" w:rsidP="00A80257">
      <w:pPr>
        <w:pStyle w:val="Legenda"/>
        <w:rPr>
          <w:b w:val="0"/>
        </w:rPr>
      </w:pPr>
      <w:bookmarkStart w:id="24" w:name="_Toc372740349"/>
      <w:r>
        <w:t xml:space="preserve">Tabela </w:t>
      </w:r>
      <w:fldSimple w:instr=" SEQ Tabela \* ARABIC ">
        <w:r w:rsidR="004F77E2">
          <w:rPr>
            <w:noProof/>
          </w:rPr>
          <w:t>1</w:t>
        </w:r>
      </w:fldSimple>
      <w:r>
        <w:t xml:space="preserve"> - </w:t>
      </w:r>
      <w:r w:rsidRPr="0035501F">
        <w:rPr>
          <w:noProof/>
        </w:rPr>
        <w:t>Condições das Rodovias de acesso ao município.</w:t>
      </w:r>
      <w:bookmarkEnd w:id="24"/>
    </w:p>
    <w:tbl>
      <w:tblPr>
        <w:tblW w:w="7709" w:type="dxa"/>
        <w:jc w:val="center"/>
        <w:tblBorders>
          <w:top w:val="nil"/>
          <w:left w:val="nil"/>
          <w:bottom w:val="nil"/>
          <w:right w:val="nil"/>
        </w:tblBorders>
        <w:tblLayout w:type="fixed"/>
        <w:tblLook w:val="0000" w:firstRow="0" w:lastRow="0" w:firstColumn="0" w:lastColumn="0" w:noHBand="0" w:noVBand="0"/>
      </w:tblPr>
      <w:tblGrid>
        <w:gridCol w:w="1150"/>
        <w:gridCol w:w="1583"/>
        <w:gridCol w:w="1363"/>
        <w:gridCol w:w="1738"/>
        <w:gridCol w:w="1875"/>
      </w:tblGrid>
      <w:tr w:rsidR="00AD48E4" w:rsidRPr="004E03A9" w:rsidTr="002210B9">
        <w:trPr>
          <w:trHeight w:val="667"/>
          <w:jc w:val="center"/>
        </w:trPr>
        <w:tc>
          <w:tcPr>
            <w:tcW w:w="1150" w:type="dxa"/>
            <w:tcBorders>
              <w:top w:val="single" w:sz="6" w:space="0" w:color="000000"/>
              <w:left w:val="single" w:sz="2" w:space="0" w:color="000000"/>
              <w:bottom w:val="single" w:sz="6" w:space="0" w:color="000000"/>
              <w:right w:val="single" w:sz="4" w:space="0" w:color="000000"/>
            </w:tcBorders>
            <w:shd w:val="clear" w:color="auto" w:fill="D9D9D9" w:themeFill="background1" w:themeFillShade="D9"/>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Rodovia</w:t>
            </w:r>
          </w:p>
        </w:tc>
        <w:tc>
          <w:tcPr>
            <w:tcW w:w="1583" w:type="dxa"/>
            <w:tcBorders>
              <w:top w:val="single" w:sz="6" w:space="0" w:color="000000"/>
              <w:left w:val="single" w:sz="4" w:space="0" w:color="000000"/>
              <w:bottom w:val="single" w:sz="6" w:space="0" w:color="000000"/>
              <w:right w:val="single" w:sz="4" w:space="0" w:color="000000"/>
            </w:tcBorders>
            <w:shd w:val="clear" w:color="auto" w:fill="D9D9D9" w:themeFill="background1" w:themeFillShade="D9"/>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Estado Geral</w:t>
            </w:r>
          </w:p>
        </w:tc>
        <w:tc>
          <w:tcPr>
            <w:tcW w:w="1363" w:type="dxa"/>
            <w:tcBorders>
              <w:top w:val="single" w:sz="6" w:space="0" w:color="000000"/>
              <w:left w:val="single" w:sz="4" w:space="0" w:color="000000"/>
              <w:bottom w:val="single" w:sz="6" w:space="0" w:color="000000"/>
              <w:right w:val="single" w:sz="4" w:space="0" w:color="000000"/>
            </w:tcBorders>
            <w:shd w:val="clear" w:color="auto" w:fill="D9D9D9" w:themeFill="background1" w:themeFillShade="D9"/>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Pavimento</w:t>
            </w:r>
          </w:p>
        </w:tc>
        <w:tc>
          <w:tcPr>
            <w:tcW w:w="1738" w:type="dxa"/>
            <w:tcBorders>
              <w:top w:val="single" w:sz="6" w:space="0" w:color="000000"/>
              <w:left w:val="single" w:sz="4" w:space="0" w:color="000000"/>
              <w:bottom w:val="single" w:sz="6" w:space="0" w:color="000000"/>
              <w:right w:val="single" w:sz="4" w:space="0" w:color="000000"/>
            </w:tcBorders>
            <w:shd w:val="clear" w:color="auto" w:fill="D9D9D9" w:themeFill="background1" w:themeFillShade="D9"/>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Sinalização</w:t>
            </w:r>
          </w:p>
        </w:tc>
        <w:tc>
          <w:tcPr>
            <w:tcW w:w="1875" w:type="dxa"/>
            <w:tcBorders>
              <w:top w:val="single" w:sz="6" w:space="0" w:color="000000"/>
              <w:left w:val="single" w:sz="4" w:space="0" w:color="000000"/>
              <w:bottom w:val="single" w:sz="6" w:space="0" w:color="000000"/>
              <w:right w:val="single" w:sz="2" w:space="0" w:color="000000"/>
            </w:tcBorders>
            <w:shd w:val="clear" w:color="auto" w:fill="D9D9D9" w:themeFill="background1" w:themeFillShade="D9"/>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Geometria</w:t>
            </w:r>
          </w:p>
        </w:tc>
      </w:tr>
      <w:tr w:rsidR="00AD48E4" w:rsidRPr="004E03A9" w:rsidTr="00AD48E4">
        <w:trPr>
          <w:trHeight w:val="647"/>
          <w:jc w:val="center"/>
        </w:trPr>
        <w:tc>
          <w:tcPr>
            <w:tcW w:w="1150"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BR-259</w:t>
            </w:r>
          </w:p>
        </w:tc>
        <w:tc>
          <w:tcPr>
            <w:tcW w:w="158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Regular</w:t>
            </w:r>
          </w:p>
        </w:tc>
        <w:tc>
          <w:tcPr>
            <w:tcW w:w="136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Regular</w:t>
            </w:r>
          </w:p>
        </w:tc>
        <w:tc>
          <w:tcPr>
            <w:tcW w:w="1738"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Regular</w:t>
            </w:r>
          </w:p>
        </w:tc>
        <w:tc>
          <w:tcPr>
            <w:tcW w:w="1875" w:type="dxa"/>
            <w:tcBorders>
              <w:top w:val="single" w:sz="6" w:space="0" w:color="000000"/>
              <w:left w:val="single" w:sz="4" w:space="0" w:color="000000"/>
              <w:bottom w:val="single" w:sz="6" w:space="0" w:color="000000"/>
              <w:right w:val="single" w:sz="2" w:space="0" w:color="000000"/>
            </w:tcBorders>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Péssimo</w:t>
            </w:r>
          </w:p>
        </w:tc>
      </w:tr>
      <w:tr w:rsidR="00AD48E4" w:rsidRPr="004E03A9" w:rsidTr="00AD48E4">
        <w:trPr>
          <w:trHeight w:val="887"/>
          <w:jc w:val="center"/>
        </w:trPr>
        <w:tc>
          <w:tcPr>
            <w:tcW w:w="1150" w:type="dxa"/>
            <w:tcBorders>
              <w:top w:val="single" w:sz="6" w:space="0" w:color="000000"/>
              <w:left w:val="single" w:sz="2" w:space="0" w:color="000000"/>
              <w:bottom w:val="single" w:sz="6" w:space="0" w:color="000000"/>
              <w:right w:val="single" w:sz="4" w:space="0" w:color="000000"/>
            </w:tcBorders>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BR-474</w:t>
            </w:r>
          </w:p>
        </w:tc>
        <w:tc>
          <w:tcPr>
            <w:tcW w:w="158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Ruim</w:t>
            </w:r>
          </w:p>
        </w:tc>
        <w:tc>
          <w:tcPr>
            <w:tcW w:w="1363"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Regular</w:t>
            </w:r>
          </w:p>
        </w:tc>
        <w:tc>
          <w:tcPr>
            <w:tcW w:w="1738" w:type="dxa"/>
            <w:tcBorders>
              <w:top w:val="single" w:sz="6" w:space="0" w:color="000000"/>
              <w:left w:val="single" w:sz="4" w:space="0" w:color="000000"/>
              <w:bottom w:val="single" w:sz="6" w:space="0" w:color="000000"/>
              <w:right w:val="single" w:sz="4" w:space="0" w:color="000000"/>
            </w:tcBorders>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Ruim</w:t>
            </w:r>
          </w:p>
        </w:tc>
        <w:tc>
          <w:tcPr>
            <w:tcW w:w="1875" w:type="dxa"/>
            <w:tcBorders>
              <w:top w:val="single" w:sz="6" w:space="0" w:color="000000"/>
              <w:left w:val="single" w:sz="4" w:space="0" w:color="000000"/>
              <w:bottom w:val="single" w:sz="6" w:space="0" w:color="000000"/>
              <w:right w:val="single" w:sz="2" w:space="0" w:color="000000"/>
            </w:tcBorders>
            <w:vAlign w:val="center"/>
          </w:tcPr>
          <w:p w:rsidR="00AD48E4" w:rsidRPr="004E03A9" w:rsidRDefault="00AD48E4" w:rsidP="00AD48E4">
            <w:pPr>
              <w:pStyle w:val="Default"/>
              <w:jc w:val="center"/>
              <w:rPr>
                <w:rFonts w:ascii="Times New Roman" w:hAnsi="Times New Roman" w:cs="Times New Roman"/>
              </w:rPr>
            </w:pPr>
            <w:r w:rsidRPr="004E03A9">
              <w:rPr>
                <w:rFonts w:ascii="Times New Roman" w:hAnsi="Times New Roman" w:cs="Times New Roman"/>
              </w:rPr>
              <w:t>Péssimo</w:t>
            </w:r>
          </w:p>
        </w:tc>
      </w:tr>
    </w:tbl>
    <w:p w:rsidR="00AD48E4" w:rsidRDefault="00AD48E4" w:rsidP="00AD48E4">
      <w:pPr>
        <w:pStyle w:val="Fonte"/>
        <w:ind w:left="426"/>
      </w:pPr>
      <w:r w:rsidRPr="009C1EC4">
        <w:t>Fonte: DNIT, 2013.</w:t>
      </w:r>
    </w:p>
    <w:p w:rsidR="00AD48E4" w:rsidRPr="004E03A9" w:rsidRDefault="00AD48E4" w:rsidP="00924AB9">
      <w:pPr>
        <w:pStyle w:val="CM72"/>
        <w:spacing w:before="120" w:line="360" w:lineRule="auto"/>
        <w:ind w:firstLine="709"/>
        <w:jc w:val="both"/>
        <w:rPr>
          <w:rFonts w:ascii="Times New Roman" w:hAnsi="Times New Roman" w:cs="Times New Roman"/>
        </w:rPr>
      </w:pPr>
      <w:r w:rsidRPr="004E03A9">
        <w:rPr>
          <w:rFonts w:ascii="Times New Roman" w:hAnsi="Times New Roman" w:cs="Times New Roman"/>
        </w:rPr>
        <w:t xml:space="preserve">A condição das estradas de uma determinada região é um dos fatores determinantes para o seu desenvolvimento econômico, pois propicia a circulação de mercadorias e pessoas com maior fluidez, o acesso aos serviços é realizado de forma a atender a população de maneira coerente. </w:t>
      </w:r>
    </w:p>
    <w:p w:rsidR="00AD48E4" w:rsidRDefault="00AD48E4" w:rsidP="00924AB9">
      <w:pPr>
        <w:pStyle w:val="CM72"/>
        <w:spacing w:line="360" w:lineRule="auto"/>
        <w:ind w:firstLine="709"/>
        <w:jc w:val="both"/>
        <w:rPr>
          <w:rFonts w:ascii="Times New Roman" w:hAnsi="Times New Roman" w:cs="Times New Roman"/>
        </w:rPr>
      </w:pPr>
      <w:r w:rsidRPr="004E03A9">
        <w:rPr>
          <w:rFonts w:ascii="Times New Roman" w:hAnsi="Times New Roman" w:cs="Times New Roman"/>
        </w:rPr>
        <w:t xml:space="preserve">A Figura </w:t>
      </w:r>
      <w:r>
        <w:rPr>
          <w:rFonts w:ascii="Times New Roman" w:hAnsi="Times New Roman" w:cs="Times New Roman"/>
        </w:rPr>
        <w:t>2</w:t>
      </w:r>
      <w:r w:rsidRPr="004E03A9">
        <w:rPr>
          <w:rFonts w:ascii="Times New Roman" w:hAnsi="Times New Roman" w:cs="Times New Roman"/>
        </w:rPr>
        <w:t xml:space="preserve"> mostra as rodovias de acesso ao município de Aimorés e malha rodoviária do estado de Minas Gerais</w:t>
      </w:r>
      <w:r>
        <w:rPr>
          <w:rFonts w:ascii="Times New Roman" w:hAnsi="Times New Roman" w:cs="Times New Roman"/>
        </w:rPr>
        <w:t>.</w:t>
      </w:r>
    </w:p>
    <w:p w:rsidR="00AD48E4" w:rsidRPr="001E178D" w:rsidRDefault="001E178D" w:rsidP="001E178D">
      <w:pPr>
        <w:pStyle w:val="Legenda"/>
      </w:pPr>
      <w:bookmarkStart w:id="25" w:name="_Toc372740085"/>
      <w:r>
        <w:t xml:space="preserve">Figura </w:t>
      </w:r>
      <w:fldSimple w:instr=" SEQ Figura \* ARABIC ">
        <w:r w:rsidR="004F77E2">
          <w:rPr>
            <w:noProof/>
          </w:rPr>
          <w:t>2</w:t>
        </w:r>
      </w:fldSimple>
      <w:r>
        <w:t xml:space="preserve"> - </w:t>
      </w:r>
      <w:r w:rsidRPr="00046F89">
        <w:rPr>
          <w:noProof/>
        </w:rPr>
        <w:t>Rodovias do município de Aimorés e do estado de Minas Gerais.</w:t>
      </w:r>
      <w:bookmarkEnd w:id="25"/>
    </w:p>
    <w:p w:rsidR="00AD48E4" w:rsidRDefault="00AD48E4" w:rsidP="00AD48E4">
      <w:pPr>
        <w:spacing w:after="120"/>
        <w:jc w:val="center"/>
        <w:rPr>
          <w:rFonts w:cs="Times New Roman"/>
          <w:szCs w:val="24"/>
        </w:rPr>
      </w:pPr>
      <w:r>
        <w:rPr>
          <w:rFonts w:cs="Times New Roman"/>
          <w:noProof/>
          <w:szCs w:val="24"/>
          <w:lang w:eastAsia="pt-BR"/>
        </w:rPr>
        <w:drawing>
          <wp:inline distT="0" distB="0" distL="0" distR="0" wp14:anchorId="68DC7287" wp14:editId="6C22955C">
            <wp:extent cx="5264844" cy="3196424"/>
            <wp:effectExtent l="1905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_Rodoviário.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0233" cy="3199696"/>
                    </a:xfrm>
                    <a:prstGeom prst="rect">
                      <a:avLst/>
                    </a:prstGeom>
                  </pic:spPr>
                </pic:pic>
              </a:graphicData>
            </a:graphic>
          </wp:inline>
        </w:drawing>
      </w:r>
    </w:p>
    <w:p w:rsidR="00AD48E4" w:rsidRPr="00D8326D" w:rsidRDefault="00AD48E4" w:rsidP="003C6612">
      <w:pPr>
        <w:pStyle w:val="CM81"/>
        <w:ind w:left="284"/>
        <w:jc w:val="both"/>
        <w:rPr>
          <w:rFonts w:ascii="Times New Roman" w:eastAsiaTheme="minorHAnsi" w:hAnsi="Times New Roman" w:cs="Times New Roman"/>
          <w:sz w:val="20"/>
          <w:szCs w:val="20"/>
        </w:rPr>
      </w:pPr>
      <w:r w:rsidRPr="00D8326D">
        <w:rPr>
          <w:rFonts w:ascii="Times New Roman" w:hAnsi="Times New Roman" w:cs="Times New Roman"/>
          <w:sz w:val="20"/>
          <w:szCs w:val="20"/>
        </w:rPr>
        <w:t>Fonte: Fundação Educacional de Caratinga – FUNEC, 2013</w:t>
      </w:r>
    </w:p>
    <w:p w:rsidR="00AD48E4" w:rsidRPr="004E03A9" w:rsidRDefault="00AD48E4" w:rsidP="00AD48E4">
      <w:pPr>
        <w:ind w:firstLine="708"/>
        <w:rPr>
          <w:rFonts w:cs="Times New Roman"/>
          <w:szCs w:val="24"/>
        </w:rPr>
      </w:pPr>
      <w:r w:rsidRPr="004E03A9">
        <w:rPr>
          <w:rFonts w:cs="Times New Roman"/>
          <w:szCs w:val="24"/>
        </w:rPr>
        <w:lastRenderedPageBreak/>
        <w:t>Em Aimorés, podem-se encontrar as se</w:t>
      </w:r>
      <w:r>
        <w:rPr>
          <w:rFonts w:cs="Times New Roman"/>
          <w:szCs w:val="24"/>
        </w:rPr>
        <w:t>guintes linhas férreas (F</w:t>
      </w:r>
      <w:r w:rsidR="005D5C15">
        <w:rPr>
          <w:rFonts w:cs="Times New Roman"/>
          <w:szCs w:val="24"/>
        </w:rPr>
        <w:t>igura</w:t>
      </w:r>
      <w:r>
        <w:rPr>
          <w:rFonts w:cs="Times New Roman"/>
          <w:szCs w:val="24"/>
        </w:rPr>
        <w:t xml:space="preserve"> 3</w:t>
      </w:r>
      <w:r w:rsidRPr="004E03A9">
        <w:rPr>
          <w:rFonts w:cs="Times New Roman"/>
          <w:szCs w:val="24"/>
        </w:rPr>
        <w:t>): Estrada de Ferro Vitória a Minas – EFVM.</w:t>
      </w:r>
    </w:p>
    <w:p w:rsidR="00AD48E4" w:rsidRPr="00F26E8F" w:rsidRDefault="001E178D" w:rsidP="001E178D">
      <w:pPr>
        <w:pStyle w:val="Legenda"/>
        <w:rPr>
          <w:b w:val="0"/>
        </w:rPr>
      </w:pPr>
      <w:bookmarkStart w:id="26" w:name="_Toc372740086"/>
      <w:r>
        <w:t xml:space="preserve">Figura </w:t>
      </w:r>
      <w:fldSimple w:instr=" SEQ Figura \* ARABIC ">
        <w:r w:rsidR="004F77E2">
          <w:rPr>
            <w:noProof/>
          </w:rPr>
          <w:t>3</w:t>
        </w:r>
      </w:fldSimple>
      <w:r>
        <w:t xml:space="preserve"> - </w:t>
      </w:r>
      <w:r w:rsidRPr="0011166C">
        <w:rPr>
          <w:noProof/>
        </w:rPr>
        <w:t>Ferrovias do município de Aimorés.</w:t>
      </w:r>
      <w:bookmarkEnd w:id="26"/>
    </w:p>
    <w:p w:rsidR="00AD48E4" w:rsidRDefault="00AD48E4" w:rsidP="00AD48E4">
      <w:pPr>
        <w:pStyle w:val="CM82"/>
        <w:spacing w:line="380" w:lineRule="atLeast"/>
        <w:jc w:val="both"/>
        <w:rPr>
          <w:rFonts w:ascii="Times New Roman" w:hAnsi="Times New Roman" w:cs="Times New Roman"/>
        </w:rPr>
      </w:pPr>
      <w:r>
        <w:rPr>
          <w:rFonts w:ascii="Times New Roman" w:hAnsi="Times New Roman" w:cs="Times New Roman"/>
          <w:noProof/>
        </w:rPr>
        <w:drawing>
          <wp:inline distT="0" distB="0" distL="0" distR="0" wp14:anchorId="05C8CEFB" wp14:editId="03B91DAC">
            <wp:extent cx="5140408" cy="3119667"/>
            <wp:effectExtent l="19050" t="0" r="3092"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_Ferroviário.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45414" cy="3122705"/>
                    </a:xfrm>
                    <a:prstGeom prst="rect">
                      <a:avLst/>
                    </a:prstGeom>
                  </pic:spPr>
                </pic:pic>
              </a:graphicData>
            </a:graphic>
          </wp:inline>
        </w:drawing>
      </w:r>
    </w:p>
    <w:p w:rsidR="00AD48E4" w:rsidRPr="00D8326D" w:rsidRDefault="00AD48E4" w:rsidP="00AD48E4">
      <w:pPr>
        <w:pStyle w:val="CM81"/>
        <w:spacing w:line="380" w:lineRule="atLeast"/>
        <w:jc w:val="both"/>
        <w:rPr>
          <w:rFonts w:ascii="Times New Roman" w:eastAsiaTheme="minorHAnsi" w:hAnsi="Times New Roman" w:cs="Times New Roman"/>
          <w:sz w:val="20"/>
          <w:szCs w:val="20"/>
        </w:rPr>
      </w:pPr>
      <w:r w:rsidRPr="00D8326D">
        <w:rPr>
          <w:rFonts w:ascii="Times New Roman" w:hAnsi="Times New Roman" w:cs="Times New Roman"/>
          <w:sz w:val="20"/>
          <w:szCs w:val="20"/>
        </w:rPr>
        <w:t>Fonte: Fundação Educacional de Caratinga – FUNEC, 2013</w:t>
      </w:r>
    </w:p>
    <w:p w:rsidR="00AD48E4" w:rsidRPr="001D0A62" w:rsidRDefault="00AD48E4" w:rsidP="005D5C15">
      <w:pPr>
        <w:pStyle w:val="CM82"/>
        <w:spacing w:before="120" w:line="360" w:lineRule="auto"/>
        <w:ind w:firstLine="709"/>
        <w:jc w:val="both"/>
        <w:rPr>
          <w:rFonts w:ascii="Times New Roman" w:hAnsi="Times New Roman" w:cs="Times New Roman"/>
          <w:spacing w:val="-2"/>
        </w:rPr>
      </w:pPr>
      <w:r w:rsidRPr="001D0A62">
        <w:rPr>
          <w:rFonts w:ascii="Times New Roman" w:hAnsi="Times New Roman" w:cs="Times New Roman"/>
          <w:spacing w:val="-2"/>
        </w:rPr>
        <w:t xml:space="preserve">A Estrada de Ferro Vitória a Minas é uma ferrovia brasileira que liga a cidade de Belo Horizonte, capital do estado de Minas Gerais (passando pela região de mineração de Itabira) à Cariacica, na Região Metropolitana de Vitória, e aos portos de Tubarão, Praia Mole e Barra do Riacho, no Espírito Santo. É uma ferrovia de bitola métrica (1.000 mm). Com 905 quilômetros de extensão, é administrada pela </w:t>
      </w:r>
      <w:r>
        <w:rPr>
          <w:rFonts w:ascii="Times New Roman" w:hAnsi="Times New Roman" w:cs="Times New Roman"/>
          <w:spacing w:val="-2"/>
        </w:rPr>
        <w:t xml:space="preserve">Companhia </w:t>
      </w:r>
      <w:r w:rsidRPr="001D0A62">
        <w:rPr>
          <w:rFonts w:ascii="Times New Roman" w:hAnsi="Times New Roman" w:cs="Times New Roman"/>
          <w:spacing w:val="-2"/>
        </w:rPr>
        <w:t>Vale S.A., antiga Companhia Vale do Rio Doce (CVRD). Transporta 37</w:t>
      </w:r>
      <w:r>
        <w:rPr>
          <w:rFonts w:ascii="Times New Roman" w:hAnsi="Times New Roman" w:cs="Times New Roman"/>
          <w:spacing w:val="-2"/>
        </w:rPr>
        <w:t xml:space="preserve"> </w:t>
      </w:r>
      <w:r w:rsidRPr="001D0A62">
        <w:rPr>
          <w:rFonts w:ascii="Times New Roman" w:hAnsi="Times New Roman" w:cs="Times New Roman"/>
          <w:spacing w:val="-2"/>
        </w:rPr>
        <w:t xml:space="preserve">% de toda a carga ferroviária nacional. Além de ser utilizada para escoar o minério de ferro, também é utilizada para o transporte de aço, carvão, calcário, granito, contêineres, ferro-gusa, produtos agrícolas, madeira, celulose, combustíveis e cargas diversas, de Minas Gerais para o exterior. </w:t>
      </w:r>
    </w:p>
    <w:p w:rsidR="00AD48E4" w:rsidRPr="004E03A9" w:rsidRDefault="00AD48E4" w:rsidP="00AD48E4">
      <w:pPr>
        <w:pStyle w:val="CM73"/>
        <w:spacing w:line="360" w:lineRule="auto"/>
        <w:ind w:firstLine="708"/>
        <w:jc w:val="both"/>
        <w:rPr>
          <w:rFonts w:ascii="Times New Roman" w:hAnsi="Times New Roman" w:cs="Times New Roman"/>
        </w:rPr>
      </w:pPr>
      <w:r w:rsidRPr="004E03A9">
        <w:rPr>
          <w:rFonts w:ascii="Times New Roman" w:hAnsi="Times New Roman" w:cs="Times New Roman"/>
        </w:rPr>
        <w:t xml:space="preserve">A ferrovia tem cerca de 300 clientes e é uma das poucas ferrovias brasileiras a manter o transporte contínuo de passageiros, com cerca de 2.800 usuários diariamente, o que lhe confere certa importância turística. A EFVM, junto com a Estrada de Ferro Carajás (Pará-Maranhão) e, agora, com a Noroeste do Brasil, são as últimas ferrovias a realizarem este serviço em longa distância. </w:t>
      </w:r>
    </w:p>
    <w:p w:rsidR="00AD48E4" w:rsidRPr="00166C63" w:rsidRDefault="003C6612" w:rsidP="00971B37">
      <w:pPr>
        <w:pStyle w:val="Titulo"/>
      </w:pPr>
      <w:bookmarkStart w:id="27" w:name="_Toc372789478"/>
      <w:r w:rsidRPr="00166C63">
        <w:lastRenderedPageBreak/>
        <w:t xml:space="preserve">6.2 </w:t>
      </w:r>
      <w:r w:rsidR="00AD48E4" w:rsidRPr="00166C63">
        <w:t>População</w:t>
      </w:r>
      <w:bookmarkEnd w:id="27"/>
    </w:p>
    <w:p w:rsidR="00AD48E4" w:rsidRPr="004E03A9" w:rsidRDefault="00AD48E4" w:rsidP="00924AB9">
      <w:pPr>
        <w:pStyle w:val="CM73"/>
        <w:spacing w:line="360" w:lineRule="auto"/>
        <w:ind w:firstLine="709"/>
        <w:jc w:val="both"/>
        <w:rPr>
          <w:rFonts w:ascii="Times New Roman" w:hAnsi="Times New Roman" w:cs="Times New Roman"/>
        </w:rPr>
      </w:pPr>
      <w:r>
        <w:rPr>
          <w:rFonts w:ascii="Times New Roman" w:hAnsi="Times New Roman" w:cs="Times New Roman"/>
        </w:rPr>
        <w:t xml:space="preserve">O município de </w:t>
      </w:r>
      <w:r w:rsidRPr="004E03A9">
        <w:rPr>
          <w:rFonts w:ascii="Times New Roman" w:hAnsi="Times New Roman" w:cs="Times New Roman"/>
        </w:rPr>
        <w:t xml:space="preserve">Aimorés possui, de acordo com o censo demográfico do IBGE (2010), 24.959 habitantes, sendo </w:t>
      </w:r>
      <w:r>
        <w:rPr>
          <w:rFonts w:ascii="Times New Roman" w:hAnsi="Times New Roman" w:cs="Times New Roman"/>
        </w:rPr>
        <w:t>5.259</w:t>
      </w:r>
      <w:r w:rsidRPr="004E03A9">
        <w:rPr>
          <w:rFonts w:ascii="Times New Roman" w:hAnsi="Times New Roman" w:cs="Times New Roman"/>
        </w:rPr>
        <w:t xml:space="preserve"> na área rural e </w:t>
      </w:r>
      <w:r>
        <w:rPr>
          <w:rFonts w:ascii="Times New Roman" w:hAnsi="Times New Roman" w:cs="Times New Roman"/>
        </w:rPr>
        <w:t>19.700</w:t>
      </w:r>
      <w:r w:rsidRPr="004E03A9">
        <w:rPr>
          <w:rFonts w:ascii="Times New Roman" w:hAnsi="Times New Roman" w:cs="Times New Roman"/>
        </w:rPr>
        <w:t xml:space="preserve"> na área urbana segundo IBGE (2010). No ano de 2000 a </w:t>
      </w:r>
      <w:r>
        <w:rPr>
          <w:rFonts w:ascii="Times New Roman" w:hAnsi="Times New Roman" w:cs="Times New Roman"/>
        </w:rPr>
        <w:t xml:space="preserve">proporção da </w:t>
      </w:r>
      <w:r w:rsidRPr="004E03A9">
        <w:rPr>
          <w:rFonts w:ascii="Times New Roman" w:hAnsi="Times New Roman" w:cs="Times New Roman"/>
        </w:rPr>
        <w:t>população urbana</w:t>
      </w:r>
      <w:r>
        <w:rPr>
          <w:rFonts w:ascii="Times New Roman" w:hAnsi="Times New Roman" w:cs="Times New Roman"/>
        </w:rPr>
        <w:t xml:space="preserve"> em relação ao total</w:t>
      </w:r>
      <w:r w:rsidRPr="004E03A9">
        <w:rPr>
          <w:rFonts w:ascii="Times New Roman" w:hAnsi="Times New Roman" w:cs="Times New Roman"/>
        </w:rPr>
        <w:t xml:space="preserve"> passou de 84,95</w:t>
      </w:r>
      <w:r>
        <w:rPr>
          <w:rFonts w:ascii="Times New Roman" w:hAnsi="Times New Roman" w:cs="Times New Roman"/>
        </w:rPr>
        <w:t xml:space="preserve"> </w:t>
      </w:r>
      <w:r w:rsidRPr="004E03A9">
        <w:rPr>
          <w:rFonts w:ascii="Times New Roman" w:hAnsi="Times New Roman" w:cs="Times New Roman"/>
        </w:rPr>
        <w:t>% para 86,97</w:t>
      </w:r>
      <w:r>
        <w:rPr>
          <w:rFonts w:ascii="Times New Roman" w:hAnsi="Times New Roman" w:cs="Times New Roman"/>
        </w:rPr>
        <w:t xml:space="preserve"> </w:t>
      </w:r>
      <w:r w:rsidRPr="004E03A9">
        <w:rPr>
          <w:rFonts w:ascii="Times New Roman" w:hAnsi="Times New Roman" w:cs="Times New Roman"/>
        </w:rPr>
        <w:t xml:space="preserve">% em 2010. </w:t>
      </w:r>
    </w:p>
    <w:p w:rsidR="00AD48E4" w:rsidRDefault="00AD48E4" w:rsidP="00924AB9">
      <w:pPr>
        <w:pStyle w:val="CM73"/>
        <w:spacing w:line="360" w:lineRule="auto"/>
        <w:ind w:firstLine="709"/>
        <w:jc w:val="both"/>
        <w:rPr>
          <w:rFonts w:ascii="Times New Roman" w:hAnsi="Times New Roman" w:cs="Times New Roman"/>
        </w:rPr>
      </w:pPr>
      <w:r w:rsidRPr="00435C14">
        <w:rPr>
          <w:rFonts w:ascii="Times New Roman" w:hAnsi="Times New Roman" w:cs="Times New Roman"/>
        </w:rPr>
        <w:t>A densidade demográfica não variou muito ao longo dos anos, considerando que</w:t>
      </w:r>
      <w:r w:rsidRPr="004E03A9">
        <w:rPr>
          <w:rFonts w:ascii="Times New Roman" w:hAnsi="Times New Roman" w:cs="Times New Roman"/>
        </w:rPr>
        <w:t xml:space="preserve"> em 1991 era de 19,60 hab./km², em 2000 passou para 18,60 hab./km² e em 2010 che</w:t>
      </w:r>
      <w:r>
        <w:rPr>
          <w:rFonts w:ascii="Times New Roman" w:hAnsi="Times New Roman" w:cs="Times New Roman"/>
        </w:rPr>
        <w:t xml:space="preserve">gou a 18,50 hab./km². </w:t>
      </w:r>
      <w:r w:rsidR="006A43ED">
        <w:rPr>
          <w:rFonts w:ascii="Times New Roman" w:hAnsi="Times New Roman" w:cs="Times New Roman"/>
        </w:rPr>
        <w:t>O</w:t>
      </w:r>
      <w:r>
        <w:rPr>
          <w:rFonts w:ascii="Times New Roman" w:hAnsi="Times New Roman" w:cs="Times New Roman"/>
        </w:rPr>
        <w:t xml:space="preserve"> </w:t>
      </w:r>
      <w:r w:rsidR="006A43ED">
        <w:rPr>
          <w:rFonts w:ascii="Times New Roman" w:hAnsi="Times New Roman" w:cs="Times New Roman"/>
        </w:rPr>
        <w:t>Quadro</w:t>
      </w:r>
      <w:r>
        <w:rPr>
          <w:rFonts w:ascii="Times New Roman" w:hAnsi="Times New Roman" w:cs="Times New Roman"/>
        </w:rPr>
        <w:t xml:space="preserve"> </w:t>
      </w:r>
      <w:r w:rsidR="006A43ED">
        <w:rPr>
          <w:rFonts w:ascii="Times New Roman" w:hAnsi="Times New Roman" w:cs="Times New Roman"/>
        </w:rPr>
        <w:t>2</w:t>
      </w:r>
      <w:r w:rsidRPr="004E03A9">
        <w:rPr>
          <w:rFonts w:ascii="Times New Roman" w:hAnsi="Times New Roman" w:cs="Times New Roman"/>
        </w:rPr>
        <w:t xml:space="preserve"> apresenta a evolução populacional nos anos de 1970, 1980, 1991, 2000 e 2010, dividida por</w:t>
      </w:r>
      <w:r>
        <w:rPr>
          <w:rFonts w:ascii="Times New Roman" w:hAnsi="Times New Roman" w:cs="Times New Roman"/>
        </w:rPr>
        <w:t xml:space="preserve"> população urbana, rural e taxa de crescimento anual. Durante os anos 1970 e 1991, houve a emancipação de municípios antes pertencentes a Aimorés, contribuindo com o decréscimo de população.</w:t>
      </w:r>
    </w:p>
    <w:p w:rsidR="00AD48E4" w:rsidRPr="008E4A69" w:rsidRDefault="00B02273" w:rsidP="00B02273">
      <w:pPr>
        <w:pStyle w:val="Legenda"/>
        <w:rPr>
          <w:b w:val="0"/>
        </w:rPr>
      </w:pPr>
      <w:bookmarkStart w:id="28" w:name="_Toc372740508"/>
      <w:r>
        <w:t xml:space="preserve">Quadro </w:t>
      </w:r>
      <w:fldSimple w:instr=" SEQ Quadro \* ARABIC ">
        <w:r w:rsidR="004F77E2">
          <w:rPr>
            <w:noProof/>
          </w:rPr>
          <w:t>2</w:t>
        </w:r>
      </w:fldSimple>
      <w:r>
        <w:t xml:space="preserve"> - </w:t>
      </w:r>
      <w:r w:rsidRPr="00C52E7E">
        <w:t>Evolução Populacional dos anos de 1970 a 2010</w:t>
      </w:r>
      <w:bookmarkEnd w:id="28"/>
    </w:p>
    <w:tbl>
      <w:tblPr>
        <w:tblW w:w="0" w:type="auto"/>
        <w:jc w:val="center"/>
        <w:tblLook w:val="04A0" w:firstRow="1" w:lastRow="0" w:firstColumn="1" w:lastColumn="0" w:noHBand="0" w:noVBand="1"/>
      </w:tblPr>
      <w:tblGrid>
        <w:gridCol w:w="1044"/>
        <w:gridCol w:w="1083"/>
        <w:gridCol w:w="1003"/>
        <w:gridCol w:w="993"/>
        <w:gridCol w:w="1417"/>
        <w:gridCol w:w="1543"/>
      </w:tblGrid>
      <w:tr w:rsidR="00AD48E4" w:rsidRPr="002A3756" w:rsidTr="002A3756">
        <w:trPr>
          <w:jc w:val="center"/>
        </w:trPr>
        <w:tc>
          <w:tcPr>
            <w:tcW w:w="1044"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AD48E4" w:rsidRPr="002A3756" w:rsidRDefault="00AD48E4" w:rsidP="00AD48E4">
            <w:pPr>
              <w:spacing w:before="120" w:after="120" w:line="240" w:lineRule="auto"/>
              <w:rPr>
                <w:rFonts w:cs="Times New Roman"/>
                <w:b/>
                <w:szCs w:val="24"/>
              </w:rPr>
            </w:pPr>
            <w:r w:rsidRPr="002A3756">
              <w:rPr>
                <w:rFonts w:cs="Times New Roman"/>
                <w:b/>
                <w:szCs w:val="24"/>
              </w:rPr>
              <w:t>Ano</w:t>
            </w:r>
          </w:p>
        </w:tc>
        <w:tc>
          <w:tcPr>
            <w:tcW w:w="3079"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D48E4" w:rsidRPr="002A3756" w:rsidRDefault="00AD48E4" w:rsidP="003C6612">
            <w:pPr>
              <w:spacing w:before="120" w:after="120" w:line="240" w:lineRule="auto"/>
              <w:jc w:val="center"/>
              <w:rPr>
                <w:rFonts w:cs="Times New Roman"/>
                <w:b/>
                <w:szCs w:val="24"/>
              </w:rPr>
            </w:pPr>
            <w:r w:rsidRPr="002A3756">
              <w:rPr>
                <w:rFonts w:cs="Times New Roman"/>
                <w:b/>
                <w:szCs w:val="24"/>
              </w:rPr>
              <w:t>População (n° de hab</w:t>
            </w:r>
            <w:r w:rsidR="003C6612" w:rsidRPr="002A3756">
              <w:rPr>
                <w:rFonts w:cs="Times New Roman"/>
                <w:b/>
                <w:szCs w:val="24"/>
              </w:rPr>
              <w:t>.</w:t>
            </w:r>
            <w:r w:rsidRPr="002A3756">
              <w:rPr>
                <w:rFonts w:cs="Times New Roman"/>
                <w:b/>
                <w:szCs w:val="24"/>
              </w:rPr>
              <w:t>)</w:t>
            </w:r>
          </w:p>
        </w:tc>
        <w:tc>
          <w:tcPr>
            <w:tcW w:w="296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D48E4" w:rsidRPr="002A3756" w:rsidRDefault="00AD48E4" w:rsidP="003C6612">
            <w:pPr>
              <w:spacing w:before="120" w:after="120" w:line="240" w:lineRule="auto"/>
              <w:jc w:val="center"/>
              <w:rPr>
                <w:rFonts w:cs="Times New Roman"/>
                <w:b/>
                <w:szCs w:val="24"/>
              </w:rPr>
            </w:pPr>
            <w:r w:rsidRPr="002A3756">
              <w:rPr>
                <w:rFonts w:cs="Times New Roman"/>
                <w:b/>
                <w:szCs w:val="24"/>
              </w:rPr>
              <w:t>Taxa de crescimento (%)</w:t>
            </w:r>
          </w:p>
        </w:tc>
      </w:tr>
      <w:tr w:rsidR="00AD48E4" w:rsidRPr="002A3756" w:rsidTr="002A3756">
        <w:trPr>
          <w:trHeight w:val="363"/>
          <w:jc w:val="center"/>
        </w:trPr>
        <w:tc>
          <w:tcPr>
            <w:tcW w:w="1044" w:type="dxa"/>
            <w:vMerge/>
            <w:tcBorders>
              <w:left w:val="single" w:sz="4" w:space="0" w:color="auto"/>
              <w:bottom w:val="single" w:sz="4" w:space="0" w:color="auto"/>
              <w:right w:val="single" w:sz="4" w:space="0" w:color="auto"/>
            </w:tcBorders>
            <w:shd w:val="clear" w:color="auto" w:fill="D9D9D9" w:themeFill="background1" w:themeFillShade="D9"/>
            <w:vAlign w:val="center"/>
          </w:tcPr>
          <w:p w:rsidR="00AD48E4" w:rsidRPr="002A3756" w:rsidRDefault="00AD48E4" w:rsidP="00AD48E4">
            <w:pPr>
              <w:spacing w:before="120" w:after="120" w:line="240" w:lineRule="auto"/>
              <w:rPr>
                <w:rFonts w:cs="Times New Roman"/>
                <w:szCs w:val="24"/>
              </w:rPr>
            </w:pPr>
          </w:p>
        </w:tc>
        <w:tc>
          <w:tcPr>
            <w:tcW w:w="10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D48E4" w:rsidRPr="002A3756" w:rsidRDefault="00AD48E4" w:rsidP="003C6612">
            <w:pPr>
              <w:spacing w:before="120" w:after="120" w:line="240" w:lineRule="auto"/>
              <w:jc w:val="center"/>
              <w:rPr>
                <w:rFonts w:cs="Times New Roman"/>
                <w:b/>
                <w:szCs w:val="24"/>
              </w:rPr>
            </w:pPr>
            <w:r w:rsidRPr="002A3756">
              <w:rPr>
                <w:rFonts w:cs="Times New Roman"/>
                <w:b/>
                <w:szCs w:val="24"/>
              </w:rPr>
              <w:t>Total</w:t>
            </w:r>
          </w:p>
        </w:tc>
        <w:tc>
          <w:tcPr>
            <w:tcW w:w="10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D48E4" w:rsidRPr="002A3756" w:rsidRDefault="00AD48E4" w:rsidP="003C6612">
            <w:pPr>
              <w:spacing w:before="120" w:after="120" w:line="240" w:lineRule="auto"/>
              <w:jc w:val="center"/>
              <w:rPr>
                <w:rFonts w:cs="Times New Roman"/>
                <w:b/>
                <w:szCs w:val="24"/>
              </w:rPr>
            </w:pPr>
            <w:r w:rsidRPr="002A3756">
              <w:rPr>
                <w:rFonts w:cs="Times New Roman"/>
                <w:b/>
                <w:szCs w:val="24"/>
              </w:rPr>
              <w:t>Urbana</w:t>
            </w:r>
          </w:p>
        </w:tc>
        <w:tc>
          <w:tcPr>
            <w:tcW w:w="993" w:type="dxa"/>
            <w:tcBorders>
              <w:left w:val="single" w:sz="4" w:space="0" w:color="auto"/>
              <w:bottom w:val="single" w:sz="4" w:space="0" w:color="auto"/>
              <w:right w:val="single" w:sz="4" w:space="0" w:color="auto"/>
            </w:tcBorders>
            <w:shd w:val="clear" w:color="auto" w:fill="D9D9D9" w:themeFill="background1" w:themeFillShade="D9"/>
            <w:vAlign w:val="center"/>
          </w:tcPr>
          <w:p w:rsidR="00AD48E4" w:rsidRPr="002A3756" w:rsidRDefault="00AD48E4" w:rsidP="003C6612">
            <w:pPr>
              <w:spacing w:before="120" w:after="120" w:line="240" w:lineRule="auto"/>
              <w:jc w:val="center"/>
              <w:rPr>
                <w:rFonts w:cs="Times New Roman"/>
                <w:b/>
                <w:szCs w:val="24"/>
              </w:rPr>
            </w:pPr>
            <w:r w:rsidRPr="002A3756">
              <w:rPr>
                <w:rFonts w:cs="Times New Roman"/>
                <w:b/>
                <w:szCs w:val="24"/>
              </w:rPr>
              <w:t>Rural</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D48E4" w:rsidRPr="002A3756" w:rsidRDefault="00AD48E4" w:rsidP="003C6612">
            <w:pPr>
              <w:spacing w:before="120" w:after="120" w:line="240" w:lineRule="auto"/>
              <w:jc w:val="center"/>
              <w:rPr>
                <w:rFonts w:cs="Times New Roman"/>
                <w:b/>
                <w:szCs w:val="24"/>
              </w:rPr>
            </w:pPr>
            <w:r w:rsidRPr="002A3756">
              <w:rPr>
                <w:rFonts w:cs="Times New Roman"/>
                <w:b/>
                <w:szCs w:val="24"/>
              </w:rPr>
              <w:t>Urbana</w:t>
            </w:r>
          </w:p>
        </w:tc>
        <w:tc>
          <w:tcPr>
            <w:tcW w:w="15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D48E4" w:rsidRPr="002A3756" w:rsidRDefault="00AD48E4" w:rsidP="003C6612">
            <w:pPr>
              <w:spacing w:before="120" w:after="120" w:line="240" w:lineRule="auto"/>
              <w:jc w:val="center"/>
              <w:rPr>
                <w:rFonts w:cs="Times New Roman"/>
                <w:b/>
                <w:szCs w:val="24"/>
              </w:rPr>
            </w:pPr>
            <w:r w:rsidRPr="002A3756">
              <w:rPr>
                <w:rFonts w:cs="Times New Roman"/>
                <w:b/>
                <w:szCs w:val="24"/>
              </w:rPr>
              <w:t>Rural</w:t>
            </w:r>
          </w:p>
        </w:tc>
      </w:tr>
      <w:tr w:rsidR="00AD48E4" w:rsidRPr="002A3756" w:rsidTr="002A3756">
        <w:trPr>
          <w:trHeight w:val="425"/>
          <w:jc w:val="center"/>
        </w:trPr>
        <w:tc>
          <w:tcPr>
            <w:tcW w:w="1044"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rPr>
                <w:rFonts w:cs="Times New Roman"/>
                <w:b/>
                <w:szCs w:val="24"/>
              </w:rPr>
            </w:pPr>
            <w:r w:rsidRPr="002A3756">
              <w:rPr>
                <w:rFonts w:cs="Times New Roman"/>
                <w:b/>
                <w:szCs w:val="24"/>
              </w:rPr>
              <w:t>1970</w:t>
            </w:r>
          </w:p>
        </w:tc>
        <w:tc>
          <w:tcPr>
            <w:tcW w:w="108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38.120</w:t>
            </w:r>
          </w:p>
        </w:tc>
        <w:tc>
          <w:tcPr>
            <w:tcW w:w="100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15.398</w:t>
            </w:r>
          </w:p>
        </w:tc>
        <w:tc>
          <w:tcPr>
            <w:tcW w:w="99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16.722</w:t>
            </w:r>
          </w:p>
        </w:tc>
        <w:tc>
          <w:tcPr>
            <w:tcW w:w="1417"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w:t>
            </w:r>
          </w:p>
        </w:tc>
        <w:tc>
          <w:tcPr>
            <w:tcW w:w="154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w:t>
            </w:r>
          </w:p>
        </w:tc>
      </w:tr>
      <w:tr w:rsidR="00AD48E4" w:rsidRPr="002A3756" w:rsidTr="002A3756">
        <w:trPr>
          <w:trHeight w:val="463"/>
          <w:jc w:val="center"/>
        </w:trPr>
        <w:tc>
          <w:tcPr>
            <w:tcW w:w="1044"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rPr>
                <w:rFonts w:cs="Times New Roman"/>
                <w:b/>
                <w:szCs w:val="24"/>
              </w:rPr>
            </w:pPr>
            <w:r w:rsidRPr="002A3756">
              <w:rPr>
                <w:rFonts w:cs="Times New Roman"/>
                <w:b/>
                <w:szCs w:val="24"/>
              </w:rPr>
              <w:t>1980</w:t>
            </w:r>
          </w:p>
        </w:tc>
        <w:tc>
          <w:tcPr>
            <w:tcW w:w="108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28.880</w:t>
            </w:r>
          </w:p>
        </w:tc>
        <w:tc>
          <w:tcPr>
            <w:tcW w:w="100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18.354</w:t>
            </w:r>
          </w:p>
        </w:tc>
        <w:tc>
          <w:tcPr>
            <w:tcW w:w="99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10.562</w:t>
            </w:r>
          </w:p>
        </w:tc>
        <w:tc>
          <w:tcPr>
            <w:tcW w:w="1417"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19,19</w:t>
            </w:r>
          </w:p>
        </w:tc>
        <w:tc>
          <w:tcPr>
            <w:tcW w:w="154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- 36,83</w:t>
            </w:r>
          </w:p>
        </w:tc>
      </w:tr>
      <w:tr w:rsidR="00AD48E4" w:rsidRPr="002A3756" w:rsidTr="002A3756">
        <w:trPr>
          <w:trHeight w:val="375"/>
          <w:jc w:val="center"/>
        </w:trPr>
        <w:tc>
          <w:tcPr>
            <w:tcW w:w="1044"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rPr>
                <w:rFonts w:cs="Times New Roman"/>
                <w:b/>
                <w:szCs w:val="24"/>
              </w:rPr>
            </w:pPr>
            <w:r w:rsidRPr="002A3756">
              <w:rPr>
                <w:rFonts w:cs="Times New Roman"/>
                <w:b/>
                <w:szCs w:val="24"/>
              </w:rPr>
              <w:t>1991</w:t>
            </w:r>
          </w:p>
        </w:tc>
        <w:tc>
          <w:tcPr>
            <w:tcW w:w="108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26.440</w:t>
            </w:r>
          </w:p>
        </w:tc>
        <w:tc>
          <w:tcPr>
            <w:tcW w:w="100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18.082</w:t>
            </w:r>
          </w:p>
        </w:tc>
        <w:tc>
          <w:tcPr>
            <w:tcW w:w="99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8.358</w:t>
            </w:r>
          </w:p>
        </w:tc>
        <w:tc>
          <w:tcPr>
            <w:tcW w:w="1417"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-1,48</w:t>
            </w:r>
          </w:p>
        </w:tc>
        <w:tc>
          <w:tcPr>
            <w:tcW w:w="154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-20,86</w:t>
            </w:r>
          </w:p>
        </w:tc>
      </w:tr>
      <w:tr w:rsidR="00AD48E4" w:rsidRPr="002A3756" w:rsidTr="002A3756">
        <w:trPr>
          <w:trHeight w:val="488"/>
          <w:jc w:val="center"/>
        </w:trPr>
        <w:tc>
          <w:tcPr>
            <w:tcW w:w="1044"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rPr>
                <w:rFonts w:cs="Times New Roman"/>
                <w:b/>
                <w:szCs w:val="24"/>
              </w:rPr>
            </w:pPr>
            <w:r w:rsidRPr="002A3756">
              <w:rPr>
                <w:rFonts w:cs="Times New Roman"/>
                <w:b/>
                <w:szCs w:val="24"/>
              </w:rPr>
              <w:t>1996</w:t>
            </w:r>
          </w:p>
        </w:tc>
        <w:tc>
          <w:tcPr>
            <w:tcW w:w="108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24.858</w:t>
            </w:r>
          </w:p>
        </w:tc>
        <w:tc>
          <w:tcPr>
            <w:tcW w:w="100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17.982</w:t>
            </w:r>
          </w:p>
        </w:tc>
        <w:tc>
          <w:tcPr>
            <w:tcW w:w="99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6.876</w:t>
            </w:r>
          </w:p>
        </w:tc>
        <w:tc>
          <w:tcPr>
            <w:tcW w:w="1417"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-0,55</w:t>
            </w:r>
          </w:p>
        </w:tc>
        <w:tc>
          <w:tcPr>
            <w:tcW w:w="154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-17,73</w:t>
            </w:r>
          </w:p>
        </w:tc>
      </w:tr>
      <w:tr w:rsidR="00AD48E4" w:rsidRPr="002A3756" w:rsidTr="002A3756">
        <w:trPr>
          <w:trHeight w:val="363"/>
          <w:jc w:val="center"/>
        </w:trPr>
        <w:tc>
          <w:tcPr>
            <w:tcW w:w="1044"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rPr>
                <w:rFonts w:cs="Times New Roman"/>
                <w:b/>
                <w:szCs w:val="24"/>
              </w:rPr>
            </w:pPr>
            <w:r w:rsidRPr="002A3756">
              <w:rPr>
                <w:rFonts w:cs="Times New Roman"/>
                <w:b/>
                <w:szCs w:val="24"/>
              </w:rPr>
              <w:t>2000</w:t>
            </w:r>
          </w:p>
        </w:tc>
        <w:tc>
          <w:tcPr>
            <w:tcW w:w="108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25.105</w:t>
            </w:r>
          </w:p>
        </w:tc>
        <w:tc>
          <w:tcPr>
            <w:tcW w:w="100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19.705</w:t>
            </w:r>
          </w:p>
        </w:tc>
        <w:tc>
          <w:tcPr>
            <w:tcW w:w="99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5.264</w:t>
            </w:r>
          </w:p>
        </w:tc>
        <w:tc>
          <w:tcPr>
            <w:tcW w:w="1417"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9,58</w:t>
            </w:r>
          </w:p>
        </w:tc>
        <w:tc>
          <w:tcPr>
            <w:tcW w:w="154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-23,44</w:t>
            </w:r>
          </w:p>
        </w:tc>
      </w:tr>
      <w:tr w:rsidR="00AD48E4" w:rsidRPr="002A3756" w:rsidTr="002A3756">
        <w:trPr>
          <w:jc w:val="center"/>
        </w:trPr>
        <w:tc>
          <w:tcPr>
            <w:tcW w:w="1044" w:type="dxa"/>
            <w:tcBorders>
              <w:top w:val="single" w:sz="4" w:space="0" w:color="auto"/>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rPr>
                <w:rFonts w:cs="Times New Roman"/>
                <w:b/>
                <w:szCs w:val="24"/>
              </w:rPr>
            </w:pPr>
            <w:r w:rsidRPr="002A3756">
              <w:rPr>
                <w:rFonts w:cs="Times New Roman"/>
                <w:b/>
                <w:szCs w:val="24"/>
              </w:rPr>
              <w:t>2010</w:t>
            </w:r>
          </w:p>
        </w:tc>
        <w:tc>
          <w:tcPr>
            <w:tcW w:w="108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24.959</w:t>
            </w:r>
          </w:p>
        </w:tc>
        <w:tc>
          <w:tcPr>
            <w:tcW w:w="100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19.700</w:t>
            </w:r>
          </w:p>
        </w:tc>
        <w:tc>
          <w:tcPr>
            <w:tcW w:w="99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5.259</w:t>
            </w:r>
          </w:p>
        </w:tc>
        <w:tc>
          <w:tcPr>
            <w:tcW w:w="1417"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-0,02</w:t>
            </w:r>
          </w:p>
        </w:tc>
        <w:tc>
          <w:tcPr>
            <w:tcW w:w="1543" w:type="dxa"/>
            <w:tcBorders>
              <w:left w:val="single" w:sz="4" w:space="0" w:color="auto"/>
              <w:bottom w:val="single" w:sz="4" w:space="0" w:color="auto"/>
              <w:right w:val="single" w:sz="4" w:space="0" w:color="auto"/>
            </w:tcBorders>
            <w:vAlign w:val="center"/>
          </w:tcPr>
          <w:p w:rsidR="00AD48E4" w:rsidRPr="002A3756" w:rsidRDefault="00AD48E4" w:rsidP="00AD48E4">
            <w:pPr>
              <w:spacing w:before="120" w:after="120" w:line="240" w:lineRule="auto"/>
              <w:jc w:val="center"/>
              <w:rPr>
                <w:rFonts w:cs="Times New Roman"/>
                <w:szCs w:val="24"/>
              </w:rPr>
            </w:pPr>
            <w:r w:rsidRPr="002A3756">
              <w:rPr>
                <w:rFonts w:cs="Times New Roman"/>
                <w:szCs w:val="24"/>
              </w:rPr>
              <w:t>-0,10</w:t>
            </w:r>
          </w:p>
        </w:tc>
      </w:tr>
    </w:tbl>
    <w:p w:rsidR="00AD48E4" w:rsidRPr="00B47064" w:rsidRDefault="00AD48E4" w:rsidP="002A3756">
      <w:pPr>
        <w:pStyle w:val="Fonte"/>
        <w:ind w:left="851"/>
      </w:pPr>
      <w:r w:rsidRPr="00B47064">
        <w:t>Fonte: IBGE, 2013.</w:t>
      </w:r>
    </w:p>
    <w:p w:rsidR="003C6612" w:rsidRDefault="00AD48E4" w:rsidP="00A80257">
      <w:pPr>
        <w:pStyle w:val="CM87"/>
        <w:spacing w:before="120" w:line="360" w:lineRule="auto"/>
        <w:ind w:firstLine="709"/>
        <w:jc w:val="both"/>
        <w:rPr>
          <w:rFonts w:cs="Times New Roman"/>
          <w:b/>
          <w:bCs/>
        </w:rPr>
      </w:pPr>
      <w:r w:rsidRPr="004E03A9">
        <w:rPr>
          <w:rFonts w:ascii="Times New Roman" w:hAnsi="Times New Roman" w:cs="Times New Roman"/>
        </w:rPr>
        <w:t>No período 2000 a 2010, a população do município reduziu à taxa de</w:t>
      </w:r>
      <w:r>
        <w:rPr>
          <w:rFonts w:ascii="Times New Roman" w:hAnsi="Times New Roman" w:cs="Times New Roman"/>
        </w:rPr>
        <w:t xml:space="preserve"> crescimento de</w:t>
      </w:r>
      <w:r w:rsidRPr="004E03A9">
        <w:rPr>
          <w:rFonts w:ascii="Times New Roman" w:hAnsi="Times New Roman" w:cs="Times New Roman"/>
        </w:rPr>
        <w:t xml:space="preserve"> </w:t>
      </w:r>
      <w:r>
        <w:rPr>
          <w:rFonts w:ascii="Times New Roman" w:hAnsi="Times New Roman" w:cs="Times New Roman"/>
        </w:rPr>
        <w:t>-</w:t>
      </w:r>
      <w:r w:rsidRPr="004E03A9">
        <w:rPr>
          <w:rFonts w:ascii="Times New Roman" w:hAnsi="Times New Roman" w:cs="Times New Roman"/>
        </w:rPr>
        <w:t xml:space="preserve">0,58% ao ano, passando de 25.105 para 24.959 habitantes. Essa taxa de crescimento foi inferior àquela registrada no estado, que ficou em 0,93% ao ano, e inferior à cifra de 1,06% ao ano da Região Sudeste e também inferior </w:t>
      </w:r>
      <w:r w:rsidR="00885F7E" w:rsidRPr="004E03A9">
        <w:rPr>
          <w:rFonts w:ascii="Times New Roman" w:hAnsi="Times New Roman" w:cs="Times New Roman"/>
        </w:rPr>
        <w:t>à</w:t>
      </w:r>
      <w:r w:rsidRPr="004E03A9">
        <w:rPr>
          <w:rFonts w:ascii="Times New Roman" w:hAnsi="Times New Roman" w:cs="Times New Roman"/>
        </w:rPr>
        <w:t xml:space="preserve"> do país </w:t>
      </w:r>
      <w:r>
        <w:rPr>
          <w:rFonts w:ascii="Times New Roman" w:hAnsi="Times New Roman" w:cs="Times New Roman"/>
        </w:rPr>
        <w:t>que variou a uma</w:t>
      </w:r>
      <w:r w:rsidRPr="004E03A9">
        <w:rPr>
          <w:rFonts w:ascii="Times New Roman" w:hAnsi="Times New Roman" w:cs="Times New Roman"/>
        </w:rPr>
        <w:t xml:space="preserve"> taxa de 1,18% (IBGE, 2012), conforme </w:t>
      </w:r>
      <w:r w:rsidR="005D5C15">
        <w:rPr>
          <w:rFonts w:ascii="Times New Roman" w:hAnsi="Times New Roman" w:cs="Times New Roman"/>
        </w:rPr>
        <w:t xml:space="preserve">mostrado na </w:t>
      </w:r>
      <w:r w:rsidRPr="004E03A9">
        <w:rPr>
          <w:rFonts w:ascii="Times New Roman" w:hAnsi="Times New Roman" w:cs="Times New Roman"/>
        </w:rPr>
        <w:t xml:space="preserve">Figura </w:t>
      </w:r>
      <w:r>
        <w:rPr>
          <w:rFonts w:ascii="Times New Roman" w:hAnsi="Times New Roman" w:cs="Times New Roman"/>
        </w:rPr>
        <w:t>4</w:t>
      </w:r>
      <w:r w:rsidRPr="004E03A9">
        <w:rPr>
          <w:rFonts w:ascii="Times New Roman" w:hAnsi="Times New Roman" w:cs="Times New Roman"/>
        </w:rPr>
        <w:t xml:space="preserve">. </w:t>
      </w:r>
      <w:r w:rsidR="003C6612">
        <w:rPr>
          <w:b/>
        </w:rPr>
        <w:br w:type="page"/>
      </w:r>
    </w:p>
    <w:p w:rsidR="00AD48E4" w:rsidRPr="000A5BA9" w:rsidRDefault="001E178D" w:rsidP="001E178D">
      <w:pPr>
        <w:pStyle w:val="Legenda"/>
        <w:rPr>
          <w:b w:val="0"/>
          <w:bCs w:val="0"/>
        </w:rPr>
      </w:pPr>
      <w:bookmarkStart w:id="29" w:name="_Toc372740087"/>
      <w:r>
        <w:lastRenderedPageBreak/>
        <w:t xml:space="preserve">Figura </w:t>
      </w:r>
      <w:fldSimple w:instr=" SEQ Figura \* ARABIC ">
        <w:r w:rsidR="004F77E2">
          <w:rPr>
            <w:noProof/>
          </w:rPr>
          <w:t>4</w:t>
        </w:r>
      </w:fldSimple>
      <w:r>
        <w:t xml:space="preserve"> - </w:t>
      </w:r>
      <w:r w:rsidRPr="0019603A">
        <w:rPr>
          <w:noProof/>
        </w:rPr>
        <w:t>Crescimento Populacional nos anos de 1970 a 2010</w:t>
      </w:r>
      <w:bookmarkEnd w:id="29"/>
    </w:p>
    <w:p w:rsidR="00AD48E4" w:rsidRDefault="00AD48E4" w:rsidP="00AD48E4">
      <w:pPr>
        <w:pStyle w:val="Default"/>
        <w:jc w:val="center"/>
        <w:rPr>
          <w:rFonts w:ascii="Times New Roman" w:hAnsi="Times New Roman" w:cs="Times New Roman"/>
          <w:b/>
          <w:bCs/>
        </w:rPr>
      </w:pPr>
      <w:r w:rsidRPr="004E03A9">
        <w:rPr>
          <w:rFonts w:ascii="Times New Roman" w:hAnsi="Times New Roman" w:cs="Times New Roman"/>
          <w:b/>
          <w:bCs/>
          <w:noProof/>
        </w:rPr>
        <w:drawing>
          <wp:inline distT="0" distB="0" distL="0" distR="0" wp14:anchorId="6FB40295" wp14:editId="67D409AF">
            <wp:extent cx="5301007" cy="3363402"/>
            <wp:effectExtent l="19050" t="0" r="13943" b="8448"/>
            <wp:docPr id="4"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D48E4" w:rsidRPr="000A5BA9" w:rsidRDefault="00AD48E4" w:rsidP="003C6612">
      <w:pPr>
        <w:pStyle w:val="Fonte"/>
        <w:spacing w:after="60"/>
        <w:ind w:left="284"/>
      </w:pPr>
      <w:r w:rsidRPr="000A5BA9">
        <w:t>Fonte: Adaptado de IBGE, 2013.</w:t>
      </w:r>
    </w:p>
    <w:p w:rsidR="00AD48E4" w:rsidRPr="00B47064" w:rsidRDefault="00AD48E4" w:rsidP="00924AB9">
      <w:pPr>
        <w:pStyle w:val="CM87"/>
        <w:spacing w:before="120" w:line="360" w:lineRule="auto"/>
        <w:ind w:firstLine="709"/>
        <w:jc w:val="both"/>
        <w:rPr>
          <w:rFonts w:ascii="Times New Roman" w:hAnsi="Times New Roman" w:cs="Times New Roman"/>
        </w:rPr>
      </w:pPr>
      <w:r w:rsidRPr="00B47064">
        <w:rPr>
          <w:rFonts w:ascii="Times New Roman" w:hAnsi="Times New Roman" w:cs="Times New Roman"/>
        </w:rPr>
        <w:t xml:space="preserve">A fim de </w:t>
      </w:r>
      <w:r>
        <w:rPr>
          <w:rFonts w:ascii="Times New Roman" w:hAnsi="Times New Roman" w:cs="Times New Roman"/>
        </w:rPr>
        <w:t xml:space="preserve">realizar a estimativa do crescimento da população do município foi necessário </w:t>
      </w:r>
      <w:r w:rsidRPr="00B47064">
        <w:rPr>
          <w:rFonts w:ascii="Times New Roman" w:hAnsi="Times New Roman" w:cs="Times New Roman"/>
        </w:rPr>
        <w:t xml:space="preserve">definir qual dos </w:t>
      </w:r>
      <w:r>
        <w:rPr>
          <w:rFonts w:ascii="Times New Roman" w:hAnsi="Times New Roman" w:cs="Times New Roman"/>
        </w:rPr>
        <w:t>modelos</w:t>
      </w:r>
      <w:r w:rsidRPr="00B47064">
        <w:rPr>
          <w:rFonts w:ascii="Times New Roman" w:hAnsi="Times New Roman" w:cs="Times New Roman"/>
        </w:rPr>
        <w:t xml:space="preserve"> matemáticos se adéqua </w:t>
      </w:r>
      <w:r>
        <w:rPr>
          <w:rFonts w:ascii="Times New Roman" w:hAnsi="Times New Roman" w:cs="Times New Roman"/>
        </w:rPr>
        <w:t xml:space="preserve">com maior precisão </w:t>
      </w:r>
      <w:r w:rsidRPr="00B47064">
        <w:rPr>
          <w:rFonts w:ascii="Times New Roman" w:hAnsi="Times New Roman" w:cs="Times New Roman"/>
        </w:rPr>
        <w:t>à realidade do município, pôde-se obter linhas de tendência para os dados do IBGE, através do</w:t>
      </w:r>
      <w:r>
        <w:rPr>
          <w:rFonts w:ascii="Times New Roman" w:hAnsi="Times New Roman" w:cs="Times New Roman"/>
        </w:rPr>
        <w:t>s</w:t>
      </w:r>
      <w:r w:rsidRPr="00B47064">
        <w:rPr>
          <w:rFonts w:ascii="Times New Roman" w:hAnsi="Times New Roman" w:cs="Times New Roman"/>
        </w:rPr>
        <w:t xml:space="preserve"> </w:t>
      </w:r>
      <w:r>
        <w:rPr>
          <w:rFonts w:ascii="Times New Roman" w:hAnsi="Times New Roman" w:cs="Times New Roman"/>
        </w:rPr>
        <w:t>softwares E</w:t>
      </w:r>
      <w:r w:rsidRPr="00B47064">
        <w:rPr>
          <w:rFonts w:ascii="Times New Roman" w:hAnsi="Times New Roman" w:cs="Times New Roman"/>
        </w:rPr>
        <w:t>xcel</w:t>
      </w:r>
      <w:r>
        <w:rPr>
          <w:rFonts w:ascii="Times New Roman" w:hAnsi="Times New Roman" w:cs="Times New Roman"/>
        </w:rPr>
        <w:t xml:space="preserve"> e SAEG</w:t>
      </w:r>
      <w:r w:rsidRPr="00B47064">
        <w:rPr>
          <w:rFonts w:ascii="Times New Roman" w:hAnsi="Times New Roman" w:cs="Times New Roman"/>
        </w:rPr>
        <w:t>, utilizando-se quatro tipos diferentes de curvas</w:t>
      </w:r>
      <w:r>
        <w:rPr>
          <w:rFonts w:ascii="Times New Roman" w:hAnsi="Times New Roman" w:cs="Times New Roman"/>
        </w:rPr>
        <w:t xml:space="preserve"> de regressão, sendo elas</w:t>
      </w:r>
      <w:r w:rsidRPr="00B47064">
        <w:rPr>
          <w:rFonts w:ascii="Times New Roman" w:hAnsi="Times New Roman" w:cs="Times New Roman"/>
        </w:rPr>
        <w:t xml:space="preserve">: </w:t>
      </w:r>
      <w:r w:rsidRPr="004C1919">
        <w:rPr>
          <w:rFonts w:ascii="Times New Roman" w:hAnsi="Times New Roman" w:cs="Times New Roman"/>
        </w:rPr>
        <w:t>logarítmica, linear, polinomial e exponencial</w:t>
      </w:r>
      <w:r>
        <w:rPr>
          <w:rFonts w:ascii="Times New Roman" w:hAnsi="Times New Roman" w:cs="Times New Roman"/>
        </w:rPr>
        <w:t>, sendo a polinomial a que melhor se adaptou, com um R</w:t>
      </w:r>
      <w:r w:rsidRPr="004C1919">
        <w:rPr>
          <w:rFonts w:ascii="Times New Roman" w:hAnsi="Times New Roman" w:cs="Times New Roman"/>
          <w:vertAlign w:val="superscript"/>
        </w:rPr>
        <w:t>2</w:t>
      </w:r>
      <w:r>
        <w:rPr>
          <w:rFonts w:ascii="Times New Roman" w:hAnsi="Times New Roman" w:cs="Times New Roman"/>
        </w:rPr>
        <w:t xml:space="preserve"> de 0,961941 e uma probabilidade de erro abaixo de 0,01</w:t>
      </w:r>
      <w:r w:rsidRPr="00B47064">
        <w:rPr>
          <w:rFonts w:ascii="Times New Roman" w:hAnsi="Times New Roman" w:cs="Times New Roman"/>
        </w:rPr>
        <w:t>. A evolução da população e a taxa de crescimento</w:t>
      </w:r>
      <w:r>
        <w:rPr>
          <w:rFonts w:ascii="Times New Roman" w:hAnsi="Times New Roman" w:cs="Times New Roman"/>
        </w:rPr>
        <w:t>,</w:t>
      </w:r>
      <w:r w:rsidRPr="00B47064">
        <w:rPr>
          <w:rFonts w:ascii="Times New Roman" w:hAnsi="Times New Roman" w:cs="Times New Roman"/>
        </w:rPr>
        <w:t xml:space="preserve"> ano a ano, obtidos através do ajuste dos dados do IBGE, são determinadas a partir da curva </w:t>
      </w:r>
      <w:r>
        <w:rPr>
          <w:rFonts w:ascii="Times New Roman" w:hAnsi="Times New Roman" w:cs="Times New Roman"/>
        </w:rPr>
        <w:t>de regressão polinomial</w:t>
      </w:r>
      <w:r w:rsidRPr="00B47064">
        <w:rPr>
          <w:rFonts w:ascii="Times New Roman" w:hAnsi="Times New Roman" w:cs="Times New Roman"/>
        </w:rPr>
        <w:t xml:space="preserve">. </w:t>
      </w:r>
    </w:p>
    <w:p w:rsidR="00AD48E4" w:rsidRPr="00B47064" w:rsidRDefault="00AD48E4" w:rsidP="00924AB9">
      <w:pPr>
        <w:pStyle w:val="CM87"/>
        <w:spacing w:line="360" w:lineRule="auto"/>
        <w:ind w:firstLine="708"/>
        <w:jc w:val="both"/>
        <w:rPr>
          <w:rFonts w:ascii="Times New Roman" w:hAnsi="Times New Roman" w:cs="Times New Roman"/>
        </w:rPr>
      </w:pPr>
      <w:r w:rsidRPr="00B47064">
        <w:rPr>
          <w:rFonts w:ascii="Times New Roman" w:hAnsi="Times New Roman" w:cs="Times New Roman"/>
        </w:rPr>
        <w:t>Sendo assim, a linha de tendência que melhor se ajustou aos dados do IBGE</w:t>
      </w:r>
      <w:r>
        <w:rPr>
          <w:rFonts w:ascii="Times New Roman" w:hAnsi="Times New Roman" w:cs="Times New Roman"/>
        </w:rPr>
        <w:t xml:space="preserve">, como comentado anteriormente </w:t>
      </w:r>
      <w:r w:rsidRPr="00B47064">
        <w:rPr>
          <w:rFonts w:ascii="Times New Roman" w:hAnsi="Times New Roman" w:cs="Times New Roman"/>
        </w:rPr>
        <w:t xml:space="preserve">foi a polinomial, </w:t>
      </w:r>
      <w:r>
        <w:rPr>
          <w:rFonts w:ascii="Times New Roman" w:hAnsi="Times New Roman" w:cs="Times New Roman"/>
        </w:rPr>
        <w:t>e</w:t>
      </w:r>
      <w:r w:rsidRPr="00B47064">
        <w:rPr>
          <w:rFonts w:ascii="Times New Roman" w:hAnsi="Times New Roman" w:cs="Times New Roman"/>
        </w:rPr>
        <w:t xml:space="preserve"> resultou na </w:t>
      </w:r>
      <w:r>
        <w:rPr>
          <w:rFonts w:ascii="Times New Roman" w:hAnsi="Times New Roman" w:cs="Times New Roman"/>
        </w:rPr>
        <w:t>E</w:t>
      </w:r>
      <w:r w:rsidRPr="00B47064">
        <w:rPr>
          <w:rFonts w:ascii="Times New Roman" w:hAnsi="Times New Roman" w:cs="Times New Roman"/>
        </w:rPr>
        <w:t>quação</w:t>
      </w:r>
      <w:r>
        <w:rPr>
          <w:rFonts w:ascii="Times New Roman" w:hAnsi="Times New Roman" w:cs="Times New Roman"/>
        </w:rPr>
        <w:t xml:space="preserve"> 1</w:t>
      </w:r>
      <w:r w:rsidRPr="00B47064">
        <w:rPr>
          <w:rFonts w:ascii="Times New Roman" w:hAnsi="Times New Roman" w:cs="Times New Roman"/>
        </w:rPr>
        <w:t>:</w:t>
      </w:r>
    </w:p>
    <w:p w:rsidR="00AD48E4" w:rsidRPr="00B47064" w:rsidRDefault="00AD48E4" w:rsidP="00AD48E4">
      <w:pPr>
        <w:pStyle w:val="Default"/>
        <w:spacing w:before="120" w:after="120"/>
        <w:jc w:val="center"/>
        <w:rPr>
          <w:rFonts w:ascii="Times New Roman" w:hAnsi="Times New Roman" w:cs="Times New Roman"/>
          <w:i/>
          <w:iCs/>
        </w:rPr>
      </w:pPr>
      <w:r w:rsidRPr="00B47064">
        <w:rPr>
          <w:rFonts w:ascii="Times New Roman" w:hAnsi="Times New Roman" w:cs="Times New Roman"/>
          <w:i/>
          <w:iCs/>
        </w:rPr>
        <w:t>y = -</w:t>
      </w:r>
      <w:r>
        <w:rPr>
          <w:rFonts w:ascii="Times New Roman" w:hAnsi="Times New Roman" w:cs="Times New Roman"/>
          <w:i/>
          <w:iCs/>
        </w:rPr>
        <w:t>29.508.300 –</w:t>
      </w:r>
      <w:r w:rsidRPr="00B47064">
        <w:rPr>
          <w:rFonts w:ascii="Times New Roman" w:hAnsi="Times New Roman" w:cs="Times New Roman"/>
          <w:i/>
          <w:iCs/>
        </w:rPr>
        <w:t xml:space="preserve"> </w:t>
      </w:r>
      <w:r>
        <w:rPr>
          <w:rFonts w:ascii="Times New Roman" w:hAnsi="Times New Roman" w:cs="Times New Roman"/>
          <w:i/>
          <w:iCs/>
        </w:rPr>
        <w:t xml:space="preserve">29.429,9x + 7,34411x²,                                                          </w:t>
      </w:r>
      <w:r w:rsidRPr="004C1919">
        <w:rPr>
          <w:rFonts w:ascii="Times New Roman" w:hAnsi="Times New Roman" w:cs="Times New Roman"/>
          <w:iCs/>
        </w:rPr>
        <w:t>Eq. 1</w:t>
      </w:r>
    </w:p>
    <w:p w:rsidR="00AD48E4" w:rsidRPr="00B47064" w:rsidRDefault="002A3756" w:rsidP="00924AB9">
      <w:pPr>
        <w:pStyle w:val="CM73"/>
        <w:spacing w:line="360" w:lineRule="auto"/>
        <w:jc w:val="both"/>
        <w:rPr>
          <w:rFonts w:ascii="Times New Roman" w:hAnsi="Times New Roman" w:cs="Times New Roman"/>
        </w:rPr>
      </w:pPr>
      <w:r>
        <w:rPr>
          <w:rFonts w:ascii="Times New Roman" w:hAnsi="Times New Roman" w:cs="Times New Roman"/>
        </w:rPr>
        <w:t>O</w:t>
      </w:r>
      <w:r w:rsidR="00AD48E4" w:rsidRPr="00B47064">
        <w:rPr>
          <w:rFonts w:ascii="Times New Roman" w:hAnsi="Times New Roman" w:cs="Times New Roman"/>
        </w:rPr>
        <w:t>nde</w:t>
      </w:r>
      <w:r>
        <w:rPr>
          <w:rFonts w:ascii="Times New Roman" w:hAnsi="Times New Roman" w:cs="Times New Roman"/>
        </w:rPr>
        <w:t>:</w:t>
      </w:r>
      <w:r w:rsidR="00AD48E4" w:rsidRPr="00B47064">
        <w:rPr>
          <w:rFonts w:ascii="Times New Roman" w:hAnsi="Times New Roman" w:cs="Times New Roman"/>
        </w:rPr>
        <w:t xml:space="preserve"> </w:t>
      </w:r>
      <w:r w:rsidR="00AD48E4" w:rsidRPr="002A3756">
        <w:rPr>
          <w:rFonts w:ascii="Times New Roman" w:hAnsi="Times New Roman" w:cs="Times New Roman"/>
          <w:i/>
        </w:rPr>
        <w:t>y</w:t>
      </w:r>
      <w:r w:rsidR="00AD48E4" w:rsidRPr="00B47064">
        <w:rPr>
          <w:rFonts w:ascii="Times New Roman" w:hAnsi="Times New Roman" w:cs="Times New Roman"/>
        </w:rPr>
        <w:t xml:space="preserve"> </w:t>
      </w:r>
      <w:r w:rsidR="00AD48E4">
        <w:rPr>
          <w:rFonts w:ascii="Times New Roman" w:hAnsi="Times New Roman" w:cs="Times New Roman"/>
        </w:rPr>
        <w:t xml:space="preserve">representa </w:t>
      </w:r>
      <w:r w:rsidR="00AD48E4" w:rsidRPr="00B47064">
        <w:rPr>
          <w:rFonts w:ascii="Times New Roman" w:hAnsi="Times New Roman" w:cs="Times New Roman"/>
        </w:rPr>
        <w:t xml:space="preserve">a população em um determinado </w:t>
      </w:r>
      <w:r w:rsidR="00AD48E4">
        <w:rPr>
          <w:rFonts w:ascii="Times New Roman" w:hAnsi="Times New Roman" w:cs="Times New Roman"/>
        </w:rPr>
        <w:t xml:space="preserve">ano </w:t>
      </w:r>
      <w:r w:rsidR="00AD48E4" w:rsidRPr="002A3756">
        <w:rPr>
          <w:rFonts w:ascii="Times New Roman" w:hAnsi="Times New Roman" w:cs="Times New Roman"/>
          <w:i/>
        </w:rPr>
        <w:t>x</w:t>
      </w:r>
      <w:r w:rsidR="00AD48E4">
        <w:rPr>
          <w:rFonts w:ascii="Times New Roman" w:hAnsi="Times New Roman" w:cs="Times New Roman"/>
        </w:rPr>
        <w:t>.</w:t>
      </w:r>
      <w:r w:rsidR="00AD48E4" w:rsidRPr="00B47064">
        <w:rPr>
          <w:rFonts w:ascii="Times New Roman" w:hAnsi="Times New Roman" w:cs="Times New Roman"/>
        </w:rPr>
        <w:t xml:space="preserve"> </w:t>
      </w:r>
    </w:p>
    <w:p w:rsidR="00AD48E4" w:rsidRDefault="00AD48E4" w:rsidP="00924AB9">
      <w:pPr>
        <w:pStyle w:val="CM87"/>
        <w:spacing w:line="360" w:lineRule="auto"/>
        <w:ind w:firstLine="708"/>
        <w:jc w:val="both"/>
        <w:rPr>
          <w:rFonts w:ascii="Times New Roman" w:hAnsi="Times New Roman" w:cs="Times New Roman"/>
        </w:rPr>
      </w:pPr>
      <w:r>
        <w:rPr>
          <w:rFonts w:ascii="Times New Roman" w:hAnsi="Times New Roman" w:cs="Times New Roman"/>
        </w:rPr>
        <w:t xml:space="preserve">Com a utilização da equação 1 e utilizando a sequência de anos num prognóstico de 20 anos, a partir de 2013, foi possível estimar a população futura num cenário compreendido de 2013 a 2033 e apresentados na </w:t>
      </w:r>
      <w:r w:rsidR="006A43ED">
        <w:rPr>
          <w:rFonts w:ascii="Times New Roman" w:hAnsi="Times New Roman" w:cs="Times New Roman"/>
        </w:rPr>
        <w:t>Quadro 3</w:t>
      </w:r>
      <w:r>
        <w:rPr>
          <w:rFonts w:ascii="Times New Roman" w:hAnsi="Times New Roman" w:cs="Times New Roman"/>
        </w:rPr>
        <w:t>.</w:t>
      </w:r>
    </w:p>
    <w:p w:rsidR="00AD48E4" w:rsidRPr="00D325CB" w:rsidRDefault="00B02273" w:rsidP="00B02273">
      <w:pPr>
        <w:pStyle w:val="Legenda"/>
        <w:rPr>
          <w:b w:val="0"/>
        </w:rPr>
      </w:pPr>
      <w:bookmarkStart w:id="30" w:name="_Toc372740509"/>
      <w:r>
        <w:lastRenderedPageBreak/>
        <w:t xml:space="preserve">Quadro </w:t>
      </w:r>
      <w:fldSimple w:instr=" SEQ Quadro \* ARABIC ">
        <w:r w:rsidR="004F77E2">
          <w:rPr>
            <w:noProof/>
          </w:rPr>
          <w:t>3</w:t>
        </w:r>
      </w:fldSimple>
      <w:r>
        <w:t xml:space="preserve"> - </w:t>
      </w:r>
      <w:r w:rsidRPr="00486DDD">
        <w:rPr>
          <w:noProof/>
        </w:rPr>
        <w:t>Projeção populacional de Aimorés</w:t>
      </w:r>
      <w:bookmarkEnd w:id="30"/>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3402"/>
      </w:tblGrid>
      <w:tr w:rsidR="00AD48E4" w:rsidRPr="002A3756" w:rsidTr="002A3756">
        <w:trPr>
          <w:trHeight w:val="750"/>
          <w:tblHeader/>
          <w:jc w:val="center"/>
        </w:trPr>
        <w:tc>
          <w:tcPr>
            <w:tcW w:w="1980" w:type="dxa"/>
            <w:shd w:val="clear" w:color="auto" w:fill="F2F2F2" w:themeFill="background1" w:themeFillShade="F2"/>
            <w:vAlign w:val="center"/>
          </w:tcPr>
          <w:p w:rsidR="00AD48E4" w:rsidRPr="002A3756" w:rsidRDefault="00AD48E4" w:rsidP="00F445D4">
            <w:pPr>
              <w:pStyle w:val="Default"/>
              <w:spacing w:before="110" w:after="110"/>
              <w:jc w:val="center"/>
              <w:rPr>
                <w:rFonts w:ascii="Times New Roman" w:hAnsi="Times New Roman" w:cs="Times New Roman"/>
                <w:b/>
              </w:rPr>
            </w:pPr>
            <w:r w:rsidRPr="002A3756">
              <w:rPr>
                <w:rFonts w:ascii="Times New Roman" w:hAnsi="Times New Roman" w:cs="Times New Roman"/>
                <w:b/>
                <w:bCs/>
              </w:rPr>
              <w:t>Ano</w:t>
            </w:r>
          </w:p>
        </w:tc>
        <w:tc>
          <w:tcPr>
            <w:tcW w:w="3402" w:type="dxa"/>
            <w:shd w:val="clear" w:color="auto" w:fill="F2F2F2" w:themeFill="background1" w:themeFillShade="F2"/>
            <w:vAlign w:val="center"/>
          </w:tcPr>
          <w:p w:rsidR="00AD48E4" w:rsidRPr="002A3756" w:rsidRDefault="00AD48E4" w:rsidP="00F445D4">
            <w:pPr>
              <w:pStyle w:val="Default"/>
              <w:spacing w:before="110" w:after="110"/>
              <w:jc w:val="center"/>
              <w:rPr>
                <w:rFonts w:ascii="Times New Roman" w:hAnsi="Times New Roman" w:cs="Times New Roman"/>
                <w:b/>
                <w:bCs/>
              </w:rPr>
            </w:pPr>
            <w:r w:rsidRPr="002A3756">
              <w:rPr>
                <w:rFonts w:ascii="Times New Roman" w:hAnsi="Times New Roman" w:cs="Times New Roman"/>
                <w:b/>
                <w:bCs/>
              </w:rPr>
              <w:t>População Projetada</w:t>
            </w:r>
          </w:p>
        </w:tc>
      </w:tr>
      <w:tr w:rsidR="00AD48E4" w:rsidRPr="002A3756" w:rsidTr="002A3756">
        <w:trPr>
          <w:trHeight w:val="277"/>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2013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25.486</w:t>
            </w:r>
          </w:p>
        </w:tc>
      </w:tr>
      <w:tr w:rsidR="00AD48E4" w:rsidRPr="002A3756" w:rsidTr="002A3756">
        <w:trPr>
          <w:trHeight w:val="277"/>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2014</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25.631</w:t>
            </w:r>
          </w:p>
        </w:tc>
      </w:tr>
      <w:tr w:rsidR="00AD48E4" w:rsidRPr="002A3756" w:rsidTr="002A3756">
        <w:trPr>
          <w:trHeight w:val="272"/>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2015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25.791</w:t>
            </w:r>
          </w:p>
        </w:tc>
      </w:tr>
      <w:tr w:rsidR="00AD48E4" w:rsidRPr="002A3756" w:rsidTr="002A3756">
        <w:trPr>
          <w:trHeight w:val="277"/>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2016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25.965</w:t>
            </w:r>
          </w:p>
        </w:tc>
      </w:tr>
      <w:tr w:rsidR="00AD48E4" w:rsidRPr="002A3756" w:rsidTr="002A3756">
        <w:trPr>
          <w:trHeight w:val="272"/>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2017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26.154</w:t>
            </w:r>
          </w:p>
        </w:tc>
      </w:tr>
      <w:tr w:rsidR="00AD48E4" w:rsidRPr="002A3756" w:rsidTr="002A3756">
        <w:trPr>
          <w:trHeight w:val="277"/>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2018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26.357</w:t>
            </w:r>
          </w:p>
        </w:tc>
      </w:tr>
      <w:tr w:rsidR="00AD48E4" w:rsidRPr="002A3756" w:rsidTr="002A3756">
        <w:trPr>
          <w:trHeight w:val="272"/>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2019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26.575</w:t>
            </w:r>
          </w:p>
        </w:tc>
      </w:tr>
      <w:tr w:rsidR="00AD48E4" w:rsidRPr="002A3756" w:rsidTr="002A3756">
        <w:trPr>
          <w:trHeight w:val="277"/>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2020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26.808</w:t>
            </w:r>
          </w:p>
        </w:tc>
      </w:tr>
      <w:tr w:rsidR="00AD48E4" w:rsidRPr="002A3756" w:rsidTr="002A3756">
        <w:trPr>
          <w:trHeight w:val="272"/>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2021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27.056</w:t>
            </w:r>
          </w:p>
        </w:tc>
      </w:tr>
      <w:tr w:rsidR="00AD48E4" w:rsidRPr="002A3756" w:rsidTr="002A3756">
        <w:trPr>
          <w:trHeight w:val="277"/>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2022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27.318</w:t>
            </w:r>
          </w:p>
        </w:tc>
      </w:tr>
      <w:tr w:rsidR="00AD48E4" w:rsidRPr="002A3756" w:rsidTr="002A3756">
        <w:trPr>
          <w:trHeight w:val="272"/>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2023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27.595</w:t>
            </w:r>
          </w:p>
        </w:tc>
      </w:tr>
      <w:tr w:rsidR="00AD48E4" w:rsidRPr="002A3756" w:rsidTr="002A3756">
        <w:trPr>
          <w:trHeight w:val="277"/>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2024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27.887</w:t>
            </w:r>
          </w:p>
        </w:tc>
      </w:tr>
      <w:tr w:rsidR="00AD48E4" w:rsidRPr="002A3756" w:rsidTr="002A3756">
        <w:trPr>
          <w:trHeight w:val="272"/>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2025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28.194</w:t>
            </w:r>
          </w:p>
        </w:tc>
      </w:tr>
      <w:tr w:rsidR="00AD48E4" w:rsidRPr="002A3756" w:rsidTr="002A3756">
        <w:trPr>
          <w:trHeight w:val="277"/>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2026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28.515</w:t>
            </w:r>
          </w:p>
        </w:tc>
      </w:tr>
      <w:tr w:rsidR="00AD48E4" w:rsidRPr="002A3756" w:rsidTr="002A3756">
        <w:trPr>
          <w:trHeight w:val="272"/>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2027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28.850</w:t>
            </w:r>
          </w:p>
        </w:tc>
      </w:tr>
      <w:tr w:rsidR="00AD48E4" w:rsidRPr="002A3756" w:rsidTr="002A3756">
        <w:trPr>
          <w:trHeight w:val="277"/>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2028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29.201</w:t>
            </w:r>
          </w:p>
        </w:tc>
      </w:tr>
      <w:tr w:rsidR="00AD48E4" w:rsidRPr="002A3756" w:rsidTr="002A3756">
        <w:trPr>
          <w:trHeight w:val="272"/>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2029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29.566</w:t>
            </w:r>
          </w:p>
        </w:tc>
      </w:tr>
      <w:tr w:rsidR="00AD48E4" w:rsidRPr="002A3756" w:rsidTr="002A3756">
        <w:trPr>
          <w:trHeight w:val="277"/>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2030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29.946</w:t>
            </w:r>
          </w:p>
        </w:tc>
      </w:tr>
      <w:tr w:rsidR="00AD48E4" w:rsidRPr="002A3756" w:rsidTr="002A3756">
        <w:trPr>
          <w:trHeight w:val="272"/>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2031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30.340</w:t>
            </w:r>
          </w:p>
        </w:tc>
      </w:tr>
      <w:tr w:rsidR="00AD48E4" w:rsidRPr="002A3756" w:rsidTr="002A3756">
        <w:trPr>
          <w:trHeight w:val="277"/>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2032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30.750</w:t>
            </w:r>
          </w:p>
        </w:tc>
      </w:tr>
      <w:tr w:rsidR="00AD48E4" w:rsidRPr="002A3756" w:rsidTr="002A3756">
        <w:trPr>
          <w:trHeight w:val="272"/>
          <w:jc w:val="center"/>
        </w:trPr>
        <w:tc>
          <w:tcPr>
            <w:tcW w:w="1980"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 xml:space="preserve">2033 </w:t>
            </w:r>
          </w:p>
        </w:tc>
        <w:tc>
          <w:tcPr>
            <w:tcW w:w="3402" w:type="dxa"/>
            <w:vAlign w:val="center"/>
          </w:tcPr>
          <w:p w:rsidR="00AD48E4" w:rsidRPr="002A3756" w:rsidRDefault="00AD48E4" w:rsidP="00F445D4">
            <w:pPr>
              <w:pStyle w:val="Default"/>
              <w:spacing w:before="110" w:after="110"/>
              <w:jc w:val="center"/>
              <w:rPr>
                <w:rFonts w:ascii="Times New Roman" w:hAnsi="Times New Roman" w:cs="Times New Roman"/>
              </w:rPr>
            </w:pPr>
            <w:r w:rsidRPr="002A3756">
              <w:rPr>
                <w:rFonts w:ascii="Times New Roman" w:hAnsi="Times New Roman" w:cs="Times New Roman"/>
              </w:rPr>
              <w:t>31.174</w:t>
            </w:r>
          </w:p>
        </w:tc>
      </w:tr>
    </w:tbl>
    <w:p w:rsidR="00AD48E4" w:rsidRPr="00A1581B" w:rsidRDefault="00AD48E4" w:rsidP="002A3756">
      <w:pPr>
        <w:pStyle w:val="Fonte"/>
        <w:ind w:left="1701"/>
      </w:pPr>
      <w:r w:rsidRPr="00A1581B">
        <w:t>Fonte: Fundação Educacional de Caratinga –FUNEC, 2013.</w:t>
      </w:r>
    </w:p>
    <w:p w:rsidR="00AD48E4" w:rsidRPr="004E03A9" w:rsidRDefault="00AD48E4" w:rsidP="005D5C15">
      <w:pPr>
        <w:pStyle w:val="CM89"/>
        <w:spacing w:before="120" w:line="360" w:lineRule="auto"/>
        <w:ind w:firstLine="709"/>
        <w:jc w:val="both"/>
        <w:rPr>
          <w:rFonts w:ascii="Times New Roman" w:hAnsi="Times New Roman" w:cs="Times New Roman"/>
        </w:rPr>
      </w:pPr>
      <w:r w:rsidRPr="009A1358">
        <w:rPr>
          <w:rFonts w:ascii="Times New Roman" w:hAnsi="Times New Roman" w:cs="Times New Roman"/>
        </w:rPr>
        <w:t xml:space="preserve">Segundo o Plano Diretor Municipal, estabelecido pela Lei Complementar no. 29 de </w:t>
      </w:r>
      <w:r w:rsidRPr="009A1358">
        <w:rPr>
          <w:rFonts w:ascii="Times New Roman" w:hAnsi="Times New Roman" w:cs="Times New Roman"/>
        </w:rPr>
        <w:lastRenderedPageBreak/>
        <w:t>28 de dezembro de 2006, Aimorés possui 8 distritos: Alto do Capim, Conceição do</w:t>
      </w:r>
      <w:r w:rsidRPr="004E03A9">
        <w:rPr>
          <w:rFonts w:ascii="Times New Roman" w:hAnsi="Times New Roman" w:cs="Times New Roman"/>
        </w:rPr>
        <w:t xml:space="preserve"> Capim, Expedicionário Alicio, Mundo Novo de Minas, Penha do Capim, Santo </w:t>
      </w:r>
      <w:r w:rsidR="00885F7E" w:rsidRPr="004E03A9">
        <w:rPr>
          <w:rFonts w:ascii="Times New Roman" w:hAnsi="Times New Roman" w:cs="Times New Roman"/>
        </w:rPr>
        <w:t>Antônio</w:t>
      </w:r>
      <w:r w:rsidRPr="004E03A9">
        <w:rPr>
          <w:rFonts w:ascii="Times New Roman" w:hAnsi="Times New Roman" w:cs="Times New Roman"/>
        </w:rPr>
        <w:t xml:space="preserve"> do Rio Doce, São Sebastião da Vala e Tabaúna, além da sede. A localização dos distritos e da sede municipal pode ser visualizada pela Figura </w:t>
      </w:r>
      <w:r w:rsidR="002A3756">
        <w:rPr>
          <w:rFonts w:ascii="Times New Roman" w:hAnsi="Times New Roman" w:cs="Times New Roman"/>
        </w:rPr>
        <w:t>5</w:t>
      </w:r>
    </w:p>
    <w:p w:rsidR="00AD48E4" w:rsidRPr="009A1358" w:rsidRDefault="001E178D" w:rsidP="001E178D">
      <w:pPr>
        <w:pStyle w:val="Legenda"/>
        <w:rPr>
          <w:b w:val="0"/>
        </w:rPr>
      </w:pPr>
      <w:bookmarkStart w:id="31" w:name="_Toc372740088"/>
      <w:r>
        <w:t xml:space="preserve">Figura </w:t>
      </w:r>
      <w:fldSimple w:instr=" SEQ Figura \* ARABIC ">
        <w:r w:rsidR="004F77E2">
          <w:rPr>
            <w:noProof/>
          </w:rPr>
          <w:t>5</w:t>
        </w:r>
      </w:fldSimple>
      <w:r>
        <w:t xml:space="preserve"> - </w:t>
      </w:r>
      <w:r w:rsidRPr="00C53332">
        <w:rPr>
          <w:noProof/>
        </w:rPr>
        <w:t>Localização dos distritos e do distrito sede de Aimorés.</w:t>
      </w:r>
      <w:bookmarkEnd w:id="31"/>
    </w:p>
    <w:p w:rsidR="00AD48E4" w:rsidRDefault="00AD48E4" w:rsidP="00AD48E4">
      <w:pPr>
        <w:pStyle w:val="Default"/>
        <w:jc w:val="center"/>
        <w:rPr>
          <w:rFonts w:ascii="Times New Roman" w:hAnsi="Times New Roman" w:cs="Times New Roman"/>
        </w:rPr>
      </w:pPr>
      <w:r>
        <w:rPr>
          <w:rFonts w:ascii="Times New Roman" w:hAnsi="Times New Roman" w:cs="Times New Roman"/>
          <w:noProof/>
        </w:rPr>
        <w:drawing>
          <wp:inline distT="0" distB="0" distL="0" distR="0" wp14:anchorId="4C846CA5" wp14:editId="0F48C944">
            <wp:extent cx="5310433" cy="6032310"/>
            <wp:effectExtent l="0" t="0" r="5080" b="6985"/>
            <wp:docPr id="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duto 1 - Mapa Distritos (1).b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38247" cy="6063905"/>
                    </a:xfrm>
                    <a:prstGeom prst="rect">
                      <a:avLst/>
                    </a:prstGeom>
                  </pic:spPr>
                </pic:pic>
              </a:graphicData>
            </a:graphic>
          </wp:inline>
        </w:drawing>
      </w:r>
    </w:p>
    <w:p w:rsidR="00AD48E4" w:rsidRDefault="00AD48E4" w:rsidP="002A3756">
      <w:pPr>
        <w:pStyle w:val="Fonte"/>
        <w:ind w:left="284"/>
      </w:pPr>
      <w:r w:rsidRPr="00A1581B">
        <w:t>Fonte: Fundação Educacional de Caratinga – FUNEC, 2013.</w:t>
      </w:r>
    </w:p>
    <w:p w:rsidR="00AD48E4" w:rsidRDefault="00AD48E4" w:rsidP="005D5C15">
      <w:pPr>
        <w:pStyle w:val="CM72"/>
        <w:spacing w:before="120" w:line="360" w:lineRule="auto"/>
        <w:ind w:firstLine="709"/>
        <w:jc w:val="both"/>
        <w:rPr>
          <w:rFonts w:ascii="Times New Roman" w:hAnsi="Times New Roman" w:cs="Times New Roman"/>
        </w:rPr>
      </w:pPr>
      <w:r w:rsidRPr="004E03A9">
        <w:rPr>
          <w:rFonts w:ascii="Times New Roman" w:hAnsi="Times New Roman" w:cs="Times New Roman"/>
        </w:rPr>
        <w:t xml:space="preserve">Os distritos com o maior contingente populacional são: São Sebastião da Vala (1.922 </w:t>
      </w:r>
      <w:r w:rsidRPr="004E03A9">
        <w:rPr>
          <w:rFonts w:ascii="Times New Roman" w:hAnsi="Times New Roman" w:cs="Times New Roman"/>
        </w:rPr>
        <w:lastRenderedPageBreak/>
        <w:t xml:space="preserve">hab.), seguido por Tabaúna (1.561 hab.), Santo </w:t>
      </w:r>
      <w:r w:rsidR="00885F7E" w:rsidRPr="004E03A9">
        <w:rPr>
          <w:rFonts w:ascii="Times New Roman" w:hAnsi="Times New Roman" w:cs="Times New Roman"/>
        </w:rPr>
        <w:t>Antônio</w:t>
      </w:r>
      <w:r w:rsidRPr="004E03A9">
        <w:rPr>
          <w:rFonts w:ascii="Times New Roman" w:hAnsi="Times New Roman" w:cs="Times New Roman"/>
        </w:rPr>
        <w:t xml:space="preserve"> do Rio Doce (1.555</w:t>
      </w:r>
      <w:r>
        <w:rPr>
          <w:rFonts w:ascii="Times New Roman" w:hAnsi="Times New Roman" w:cs="Times New Roman"/>
        </w:rPr>
        <w:t xml:space="preserve"> </w:t>
      </w:r>
      <w:r w:rsidRPr="004E03A9">
        <w:rPr>
          <w:rFonts w:ascii="Times New Roman" w:hAnsi="Times New Roman" w:cs="Times New Roman"/>
        </w:rPr>
        <w:t xml:space="preserve">hab.) e Alto do Capim (1.489 hab.). Estes dados devem ser considerados na hora de planejar o saneamento em Aimorés, principalmente no que se refere aos custos de implantação de projetos necessários para o completo funcionamento dos sistemas. </w:t>
      </w:r>
      <w:r w:rsidRPr="009A1358">
        <w:rPr>
          <w:rFonts w:ascii="Times New Roman" w:hAnsi="Times New Roman" w:cs="Times New Roman"/>
        </w:rPr>
        <w:t xml:space="preserve">Conforme </w:t>
      </w:r>
      <w:r w:rsidR="006A43ED">
        <w:rPr>
          <w:rFonts w:ascii="Times New Roman" w:hAnsi="Times New Roman" w:cs="Times New Roman"/>
        </w:rPr>
        <w:t>Quadro 4</w:t>
      </w:r>
      <w:r w:rsidR="005D5C15">
        <w:rPr>
          <w:rFonts w:ascii="Times New Roman" w:hAnsi="Times New Roman" w:cs="Times New Roman"/>
        </w:rPr>
        <w:t>.</w:t>
      </w:r>
    </w:p>
    <w:p w:rsidR="00AD48E4" w:rsidRDefault="00B02273" w:rsidP="00B02273">
      <w:pPr>
        <w:pStyle w:val="Legenda"/>
      </w:pPr>
      <w:bookmarkStart w:id="32" w:name="_Toc372740510"/>
      <w:r>
        <w:t xml:space="preserve">Quadro </w:t>
      </w:r>
      <w:fldSimple w:instr=" SEQ Quadro \* ARABIC ">
        <w:r w:rsidR="004F77E2">
          <w:rPr>
            <w:noProof/>
          </w:rPr>
          <w:t>4</w:t>
        </w:r>
      </w:fldSimple>
      <w:r>
        <w:t xml:space="preserve"> - </w:t>
      </w:r>
      <w:r w:rsidRPr="00152C87">
        <w:rPr>
          <w:noProof/>
        </w:rPr>
        <w:t>População e número de domicílios por distrito.</w:t>
      </w:r>
      <w:bookmarkEnd w:id="32"/>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55"/>
        <w:gridCol w:w="860"/>
        <w:gridCol w:w="840"/>
        <w:gridCol w:w="951"/>
        <w:gridCol w:w="860"/>
        <w:gridCol w:w="840"/>
        <w:gridCol w:w="951"/>
        <w:gridCol w:w="790"/>
        <w:gridCol w:w="840"/>
        <w:gridCol w:w="951"/>
      </w:tblGrid>
      <w:tr w:rsidR="00AD48E4" w:rsidRPr="002A3756" w:rsidTr="005D5C15">
        <w:trPr>
          <w:trHeight w:val="282"/>
          <w:tblHeader/>
          <w:jc w:val="center"/>
        </w:trPr>
        <w:tc>
          <w:tcPr>
            <w:tcW w:w="1555" w:type="dxa"/>
            <w:vMerge w:val="restart"/>
            <w:shd w:val="clear" w:color="auto" w:fill="D9D9D9" w:themeFill="background1" w:themeFillShade="D9"/>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Distritos</w:t>
            </w:r>
          </w:p>
        </w:tc>
        <w:tc>
          <w:tcPr>
            <w:tcW w:w="7619" w:type="dxa"/>
            <w:gridSpan w:val="9"/>
            <w:shd w:val="clear" w:color="auto" w:fill="D9D9D9" w:themeFill="background1" w:themeFillShade="D9"/>
            <w:noWrap/>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População residente</w:t>
            </w:r>
          </w:p>
        </w:tc>
      </w:tr>
      <w:tr w:rsidR="00AD48E4" w:rsidRPr="002A3756" w:rsidTr="005D5C15">
        <w:trPr>
          <w:trHeight w:val="282"/>
          <w:tblHeader/>
          <w:jc w:val="center"/>
        </w:trPr>
        <w:tc>
          <w:tcPr>
            <w:tcW w:w="1555" w:type="dxa"/>
            <w:vMerge/>
            <w:shd w:val="clear" w:color="auto" w:fill="D9D9D9" w:themeFill="background1" w:themeFillShade="D9"/>
            <w:vAlign w:val="center"/>
            <w:hideMark/>
          </w:tcPr>
          <w:p w:rsidR="00AD48E4" w:rsidRPr="002A3756" w:rsidRDefault="00AD48E4" w:rsidP="002A3756">
            <w:pPr>
              <w:spacing w:before="120" w:after="120" w:line="240" w:lineRule="auto"/>
              <w:rPr>
                <w:rFonts w:eastAsia="Times New Roman" w:cs="Times New Roman"/>
                <w:b/>
                <w:sz w:val="20"/>
                <w:szCs w:val="20"/>
                <w:lang w:eastAsia="pt-BR"/>
              </w:rPr>
            </w:pPr>
          </w:p>
        </w:tc>
        <w:tc>
          <w:tcPr>
            <w:tcW w:w="2563" w:type="dxa"/>
            <w:gridSpan w:val="3"/>
            <w:vMerge w:val="restart"/>
            <w:shd w:val="clear" w:color="auto" w:fill="D9D9D9" w:themeFill="background1" w:themeFillShade="D9"/>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 xml:space="preserve">Total </w:t>
            </w:r>
          </w:p>
        </w:tc>
        <w:tc>
          <w:tcPr>
            <w:tcW w:w="5056" w:type="dxa"/>
            <w:gridSpan w:val="6"/>
            <w:shd w:val="clear" w:color="auto" w:fill="D9D9D9" w:themeFill="background1" w:themeFillShade="D9"/>
            <w:noWrap/>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Situação do domicílio</w:t>
            </w:r>
          </w:p>
        </w:tc>
      </w:tr>
      <w:tr w:rsidR="00AD48E4" w:rsidRPr="002A3756" w:rsidTr="005D5C15">
        <w:trPr>
          <w:trHeight w:val="282"/>
          <w:tblHeader/>
          <w:jc w:val="center"/>
        </w:trPr>
        <w:tc>
          <w:tcPr>
            <w:tcW w:w="1555" w:type="dxa"/>
            <w:vMerge/>
            <w:shd w:val="clear" w:color="auto" w:fill="D9D9D9" w:themeFill="background1" w:themeFillShade="D9"/>
            <w:vAlign w:val="center"/>
            <w:hideMark/>
          </w:tcPr>
          <w:p w:rsidR="00AD48E4" w:rsidRPr="002A3756" w:rsidRDefault="00AD48E4" w:rsidP="002A3756">
            <w:pPr>
              <w:spacing w:before="120" w:after="120" w:line="240" w:lineRule="auto"/>
              <w:rPr>
                <w:rFonts w:eastAsia="Times New Roman" w:cs="Times New Roman"/>
                <w:b/>
                <w:sz w:val="20"/>
                <w:szCs w:val="20"/>
                <w:lang w:eastAsia="pt-BR"/>
              </w:rPr>
            </w:pPr>
          </w:p>
        </w:tc>
        <w:tc>
          <w:tcPr>
            <w:tcW w:w="2563" w:type="dxa"/>
            <w:gridSpan w:val="3"/>
            <w:vMerge/>
            <w:shd w:val="clear" w:color="auto" w:fill="D9D9D9" w:themeFill="background1" w:themeFillShade="D9"/>
            <w:vAlign w:val="center"/>
            <w:hideMark/>
          </w:tcPr>
          <w:p w:rsidR="00AD48E4" w:rsidRPr="002A3756" w:rsidRDefault="00AD48E4" w:rsidP="002A3756">
            <w:pPr>
              <w:spacing w:before="120" w:after="120" w:line="240" w:lineRule="auto"/>
              <w:rPr>
                <w:rFonts w:eastAsia="Times New Roman" w:cs="Times New Roman"/>
                <w:b/>
                <w:sz w:val="20"/>
                <w:szCs w:val="20"/>
                <w:lang w:eastAsia="pt-BR"/>
              </w:rPr>
            </w:pPr>
          </w:p>
        </w:tc>
        <w:tc>
          <w:tcPr>
            <w:tcW w:w="2563" w:type="dxa"/>
            <w:gridSpan w:val="3"/>
            <w:shd w:val="clear" w:color="auto" w:fill="D9D9D9" w:themeFill="background1" w:themeFillShade="D9"/>
            <w:noWrap/>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Urbana</w:t>
            </w:r>
          </w:p>
        </w:tc>
        <w:tc>
          <w:tcPr>
            <w:tcW w:w="2493" w:type="dxa"/>
            <w:gridSpan w:val="3"/>
            <w:shd w:val="clear" w:color="auto" w:fill="D9D9D9" w:themeFill="background1" w:themeFillShade="D9"/>
            <w:noWrap/>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 xml:space="preserve">Rural </w:t>
            </w:r>
          </w:p>
        </w:tc>
      </w:tr>
      <w:tr w:rsidR="00AD48E4" w:rsidRPr="002A3756" w:rsidTr="005D5C15">
        <w:trPr>
          <w:trHeight w:val="282"/>
          <w:tblHeader/>
          <w:jc w:val="center"/>
        </w:trPr>
        <w:tc>
          <w:tcPr>
            <w:tcW w:w="1555" w:type="dxa"/>
            <w:vMerge/>
            <w:shd w:val="clear" w:color="auto" w:fill="D9D9D9" w:themeFill="background1" w:themeFillShade="D9"/>
            <w:vAlign w:val="center"/>
            <w:hideMark/>
          </w:tcPr>
          <w:p w:rsidR="00AD48E4" w:rsidRPr="002A3756" w:rsidRDefault="00AD48E4" w:rsidP="002A3756">
            <w:pPr>
              <w:spacing w:before="120" w:after="120" w:line="240" w:lineRule="auto"/>
              <w:rPr>
                <w:rFonts w:eastAsia="Times New Roman" w:cs="Times New Roman"/>
                <w:b/>
                <w:sz w:val="20"/>
                <w:szCs w:val="20"/>
                <w:lang w:eastAsia="pt-BR"/>
              </w:rPr>
            </w:pPr>
          </w:p>
        </w:tc>
        <w:tc>
          <w:tcPr>
            <w:tcW w:w="860" w:type="dxa"/>
            <w:vMerge w:val="restart"/>
            <w:shd w:val="clear" w:color="auto" w:fill="D9D9D9" w:themeFill="background1" w:themeFillShade="D9"/>
            <w:noWrap/>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Total</w:t>
            </w:r>
          </w:p>
        </w:tc>
        <w:tc>
          <w:tcPr>
            <w:tcW w:w="1703" w:type="dxa"/>
            <w:gridSpan w:val="2"/>
            <w:shd w:val="clear" w:color="auto" w:fill="D9D9D9" w:themeFill="background1" w:themeFillShade="D9"/>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Sexo</w:t>
            </w:r>
          </w:p>
        </w:tc>
        <w:tc>
          <w:tcPr>
            <w:tcW w:w="860" w:type="dxa"/>
            <w:vMerge w:val="restart"/>
            <w:shd w:val="clear" w:color="auto" w:fill="D9D9D9" w:themeFill="background1" w:themeFillShade="D9"/>
            <w:noWrap/>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Total</w:t>
            </w:r>
          </w:p>
        </w:tc>
        <w:tc>
          <w:tcPr>
            <w:tcW w:w="1703" w:type="dxa"/>
            <w:gridSpan w:val="2"/>
            <w:shd w:val="clear" w:color="auto" w:fill="D9D9D9" w:themeFill="background1" w:themeFillShade="D9"/>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Sexo</w:t>
            </w:r>
          </w:p>
        </w:tc>
        <w:tc>
          <w:tcPr>
            <w:tcW w:w="790" w:type="dxa"/>
            <w:vMerge w:val="restart"/>
            <w:shd w:val="clear" w:color="auto" w:fill="D9D9D9" w:themeFill="background1" w:themeFillShade="D9"/>
            <w:noWrap/>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Total</w:t>
            </w:r>
          </w:p>
        </w:tc>
        <w:tc>
          <w:tcPr>
            <w:tcW w:w="1703" w:type="dxa"/>
            <w:gridSpan w:val="2"/>
            <w:shd w:val="clear" w:color="auto" w:fill="D9D9D9" w:themeFill="background1" w:themeFillShade="D9"/>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Sexo</w:t>
            </w:r>
          </w:p>
        </w:tc>
      </w:tr>
      <w:tr w:rsidR="00AD48E4" w:rsidRPr="002A3756" w:rsidTr="005D5C15">
        <w:trPr>
          <w:trHeight w:val="282"/>
          <w:tblHeader/>
          <w:jc w:val="center"/>
        </w:trPr>
        <w:tc>
          <w:tcPr>
            <w:tcW w:w="1555" w:type="dxa"/>
            <w:vMerge/>
            <w:shd w:val="clear" w:color="auto" w:fill="D9D9D9" w:themeFill="background1" w:themeFillShade="D9"/>
            <w:vAlign w:val="center"/>
            <w:hideMark/>
          </w:tcPr>
          <w:p w:rsidR="00AD48E4" w:rsidRPr="002A3756" w:rsidRDefault="00AD48E4" w:rsidP="002A3756">
            <w:pPr>
              <w:spacing w:before="120" w:after="120" w:line="240" w:lineRule="auto"/>
              <w:rPr>
                <w:rFonts w:eastAsia="Times New Roman" w:cs="Times New Roman"/>
                <w:sz w:val="20"/>
                <w:szCs w:val="20"/>
                <w:lang w:eastAsia="pt-BR"/>
              </w:rPr>
            </w:pPr>
          </w:p>
        </w:tc>
        <w:tc>
          <w:tcPr>
            <w:tcW w:w="860" w:type="dxa"/>
            <w:vMerge/>
            <w:shd w:val="clear" w:color="auto" w:fill="D9D9D9" w:themeFill="background1" w:themeFillShade="D9"/>
            <w:vAlign w:val="center"/>
            <w:hideMark/>
          </w:tcPr>
          <w:p w:rsidR="00AD48E4" w:rsidRPr="002A3756" w:rsidRDefault="00AD48E4" w:rsidP="002A3756">
            <w:pPr>
              <w:spacing w:before="120" w:after="120" w:line="240" w:lineRule="auto"/>
              <w:rPr>
                <w:rFonts w:eastAsia="Times New Roman" w:cs="Times New Roman"/>
                <w:sz w:val="20"/>
                <w:szCs w:val="20"/>
                <w:lang w:eastAsia="pt-BR"/>
              </w:rPr>
            </w:pPr>
          </w:p>
        </w:tc>
        <w:tc>
          <w:tcPr>
            <w:tcW w:w="807" w:type="dxa"/>
            <w:shd w:val="clear" w:color="auto" w:fill="D9D9D9" w:themeFill="background1" w:themeFillShade="D9"/>
            <w:noWrap/>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 xml:space="preserve">Homens </w:t>
            </w:r>
          </w:p>
        </w:tc>
        <w:tc>
          <w:tcPr>
            <w:tcW w:w="896" w:type="dxa"/>
            <w:shd w:val="clear" w:color="auto" w:fill="D9D9D9" w:themeFill="background1" w:themeFillShade="D9"/>
            <w:noWrap/>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Mulheres</w:t>
            </w:r>
          </w:p>
        </w:tc>
        <w:tc>
          <w:tcPr>
            <w:tcW w:w="860" w:type="dxa"/>
            <w:vMerge/>
            <w:shd w:val="clear" w:color="auto" w:fill="D9D9D9" w:themeFill="background1" w:themeFillShade="D9"/>
            <w:vAlign w:val="center"/>
            <w:hideMark/>
          </w:tcPr>
          <w:p w:rsidR="00AD48E4" w:rsidRPr="002A3756" w:rsidRDefault="00AD48E4" w:rsidP="002A3756">
            <w:pPr>
              <w:spacing w:before="120" w:after="120" w:line="240" w:lineRule="auto"/>
              <w:rPr>
                <w:rFonts w:eastAsia="Times New Roman" w:cs="Times New Roman"/>
                <w:b/>
                <w:sz w:val="20"/>
                <w:szCs w:val="20"/>
                <w:lang w:eastAsia="pt-BR"/>
              </w:rPr>
            </w:pPr>
          </w:p>
        </w:tc>
        <w:tc>
          <w:tcPr>
            <w:tcW w:w="807" w:type="dxa"/>
            <w:shd w:val="clear" w:color="auto" w:fill="D9D9D9" w:themeFill="background1" w:themeFillShade="D9"/>
            <w:noWrap/>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 xml:space="preserve">Homens </w:t>
            </w:r>
          </w:p>
        </w:tc>
        <w:tc>
          <w:tcPr>
            <w:tcW w:w="896" w:type="dxa"/>
            <w:shd w:val="clear" w:color="auto" w:fill="D9D9D9" w:themeFill="background1" w:themeFillShade="D9"/>
            <w:noWrap/>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Mulheres</w:t>
            </w:r>
          </w:p>
        </w:tc>
        <w:tc>
          <w:tcPr>
            <w:tcW w:w="790" w:type="dxa"/>
            <w:vMerge/>
            <w:shd w:val="clear" w:color="auto" w:fill="D9D9D9" w:themeFill="background1" w:themeFillShade="D9"/>
            <w:vAlign w:val="center"/>
            <w:hideMark/>
          </w:tcPr>
          <w:p w:rsidR="00AD48E4" w:rsidRPr="002A3756" w:rsidRDefault="00AD48E4" w:rsidP="002A3756">
            <w:pPr>
              <w:spacing w:before="120" w:after="120" w:line="240" w:lineRule="auto"/>
              <w:rPr>
                <w:rFonts w:eastAsia="Times New Roman" w:cs="Times New Roman"/>
                <w:b/>
                <w:sz w:val="20"/>
                <w:szCs w:val="20"/>
                <w:lang w:eastAsia="pt-BR"/>
              </w:rPr>
            </w:pPr>
          </w:p>
        </w:tc>
        <w:tc>
          <w:tcPr>
            <w:tcW w:w="807" w:type="dxa"/>
            <w:shd w:val="clear" w:color="auto" w:fill="D9D9D9" w:themeFill="background1" w:themeFillShade="D9"/>
            <w:noWrap/>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 xml:space="preserve">Homens </w:t>
            </w:r>
          </w:p>
        </w:tc>
        <w:tc>
          <w:tcPr>
            <w:tcW w:w="896" w:type="dxa"/>
            <w:shd w:val="clear" w:color="auto" w:fill="D9D9D9" w:themeFill="background1" w:themeFillShade="D9"/>
            <w:noWrap/>
            <w:vAlign w:val="center"/>
            <w:hideMark/>
          </w:tcPr>
          <w:p w:rsidR="00AD48E4" w:rsidRPr="002A3756" w:rsidRDefault="00AD48E4" w:rsidP="002A3756">
            <w:pPr>
              <w:spacing w:before="120" w:after="120" w:line="240" w:lineRule="auto"/>
              <w:jc w:val="center"/>
              <w:rPr>
                <w:rFonts w:eastAsia="Times New Roman" w:cs="Times New Roman"/>
                <w:b/>
                <w:sz w:val="20"/>
                <w:szCs w:val="20"/>
                <w:lang w:eastAsia="pt-BR"/>
              </w:rPr>
            </w:pPr>
            <w:r w:rsidRPr="002A3756">
              <w:rPr>
                <w:rFonts w:eastAsia="Times New Roman" w:cs="Times New Roman"/>
                <w:b/>
                <w:sz w:val="20"/>
                <w:szCs w:val="20"/>
                <w:lang w:eastAsia="pt-BR"/>
              </w:rPr>
              <w:t>Mulheres</w:t>
            </w:r>
          </w:p>
        </w:tc>
      </w:tr>
      <w:tr w:rsidR="00AD48E4" w:rsidRPr="002A3756" w:rsidTr="00AD48E4">
        <w:trPr>
          <w:trHeight w:val="240"/>
          <w:tblHeader/>
          <w:jc w:val="center"/>
        </w:trPr>
        <w:tc>
          <w:tcPr>
            <w:tcW w:w="1555" w:type="dxa"/>
            <w:shd w:val="clear" w:color="auto" w:fill="auto"/>
            <w:noWrap/>
            <w:vAlign w:val="center"/>
            <w:hideMark/>
          </w:tcPr>
          <w:p w:rsidR="00AD48E4" w:rsidRPr="002A3756" w:rsidRDefault="00AD48E4" w:rsidP="002A3756">
            <w:pPr>
              <w:spacing w:before="120" w:after="120" w:line="240" w:lineRule="auto"/>
              <w:rPr>
                <w:rFonts w:eastAsia="Times New Roman" w:cs="Times New Roman"/>
                <w:sz w:val="20"/>
                <w:szCs w:val="20"/>
                <w:lang w:eastAsia="pt-BR"/>
              </w:rPr>
            </w:pPr>
            <w:r w:rsidRPr="002A3756">
              <w:rPr>
                <w:rFonts w:eastAsia="Times New Roman" w:cs="Times New Roman"/>
                <w:sz w:val="20"/>
                <w:szCs w:val="20"/>
                <w:lang w:eastAsia="pt-BR"/>
              </w:rPr>
              <w:t>Aimorés</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14.998</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7.088</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7.910</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14.447</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6.801</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7.646</w:t>
            </w:r>
          </w:p>
        </w:tc>
        <w:tc>
          <w:tcPr>
            <w:tcW w:w="79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551</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287</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264</w:t>
            </w:r>
          </w:p>
        </w:tc>
      </w:tr>
      <w:tr w:rsidR="00AD48E4" w:rsidRPr="002A3756" w:rsidTr="00AD48E4">
        <w:trPr>
          <w:trHeight w:val="240"/>
          <w:tblHeader/>
          <w:jc w:val="center"/>
        </w:trPr>
        <w:tc>
          <w:tcPr>
            <w:tcW w:w="1555" w:type="dxa"/>
            <w:shd w:val="clear" w:color="auto" w:fill="auto"/>
            <w:noWrap/>
            <w:vAlign w:val="center"/>
            <w:hideMark/>
          </w:tcPr>
          <w:p w:rsidR="00AD48E4" w:rsidRPr="002A3756" w:rsidRDefault="00AD48E4" w:rsidP="002A3756">
            <w:pPr>
              <w:spacing w:before="120" w:after="120" w:line="240" w:lineRule="auto"/>
              <w:rPr>
                <w:rFonts w:eastAsia="Times New Roman" w:cs="Times New Roman"/>
                <w:sz w:val="20"/>
                <w:szCs w:val="20"/>
                <w:lang w:eastAsia="pt-BR"/>
              </w:rPr>
            </w:pPr>
            <w:r w:rsidRPr="002A3756">
              <w:rPr>
                <w:rFonts w:eastAsia="Times New Roman" w:cs="Times New Roman"/>
                <w:sz w:val="20"/>
                <w:szCs w:val="20"/>
                <w:lang w:eastAsia="pt-BR"/>
              </w:rPr>
              <w:t>Alto do Capim</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1.278</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665</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613</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229</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109</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120</w:t>
            </w:r>
          </w:p>
        </w:tc>
        <w:tc>
          <w:tcPr>
            <w:tcW w:w="79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1.049</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556</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493</w:t>
            </w:r>
          </w:p>
        </w:tc>
      </w:tr>
      <w:tr w:rsidR="00AD48E4" w:rsidRPr="002A3756" w:rsidTr="00AD48E4">
        <w:trPr>
          <w:trHeight w:val="240"/>
          <w:tblHeader/>
          <w:jc w:val="center"/>
        </w:trPr>
        <w:tc>
          <w:tcPr>
            <w:tcW w:w="1555" w:type="dxa"/>
            <w:shd w:val="clear" w:color="auto" w:fill="auto"/>
            <w:noWrap/>
            <w:vAlign w:val="center"/>
            <w:hideMark/>
          </w:tcPr>
          <w:p w:rsidR="00AD48E4" w:rsidRPr="002A3756" w:rsidRDefault="00AD48E4" w:rsidP="002A3756">
            <w:pPr>
              <w:spacing w:before="120" w:after="120" w:line="240" w:lineRule="auto"/>
              <w:rPr>
                <w:rFonts w:eastAsia="Times New Roman" w:cs="Times New Roman"/>
                <w:sz w:val="20"/>
                <w:szCs w:val="20"/>
                <w:lang w:eastAsia="pt-BR"/>
              </w:rPr>
            </w:pPr>
            <w:r w:rsidRPr="002A3756">
              <w:rPr>
                <w:rFonts w:eastAsia="Times New Roman" w:cs="Times New Roman"/>
                <w:sz w:val="20"/>
                <w:szCs w:val="20"/>
                <w:lang w:eastAsia="pt-BR"/>
              </w:rPr>
              <w:t>Conceição do Capim</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1.257</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617</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640</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786</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378</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408</w:t>
            </w:r>
          </w:p>
        </w:tc>
        <w:tc>
          <w:tcPr>
            <w:tcW w:w="79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471</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239</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232</w:t>
            </w:r>
          </w:p>
        </w:tc>
      </w:tr>
      <w:tr w:rsidR="00AD48E4" w:rsidRPr="002A3756" w:rsidTr="00AD48E4">
        <w:trPr>
          <w:trHeight w:val="240"/>
          <w:tblHeader/>
          <w:jc w:val="center"/>
        </w:trPr>
        <w:tc>
          <w:tcPr>
            <w:tcW w:w="1555" w:type="dxa"/>
            <w:shd w:val="clear" w:color="auto" w:fill="auto"/>
            <w:noWrap/>
            <w:vAlign w:val="center"/>
            <w:hideMark/>
          </w:tcPr>
          <w:p w:rsidR="00AD48E4" w:rsidRPr="002A3756" w:rsidRDefault="00AD48E4" w:rsidP="002A3756">
            <w:pPr>
              <w:spacing w:before="120" w:after="120" w:line="240" w:lineRule="auto"/>
              <w:rPr>
                <w:rFonts w:eastAsia="Times New Roman" w:cs="Times New Roman"/>
                <w:sz w:val="20"/>
                <w:szCs w:val="20"/>
                <w:lang w:eastAsia="pt-BR"/>
              </w:rPr>
            </w:pPr>
            <w:r w:rsidRPr="002A3756">
              <w:rPr>
                <w:rFonts w:eastAsia="Times New Roman" w:cs="Times New Roman"/>
                <w:sz w:val="20"/>
                <w:szCs w:val="20"/>
                <w:lang w:eastAsia="pt-BR"/>
              </w:rPr>
              <w:t xml:space="preserve">Expedicionário </w:t>
            </w:r>
            <w:r w:rsidR="00885F7E" w:rsidRPr="002A3756">
              <w:rPr>
                <w:rFonts w:eastAsia="Times New Roman" w:cs="Times New Roman"/>
                <w:sz w:val="20"/>
                <w:szCs w:val="20"/>
                <w:lang w:eastAsia="pt-BR"/>
              </w:rPr>
              <w:t>Alicio</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836</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415</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421</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493</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236</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257</w:t>
            </w:r>
          </w:p>
        </w:tc>
        <w:tc>
          <w:tcPr>
            <w:tcW w:w="79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343</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179</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164</w:t>
            </w:r>
          </w:p>
        </w:tc>
      </w:tr>
      <w:tr w:rsidR="00AD48E4" w:rsidRPr="002A3756" w:rsidTr="00AD48E4">
        <w:trPr>
          <w:trHeight w:val="240"/>
          <w:tblHeader/>
          <w:jc w:val="center"/>
        </w:trPr>
        <w:tc>
          <w:tcPr>
            <w:tcW w:w="1555" w:type="dxa"/>
            <w:shd w:val="clear" w:color="auto" w:fill="auto"/>
            <w:noWrap/>
            <w:vAlign w:val="center"/>
            <w:hideMark/>
          </w:tcPr>
          <w:p w:rsidR="00AD48E4" w:rsidRPr="002A3756" w:rsidRDefault="00AD48E4" w:rsidP="002A3756">
            <w:pPr>
              <w:spacing w:before="120" w:after="120" w:line="240" w:lineRule="auto"/>
              <w:rPr>
                <w:rFonts w:eastAsia="Times New Roman" w:cs="Times New Roman"/>
                <w:sz w:val="20"/>
                <w:szCs w:val="20"/>
                <w:lang w:eastAsia="pt-BR"/>
              </w:rPr>
            </w:pPr>
            <w:r w:rsidRPr="002A3756">
              <w:rPr>
                <w:rFonts w:eastAsia="Times New Roman" w:cs="Times New Roman"/>
                <w:sz w:val="20"/>
                <w:szCs w:val="20"/>
                <w:lang w:eastAsia="pt-BR"/>
              </w:rPr>
              <w:t>Mundo Novo de Minas</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870</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453</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417</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214</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106</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108</w:t>
            </w:r>
          </w:p>
        </w:tc>
        <w:tc>
          <w:tcPr>
            <w:tcW w:w="79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656</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347</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309</w:t>
            </w:r>
          </w:p>
        </w:tc>
      </w:tr>
      <w:tr w:rsidR="00AD48E4" w:rsidRPr="002A3756" w:rsidTr="00AD48E4">
        <w:trPr>
          <w:trHeight w:val="285"/>
          <w:tblHeader/>
          <w:jc w:val="center"/>
        </w:trPr>
        <w:tc>
          <w:tcPr>
            <w:tcW w:w="1555" w:type="dxa"/>
            <w:shd w:val="clear" w:color="auto" w:fill="auto"/>
            <w:noWrap/>
            <w:vAlign w:val="center"/>
            <w:hideMark/>
          </w:tcPr>
          <w:p w:rsidR="00AD48E4" w:rsidRPr="002A3756" w:rsidRDefault="00AD48E4" w:rsidP="002A3756">
            <w:pPr>
              <w:spacing w:before="120" w:after="120" w:line="240" w:lineRule="auto"/>
              <w:rPr>
                <w:rFonts w:eastAsia="Times New Roman" w:cs="Times New Roman"/>
                <w:sz w:val="20"/>
                <w:szCs w:val="20"/>
                <w:lang w:eastAsia="pt-BR"/>
              </w:rPr>
            </w:pPr>
            <w:r w:rsidRPr="002A3756">
              <w:rPr>
                <w:rFonts w:eastAsia="Times New Roman" w:cs="Times New Roman"/>
                <w:sz w:val="20"/>
                <w:szCs w:val="20"/>
                <w:lang w:eastAsia="pt-BR"/>
              </w:rPr>
              <w:t>Penha do Capim</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1.155</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556</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599</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758</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355</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403</w:t>
            </w:r>
          </w:p>
        </w:tc>
        <w:tc>
          <w:tcPr>
            <w:tcW w:w="79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397</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201</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196</w:t>
            </w:r>
          </w:p>
        </w:tc>
      </w:tr>
      <w:tr w:rsidR="00AD48E4" w:rsidRPr="002A3756" w:rsidTr="00AD48E4">
        <w:trPr>
          <w:trHeight w:val="285"/>
          <w:tblHeader/>
          <w:jc w:val="center"/>
        </w:trPr>
        <w:tc>
          <w:tcPr>
            <w:tcW w:w="1555" w:type="dxa"/>
            <w:shd w:val="clear" w:color="auto" w:fill="auto"/>
            <w:noWrap/>
            <w:vAlign w:val="center"/>
            <w:hideMark/>
          </w:tcPr>
          <w:p w:rsidR="00AD48E4" w:rsidRPr="002A3756" w:rsidRDefault="00AD48E4" w:rsidP="002A3756">
            <w:pPr>
              <w:spacing w:before="120" w:after="120" w:line="240" w:lineRule="auto"/>
              <w:rPr>
                <w:rFonts w:eastAsia="Times New Roman" w:cs="Times New Roman"/>
                <w:sz w:val="20"/>
                <w:szCs w:val="20"/>
                <w:lang w:eastAsia="pt-BR"/>
              </w:rPr>
            </w:pPr>
            <w:r w:rsidRPr="002A3756">
              <w:rPr>
                <w:rFonts w:eastAsia="Times New Roman" w:cs="Times New Roman"/>
                <w:sz w:val="20"/>
                <w:szCs w:val="20"/>
                <w:lang w:eastAsia="pt-BR"/>
              </w:rPr>
              <w:t>Santo Antônio do Rio Doce</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1.513</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724</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789</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1.234</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583</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651</w:t>
            </w:r>
          </w:p>
        </w:tc>
        <w:tc>
          <w:tcPr>
            <w:tcW w:w="79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279</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141</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138</w:t>
            </w:r>
          </w:p>
        </w:tc>
      </w:tr>
      <w:tr w:rsidR="00AD48E4" w:rsidRPr="002A3756" w:rsidTr="00AD48E4">
        <w:trPr>
          <w:trHeight w:val="240"/>
          <w:tblHeader/>
          <w:jc w:val="center"/>
        </w:trPr>
        <w:tc>
          <w:tcPr>
            <w:tcW w:w="1555" w:type="dxa"/>
            <w:shd w:val="clear" w:color="auto" w:fill="auto"/>
            <w:noWrap/>
            <w:vAlign w:val="center"/>
            <w:hideMark/>
          </w:tcPr>
          <w:p w:rsidR="00AD48E4" w:rsidRPr="002A3756" w:rsidRDefault="00AD48E4" w:rsidP="002A3756">
            <w:pPr>
              <w:spacing w:before="120" w:after="120" w:line="240" w:lineRule="auto"/>
              <w:rPr>
                <w:rFonts w:eastAsia="Times New Roman" w:cs="Times New Roman"/>
                <w:sz w:val="20"/>
                <w:szCs w:val="20"/>
                <w:lang w:eastAsia="pt-BR"/>
              </w:rPr>
            </w:pPr>
            <w:r w:rsidRPr="002A3756">
              <w:rPr>
                <w:rFonts w:eastAsia="Times New Roman" w:cs="Times New Roman"/>
                <w:sz w:val="20"/>
                <w:szCs w:val="20"/>
                <w:lang w:eastAsia="pt-BR"/>
              </w:rPr>
              <w:t>São Sebastião da Vala</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1.616</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826</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790</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1.082</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543</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539</w:t>
            </w:r>
          </w:p>
        </w:tc>
        <w:tc>
          <w:tcPr>
            <w:tcW w:w="79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534</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283</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251</w:t>
            </w:r>
          </w:p>
        </w:tc>
      </w:tr>
      <w:tr w:rsidR="00AD48E4" w:rsidRPr="002A3756" w:rsidTr="00AD48E4">
        <w:trPr>
          <w:trHeight w:val="240"/>
          <w:tblHeader/>
          <w:jc w:val="center"/>
        </w:trPr>
        <w:tc>
          <w:tcPr>
            <w:tcW w:w="1555" w:type="dxa"/>
            <w:shd w:val="clear" w:color="auto" w:fill="auto"/>
            <w:noWrap/>
            <w:vAlign w:val="center"/>
            <w:hideMark/>
          </w:tcPr>
          <w:p w:rsidR="00AD48E4" w:rsidRPr="002A3756" w:rsidRDefault="00AD48E4" w:rsidP="002A3756">
            <w:pPr>
              <w:spacing w:before="120" w:after="120" w:line="240" w:lineRule="auto"/>
              <w:rPr>
                <w:rFonts w:eastAsia="Times New Roman" w:cs="Times New Roman"/>
                <w:sz w:val="20"/>
                <w:szCs w:val="20"/>
                <w:lang w:eastAsia="pt-BR"/>
              </w:rPr>
            </w:pPr>
            <w:r w:rsidRPr="002A3756">
              <w:rPr>
                <w:rFonts w:eastAsia="Times New Roman" w:cs="Times New Roman"/>
                <w:sz w:val="20"/>
                <w:szCs w:val="20"/>
                <w:lang w:eastAsia="pt-BR"/>
              </w:rPr>
              <w:t>Tabaúna</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1.436</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717</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719</w:t>
            </w:r>
          </w:p>
        </w:tc>
        <w:tc>
          <w:tcPr>
            <w:tcW w:w="86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457</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218</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239</w:t>
            </w:r>
          </w:p>
        </w:tc>
        <w:tc>
          <w:tcPr>
            <w:tcW w:w="790"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979</w:t>
            </w:r>
          </w:p>
        </w:tc>
        <w:tc>
          <w:tcPr>
            <w:tcW w:w="807"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499</w:t>
            </w:r>
          </w:p>
        </w:tc>
        <w:tc>
          <w:tcPr>
            <w:tcW w:w="896" w:type="dxa"/>
            <w:shd w:val="clear" w:color="auto" w:fill="auto"/>
            <w:noWrap/>
            <w:vAlign w:val="center"/>
            <w:hideMark/>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480</w:t>
            </w:r>
          </w:p>
        </w:tc>
      </w:tr>
      <w:tr w:rsidR="00AD48E4" w:rsidRPr="002A3756" w:rsidTr="00AD48E4">
        <w:trPr>
          <w:trHeight w:val="240"/>
          <w:tblHeader/>
          <w:jc w:val="center"/>
        </w:trPr>
        <w:tc>
          <w:tcPr>
            <w:tcW w:w="1555" w:type="dxa"/>
            <w:shd w:val="clear" w:color="auto" w:fill="auto"/>
            <w:noWrap/>
            <w:vAlign w:val="center"/>
          </w:tcPr>
          <w:p w:rsidR="00AD48E4" w:rsidRPr="002A3756" w:rsidRDefault="00AD48E4" w:rsidP="002A3756">
            <w:pPr>
              <w:spacing w:before="120" w:after="120" w:line="240" w:lineRule="auto"/>
              <w:rPr>
                <w:rFonts w:eastAsia="Times New Roman" w:cs="Times New Roman"/>
                <w:sz w:val="20"/>
                <w:szCs w:val="20"/>
                <w:lang w:eastAsia="pt-BR"/>
              </w:rPr>
            </w:pPr>
            <w:r w:rsidRPr="002A3756">
              <w:rPr>
                <w:rFonts w:eastAsia="Times New Roman" w:cs="Times New Roman"/>
                <w:sz w:val="20"/>
                <w:szCs w:val="20"/>
                <w:lang w:eastAsia="pt-BR"/>
              </w:rPr>
              <w:t>Aimorés (Total)</w:t>
            </w:r>
          </w:p>
        </w:tc>
        <w:tc>
          <w:tcPr>
            <w:tcW w:w="860" w:type="dxa"/>
            <w:shd w:val="clear" w:color="auto" w:fill="auto"/>
            <w:noWrap/>
            <w:vAlign w:val="center"/>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24.959</w:t>
            </w:r>
          </w:p>
        </w:tc>
        <w:tc>
          <w:tcPr>
            <w:tcW w:w="807" w:type="dxa"/>
            <w:shd w:val="clear" w:color="auto" w:fill="auto"/>
            <w:noWrap/>
            <w:vAlign w:val="center"/>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12.061</w:t>
            </w:r>
          </w:p>
        </w:tc>
        <w:tc>
          <w:tcPr>
            <w:tcW w:w="896" w:type="dxa"/>
            <w:shd w:val="clear" w:color="auto" w:fill="auto"/>
            <w:noWrap/>
            <w:vAlign w:val="center"/>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12.898</w:t>
            </w:r>
          </w:p>
        </w:tc>
        <w:tc>
          <w:tcPr>
            <w:tcW w:w="860" w:type="dxa"/>
            <w:shd w:val="clear" w:color="auto" w:fill="auto"/>
            <w:noWrap/>
            <w:vAlign w:val="center"/>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19.700</w:t>
            </w:r>
          </w:p>
        </w:tc>
        <w:tc>
          <w:tcPr>
            <w:tcW w:w="807" w:type="dxa"/>
            <w:shd w:val="clear" w:color="auto" w:fill="auto"/>
            <w:noWrap/>
            <w:vAlign w:val="center"/>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9.329</w:t>
            </w:r>
          </w:p>
        </w:tc>
        <w:tc>
          <w:tcPr>
            <w:tcW w:w="896" w:type="dxa"/>
            <w:shd w:val="clear" w:color="auto" w:fill="auto"/>
            <w:noWrap/>
            <w:vAlign w:val="center"/>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10.371</w:t>
            </w:r>
          </w:p>
        </w:tc>
        <w:tc>
          <w:tcPr>
            <w:tcW w:w="790" w:type="dxa"/>
            <w:shd w:val="clear" w:color="auto" w:fill="auto"/>
            <w:noWrap/>
            <w:vAlign w:val="center"/>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5.259</w:t>
            </w:r>
          </w:p>
        </w:tc>
        <w:tc>
          <w:tcPr>
            <w:tcW w:w="807" w:type="dxa"/>
            <w:shd w:val="clear" w:color="auto" w:fill="auto"/>
            <w:noWrap/>
            <w:vAlign w:val="center"/>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2.732</w:t>
            </w:r>
          </w:p>
        </w:tc>
        <w:tc>
          <w:tcPr>
            <w:tcW w:w="896" w:type="dxa"/>
            <w:shd w:val="clear" w:color="auto" w:fill="auto"/>
            <w:noWrap/>
            <w:vAlign w:val="center"/>
          </w:tcPr>
          <w:p w:rsidR="00AD48E4" w:rsidRPr="002A3756" w:rsidRDefault="00AD48E4" w:rsidP="002A3756">
            <w:pPr>
              <w:spacing w:before="120" w:after="120" w:line="240" w:lineRule="auto"/>
              <w:jc w:val="center"/>
              <w:rPr>
                <w:rFonts w:eastAsia="Times New Roman" w:cs="Times New Roman"/>
                <w:sz w:val="20"/>
                <w:szCs w:val="20"/>
                <w:lang w:eastAsia="pt-BR"/>
              </w:rPr>
            </w:pPr>
            <w:r w:rsidRPr="002A3756">
              <w:rPr>
                <w:rFonts w:eastAsia="Times New Roman" w:cs="Times New Roman"/>
                <w:sz w:val="20"/>
                <w:szCs w:val="20"/>
                <w:lang w:eastAsia="pt-BR"/>
              </w:rPr>
              <w:t>2.527</w:t>
            </w:r>
          </w:p>
        </w:tc>
      </w:tr>
    </w:tbl>
    <w:p w:rsidR="00AD48E4" w:rsidRPr="002533EA" w:rsidRDefault="00AD48E4" w:rsidP="001D2F23">
      <w:pPr>
        <w:pStyle w:val="Fonte"/>
        <w:ind w:left="-284"/>
      </w:pPr>
      <w:r w:rsidRPr="002533EA">
        <w:t xml:space="preserve">Fonte: </w:t>
      </w:r>
      <w:r w:rsidR="000917CE">
        <w:t xml:space="preserve">Estimativa </w:t>
      </w:r>
      <w:r w:rsidRPr="002533EA">
        <w:t>IBGE, 2013.</w:t>
      </w:r>
    </w:p>
    <w:p w:rsidR="00AD48E4" w:rsidRDefault="00AD48E4" w:rsidP="00A04754">
      <w:pPr>
        <w:pStyle w:val="CM71"/>
        <w:spacing w:before="120" w:line="360" w:lineRule="auto"/>
        <w:ind w:firstLine="709"/>
        <w:jc w:val="both"/>
        <w:rPr>
          <w:rFonts w:cs="Times New Roman"/>
          <w:bCs/>
        </w:rPr>
      </w:pPr>
      <w:r>
        <w:rPr>
          <w:rFonts w:ascii="Times New Roman" w:hAnsi="Times New Roman" w:cs="Times New Roman"/>
        </w:rPr>
        <w:t>A</w:t>
      </w:r>
      <w:r w:rsidRPr="004E03A9">
        <w:rPr>
          <w:rFonts w:ascii="Times New Roman" w:hAnsi="Times New Roman" w:cs="Times New Roman"/>
        </w:rPr>
        <w:t xml:space="preserve"> Figura </w:t>
      </w:r>
      <w:r w:rsidR="002A3756">
        <w:rPr>
          <w:rFonts w:ascii="Times New Roman" w:hAnsi="Times New Roman" w:cs="Times New Roman"/>
        </w:rPr>
        <w:t>6</w:t>
      </w:r>
      <w:r w:rsidRPr="004E03A9">
        <w:rPr>
          <w:rFonts w:ascii="Times New Roman" w:hAnsi="Times New Roman" w:cs="Times New Roman"/>
        </w:rPr>
        <w:t xml:space="preserve"> mostra a localização da área urbana e das áreas urbanizadas no meio rural (distritos) em Aimorés, segundo o censo de 2010 do IBGE</w:t>
      </w:r>
      <w:r w:rsidR="000917CE">
        <w:rPr>
          <w:rFonts w:ascii="Times New Roman" w:hAnsi="Times New Roman" w:cs="Times New Roman"/>
        </w:rPr>
        <w:t>, com estimativas para 2013</w:t>
      </w:r>
      <w:r w:rsidRPr="004E03A9">
        <w:rPr>
          <w:rFonts w:ascii="Times New Roman" w:hAnsi="Times New Roman" w:cs="Times New Roman"/>
        </w:rPr>
        <w:t xml:space="preserve">. </w:t>
      </w:r>
      <w:r>
        <w:br w:type="page"/>
      </w:r>
    </w:p>
    <w:p w:rsidR="00AD48E4" w:rsidRPr="009A1358" w:rsidRDefault="001E178D" w:rsidP="001E178D">
      <w:pPr>
        <w:pStyle w:val="Legenda"/>
        <w:rPr>
          <w:b w:val="0"/>
        </w:rPr>
      </w:pPr>
      <w:bookmarkStart w:id="33" w:name="_Toc372740089"/>
      <w:r>
        <w:lastRenderedPageBreak/>
        <w:t xml:space="preserve">Figura </w:t>
      </w:r>
      <w:fldSimple w:instr=" SEQ Figura \* ARABIC ">
        <w:r w:rsidR="004F77E2">
          <w:rPr>
            <w:noProof/>
          </w:rPr>
          <w:t>6</w:t>
        </w:r>
      </w:fldSimple>
      <w:r>
        <w:t xml:space="preserve"> - </w:t>
      </w:r>
      <w:r w:rsidRPr="00FF4B3B">
        <w:t>Localização do município de Aimorés nas bacias hidrográficas, das áreas urbanizadas e das áreas rurais, segundo o censo de 2010 do IBGE.</w:t>
      </w:r>
      <w:bookmarkEnd w:id="33"/>
    </w:p>
    <w:p w:rsidR="00AD48E4" w:rsidRDefault="00AD48E4" w:rsidP="00AD48E4">
      <w:pPr>
        <w:pStyle w:val="Default"/>
        <w:jc w:val="center"/>
        <w:rPr>
          <w:rFonts w:ascii="Times New Roman" w:hAnsi="Times New Roman" w:cs="Times New Roman"/>
        </w:rPr>
      </w:pPr>
      <w:r>
        <w:rPr>
          <w:rFonts w:ascii="Times New Roman" w:hAnsi="Times New Roman" w:cs="Times New Roman"/>
          <w:noProof/>
        </w:rPr>
        <w:drawing>
          <wp:inline distT="0" distB="0" distL="0" distR="0" wp14:anchorId="765DE894" wp14:editId="0BB05C6C">
            <wp:extent cx="5569225" cy="3379622"/>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ados populacionais 0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576876" cy="3384265"/>
                    </a:xfrm>
                    <a:prstGeom prst="rect">
                      <a:avLst/>
                    </a:prstGeom>
                  </pic:spPr>
                </pic:pic>
              </a:graphicData>
            </a:graphic>
          </wp:inline>
        </w:drawing>
      </w:r>
    </w:p>
    <w:p w:rsidR="00AD48E4" w:rsidRDefault="00AD48E4" w:rsidP="00AD48E4">
      <w:pPr>
        <w:pStyle w:val="Fonte"/>
      </w:pPr>
      <w:r w:rsidRPr="00A1581B">
        <w:t>Fonte: Fundação Educacional de Caratinga – FUNEC, 2013.</w:t>
      </w:r>
    </w:p>
    <w:p w:rsidR="00AD48E4" w:rsidRPr="004E03A9" w:rsidRDefault="00000904" w:rsidP="00971B37">
      <w:pPr>
        <w:pStyle w:val="Titulo"/>
      </w:pPr>
      <w:bookmarkStart w:id="34" w:name="_Toc372559024"/>
      <w:bookmarkStart w:id="35" w:name="_Toc372789479"/>
      <w:r>
        <w:t xml:space="preserve">6.3 </w:t>
      </w:r>
      <w:r w:rsidR="00AD48E4" w:rsidRPr="004E03A9">
        <w:t>Estrutura Etária</w:t>
      </w:r>
      <w:bookmarkEnd w:id="34"/>
      <w:bookmarkEnd w:id="35"/>
    </w:p>
    <w:p w:rsidR="00AD48E4" w:rsidRPr="00E56967" w:rsidRDefault="00AD48E4" w:rsidP="005D5C15">
      <w:pPr>
        <w:pStyle w:val="CM71"/>
        <w:spacing w:line="360" w:lineRule="auto"/>
        <w:ind w:firstLine="709"/>
        <w:jc w:val="both"/>
        <w:rPr>
          <w:rFonts w:ascii="Times New Roman" w:hAnsi="Times New Roman" w:cs="Times New Roman"/>
        </w:rPr>
      </w:pPr>
      <w:r w:rsidRPr="00E56967">
        <w:rPr>
          <w:rFonts w:ascii="Times New Roman" w:hAnsi="Times New Roman" w:cs="Times New Roman"/>
        </w:rPr>
        <w:t>Segundo o IBGE, entre 2000 a 2010 foi verificado um crescimento da população idosa qu</w:t>
      </w:r>
      <w:r>
        <w:rPr>
          <w:rFonts w:ascii="Times New Roman" w:hAnsi="Times New Roman" w:cs="Times New Roman"/>
        </w:rPr>
        <w:t>e, em termos anuais, cresceu 19,68</w:t>
      </w:r>
      <w:r w:rsidRPr="00E56967">
        <w:rPr>
          <w:rFonts w:ascii="Times New Roman" w:hAnsi="Times New Roman" w:cs="Times New Roman"/>
        </w:rPr>
        <w:t>% em média. Em 2</w:t>
      </w:r>
      <w:r>
        <w:rPr>
          <w:rFonts w:ascii="Times New Roman" w:hAnsi="Times New Roman" w:cs="Times New Roman"/>
        </w:rPr>
        <w:t>000, este grupo representava 12,7</w:t>
      </w:r>
      <w:r w:rsidRPr="00E56967">
        <w:rPr>
          <w:rFonts w:ascii="Times New Roman" w:hAnsi="Times New Roman" w:cs="Times New Roman"/>
        </w:rPr>
        <w:t>% da população, já em 2010 seu crescimen</w:t>
      </w:r>
      <w:r>
        <w:rPr>
          <w:rFonts w:ascii="Times New Roman" w:hAnsi="Times New Roman" w:cs="Times New Roman"/>
        </w:rPr>
        <w:t>to foi de 15,3</w:t>
      </w:r>
      <w:r w:rsidRPr="00E56967">
        <w:rPr>
          <w:rFonts w:ascii="Times New Roman" w:hAnsi="Times New Roman" w:cs="Times New Roman"/>
        </w:rPr>
        <w:t xml:space="preserve">% do total da população municipal. </w:t>
      </w:r>
    </w:p>
    <w:p w:rsidR="00AD48E4" w:rsidRPr="00E56967" w:rsidRDefault="00AD48E4" w:rsidP="005D5C15">
      <w:pPr>
        <w:pStyle w:val="CM71"/>
        <w:spacing w:line="360" w:lineRule="auto"/>
        <w:ind w:firstLine="708"/>
        <w:jc w:val="both"/>
        <w:rPr>
          <w:rFonts w:ascii="Times New Roman" w:hAnsi="Times New Roman" w:cs="Times New Roman"/>
        </w:rPr>
      </w:pPr>
      <w:r>
        <w:rPr>
          <w:rFonts w:ascii="Times New Roman" w:hAnsi="Times New Roman" w:cs="Times New Roman"/>
        </w:rPr>
        <w:t xml:space="preserve">O segmento etário de 0 a 25 </w:t>
      </w:r>
      <w:r w:rsidRPr="00E56967">
        <w:rPr>
          <w:rFonts w:ascii="Times New Roman" w:hAnsi="Times New Roman" w:cs="Times New Roman"/>
        </w:rPr>
        <w:t>anos registrou decresc</w:t>
      </w:r>
      <w:r>
        <w:rPr>
          <w:rFonts w:ascii="Times New Roman" w:hAnsi="Times New Roman" w:cs="Times New Roman"/>
        </w:rPr>
        <w:t xml:space="preserve">imento entre 2000 e 2010 de </w:t>
      </w:r>
      <w:r>
        <w:rPr>
          <w:rFonts w:ascii="Times New Roman" w:hAnsi="Times New Roman" w:cs="Times New Roman"/>
        </w:rPr>
        <w:softHyphen/>
        <w:t>1,63</w:t>
      </w:r>
      <w:r w:rsidRPr="00E56967">
        <w:rPr>
          <w:rFonts w:ascii="Times New Roman" w:hAnsi="Times New Roman" w:cs="Times New Roman"/>
        </w:rPr>
        <w:t>% ao ano. Cria</w:t>
      </w:r>
      <w:r>
        <w:rPr>
          <w:rFonts w:ascii="Times New Roman" w:hAnsi="Times New Roman" w:cs="Times New Roman"/>
        </w:rPr>
        <w:t>nças e jovens representavam 45,4</w:t>
      </w:r>
      <w:r w:rsidRPr="00E56967">
        <w:rPr>
          <w:rFonts w:ascii="Times New Roman" w:hAnsi="Times New Roman" w:cs="Times New Roman"/>
        </w:rPr>
        <w:t xml:space="preserve">% do contingente populacional em 2000, o que correspondia a </w:t>
      </w:r>
      <w:r>
        <w:rPr>
          <w:rFonts w:ascii="Times New Roman" w:hAnsi="Times New Roman" w:cs="Times New Roman"/>
        </w:rPr>
        <w:t>11.396</w:t>
      </w:r>
      <w:r w:rsidRPr="00E56967">
        <w:rPr>
          <w:rFonts w:ascii="Times New Roman" w:hAnsi="Times New Roman" w:cs="Times New Roman"/>
        </w:rPr>
        <w:t xml:space="preserve"> habitantes. Em 2010, a participação de</w:t>
      </w:r>
      <w:r>
        <w:rPr>
          <w:rFonts w:ascii="Times New Roman" w:hAnsi="Times New Roman" w:cs="Times New Roman"/>
        </w:rPr>
        <w:t xml:space="preserve">ste grupo foi reduzida para 38,2 </w:t>
      </w:r>
      <w:r w:rsidRPr="00E56967">
        <w:rPr>
          <w:rFonts w:ascii="Times New Roman" w:hAnsi="Times New Roman" w:cs="Times New Roman"/>
        </w:rPr>
        <w:t xml:space="preserve">% da população, totalizando </w:t>
      </w:r>
      <w:r>
        <w:rPr>
          <w:rFonts w:ascii="Times New Roman" w:hAnsi="Times New Roman" w:cs="Times New Roman"/>
        </w:rPr>
        <w:t>9.530</w:t>
      </w:r>
      <w:r w:rsidRPr="00E56967">
        <w:rPr>
          <w:rFonts w:ascii="Times New Roman" w:hAnsi="Times New Roman" w:cs="Times New Roman"/>
        </w:rPr>
        <w:t xml:space="preserve"> habitantes</w:t>
      </w:r>
    </w:p>
    <w:p w:rsidR="00AD48E4" w:rsidRDefault="00AD48E4" w:rsidP="005D5C15">
      <w:pPr>
        <w:pStyle w:val="CM71"/>
        <w:spacing w:line="360" w:lineRule="auto"/>
        <w:ind w:firstLine="708"/>
        <w:jc w:val="both"/>
        <w:rPr>
          <w:rFonts w:ascii="Times New Roman" w:hAnsi="Times New Roman" w:cs="Times New Roman"/>
        </w:rPr>
      </w:pPr>
      <w:r w:rsidRPr="00A40E97">
        <w:rPr>
          <w:rFonts w:ascii="Times New Roman" w:hAnsi="Times New Roman" w:cs="Times New Roman"/>
        </w:rPr>
        <w:t>A população residente no município na faixa etária entre 25 e 59 anos exibiu</w:t>
      </w:r>
      <w:r>
        <w:rPr>
          <w:rFonts w:ascii="Times New Roman" w:hAnsi="Times New Roman" w:cs="Times New Roman"/>
        </w:rPr>
        <w:t xml:space="preserve"> crescimento em média de, 1,03</w:t>
      </w:r>
      <w:r w:rsidRPr="00E56967">
        <w:rPr>
          <w:rFonts w:ascii="Times New Roman" w:hAnsi="Times New Roman" w:cs="Times New Roman"/>
        </w:rPr>
        <w:t xml:space="preserve">% ao ano, passando de </w:t>
      </w:r>
      <w:r>
        <w:rPr>
          <w:rFonts w:ascii="Times New Roman" w:hAnsi="Times New Roman" w:cs="Times New Roman"/>
        </w:rPr>
        <w:t>10.519</w:t>
      </w:r>
      <w:r w:rsidRPr="00E56967">
        <w:rPr>
          <w:rFonts w:ascii="Times New Roman" w:hAnsi="Times New Roman" w:cs="Times New Roman"/>
        </w:rPr>
        <w:t xml:space="preserve"> habitantes em 2000 para </w:t>
      </w:r>
      <w:r>
        <w:rPr>
          <w:rFonts w:ascii="Times New Roman" w:hAnsi="Times New Roman" w:cs="Times New Roman"/>
        </w:rPr>
        <w:t>11.611</w:t>
      </w:r>
      <w:r w:rsidRPr="00E56967">
        <w:rPr>
          <w:rFonts w:ascii="Times New Roman" w:hAnsi="Times New Roman" w:cs="Times New Roman"/>
        </w:rPr>
        <w:t xml:space="preserve"> em 2010. Em 2010, este grupo representava </w:t>
      </w:r>
      <w:r>
        <w:rPr>
          <w:rFonts w:ascii="Times New Roman" w:hAnsi="Times New Roman" w:cs="Times New Roman"/>
        </w:rPr>
        <w:t>46,5</w:t>
      </w:r>
      <w:r w:rsidRPr="00E56967">
        <w:rPr>
          <w:rFonts w:ascii="Times New Roman" w:hAnsi="Times New Roman" w:cs="Times New Roman"/>
        </w:rPr>
        <w:t>% da população do município. Estes dados po</w:t>
      </w:r>
      <w:r>
        <w:rPr>
          <w:rFonts w:ascii="Times New Roman" w:hAnsi="Times New Roman" w:cs="Times New Roman"/>
        </w:rPr>
        <w:t xml:space="preserve">dem ser visualizados nas Figuras </w:t>
      </w:r>
      <w:r w:rsidR="00000904">
        <w:rPr>
          <w:rFonts w:ascii="Times New Roman" w:hAnsi="Times New Roman" w:cs="Times New Roman"/>
        </w:rPr>
        <w:t>7</w:t>
      </w:r>
      <w:r>
        <w:rPr>
          <w:rFonts w:ascii="Times New Roman" w:hAnsi="Times New Roman" w:cs="Times New Roman"/>
        </w:rPr>
        <w:t xml:space="preserve"> e </w:t>
      </w:r>
      <w:r w:rsidR="00000904">
        <w:rPr>
          <w:rFonts w:ascii="Times New Roman" w:hAnsi="Times New Roman" w:cs="Times New Roman"/>
        </w:rPr>
        <w:t>8</w:t>
      </w:r>
      <w:r w:rsidRPr="00E56967">
        <w:rPr>
          <w:rFonts w:ascii="Times New Roman" w:hAnsi="Times New Roman" w:cs="Times New Roman"/>
        </w:rPr>
        <w:t>.</w:t>
      </w:r>
      <w:r w:rsidRPr="004E03A9">
        <w:rPr>
          <w:rFonts w:ascii="Times New Roman" w:hAnsi="Times New Roman" w:cs="Times New Roman"/>
        </w:rPr>
        <w:t xml:space="preserve"> </w:t>
      </w:r>
    </w:p>
    <w:p w:rsidR="005D5C15" w:rsidRPr="004E03A9" w:rsidRDefault="005D5C15" w:rsidP="00924AB9">
      <w:pPr>
        <w:pStyle w:val="CM73"/>
        <w:spacing w:line="360" w:lineRule="auto"/>
        <w:ind w:firstLine="709"/>
        <w:jc w:val="both"/>
        <w:rPr>
          <w:rFonts w:ascii="Times New Roman" w:hAnsi="Times New Roman" w:cs="Times New Roman"/>
        </w:rPr>
      </w:pPr>
      <w:r w:rsidRPr="00493435">
        <w:rPr>
          <w:rFonts w:ascii="Times New Roman" w:hAnsi="Times New Roman" w:cs="Times New Roman"/>
        </w:rPr>
        <w:t xml:space="preserve">Com relação à distribuição </w:t>
      </w:r>
      <w:r>
        <w:rPr>
          <w:rFonts w:ascii="Times New Roman" w:hAnsi="Times New Roman" w:cs="Times New Roman"/>
        </w:rPr>
        <w:t xml:space="preserve">etária por sexo (Figura </w:t>
      </w:r>
      <w:r w:rsidR="00000904">
        <w:rPr>
          <w:rFonts w:ascii="Times New Roman" w:hAnsi="Times New Roman" w:cs="Times New Roman"/>
        </w:rPr>
        <w:t>8</w:t>
      </w:r>
      <w:r w:rsidRPr="00493435">
        <w:rPr>
          <w:rFonts w:ascii="Times New Roman" w:hAnsi="Times New Roman" w:cs="Times New Roman"/>
        </w:rPr>
        <w:t xml:space="preserve">), segundo o Censo de 2010 a </w:t>
      </w:r>
      <w:r w:rsidRPr="00493435">
        <w:rPr>
          <w:rFonts w:ascii="Times New Roman" w:hAnsi="Times New Roman" w:cs="Times New Roman"/>
        </w:rPr>
        <w:lastRenderedPageBreak/>
        <w:t xml:space="preserve">população do município de </w:t>
      </w:r>
      <w:r>
        <w:rPr>
          <w:rFonts w:ascii="Times New Roman" w:hAnsi="Times New Roman" w:cs="Times New Roman"/>
        </w:rPr>
        <w:t>Aimorés</w:t>
      </w:r>
      <w:r w:rsidRPr="00493435">
        <w:rPr>
          <w:rFonts w:ascii="Times New Roman" w:hAnsi="Times New Roman" w:cs="Times New Roman"/>
        </w:rPr>
        <w:t xml:space="preserve"> mostra uma similaridade entre os dados da população de zero e 34 anos com peq</w:t>
      </w:r>
      <w:r>
        <w:rPr>
          <w:rFonts w:ascii="Times New Roman" w:hAnsi="Times New Roman" w:cs="Times New Roman"/>
        </w:rPr>
        <w:t>uena vantagem em números para as mulheres</w:t>
      </w:r>
      <w:r w:rsidRPr="00493435">
        <w:rPr>
          <w:rFonts w:ascii="Times New Roman" w:hAnsi="Times New Roman" w:cs="Times New Roman"/>
        </w:rPr>
        <w:t xml:space="preserve">. A partir dessa idade, os números </w:t>
      </w:r>
      <w:r>
        <w:rPr>
          <w:rFonts w:ascii="Times New Roman" w:hAnsi="Times New Roman" w:cs="Times New Roman"/>
        </w:rPr>
        <w:t>d</w:t>
      </w:r>
      <w:r w:rsidRPr="00493435">
        <w:rPr>
          <w:rFonts w:ascii="Times New Roman" w:hAnsi="Times New Roman" w:cs="Times New Roman"/>
        </w:rPr>
        <w:t>a população de mulheres passa a ser mais representativa. É possível aferir, inclusive, que a longevidade é maior para as mulheres que para os homens.</w:t>
      </w:r>
      <w:r w:rsidRPr="004E03A9">
        <w:rPr>
          <w:rFonts w:ascii="Times New Roman" w:hAnsi="Times New Roman" w:cs="Times New Roman"/>
        </w:rPr>
        <w:t xml:space="preserve"> </w:t>
      </w:r>
    </w:p>
    <w:p w:rsidR="00AD48E4" w:rsidRDefault="001E178D" w:rsidP="001E178D">
      <w:pPr>
        <w:pStyle w:val="Legenda"/>
        <w:rPr>
          <w:b w:val="0"/>
          <w:bCs w:val="0"/>
        </w:rPr>
      </w:pPr>
      <w:bookmarkStart w:id="36" w:name="_Toc372740090"/>
      <w:r>
        <w:t xml:space="preserve">Figura </w:t>
      </w:r>
      <w:fldSimple w:instr=" SEQ Figura \* ARABIC ">
        <w:r w:rsidR="004F77E2">
          <w:rPr>
            <w:noProof/>
          </w:rPr>
          <w:t>7</w:t>
        </w:r>
      </w:fldSimple>
      <w:r>
        <w:t xml:space="preserve"> - </w:t>
      </w:r>
      <w:r w:rsidRPr="00BB01DC">
        <w:rPr>
          <w:noProof/>
        </w:rPr>
        <w:t>Estrutura etária da população nos anos de 2000.</w:t>
      </w:r>
      <w:bookmarkEnd w:id="36"/>
    </w:p>
    <w:p w:rsidR="00AD48E4" w:rsidRPr="00643036" w:rsidRDefault="00AD48E4" w:rsidP="00643036">
      <w:pPr>
        <w:pStyle w:val="Default"/>
        <w:spacing w:before="120" w:line="360" w:lineRule="auto"/>
        <w:rPr>
          <w:rFonts w:ascii="Times New Roman" w:hAnsi="Times New Roman" w:cs="Times New Roman"/>
          <w:sz w:val="20"/>
          <w:szCs w:val="20"/>
        </w:rPr>
      </w:pPr>
      <w:r w:rsidRPr="00D40F0A">
        <w:rPr>
          <w:rFonts w:ascii="Times New Roman" w:hAnsi="Times New Roman" w:cs="Times New Roman"/>
          <w:b/>
          <w:bCs/>
          <w:noProof/>
          <w:bdr w:val="single" w:sz="6" w:space="0" w:color="auto"/>
        </w:rPr>
        <w:drawing>
          <wp:inline distT="0" distB="0" distL="0" distR="0" wp14:anchorId="07D64905" wp14:editId="42BBF79E">
            <wp:extent cx="5752624" cy="3332924"/>
            <wp:effectExtent l="19050" t="0" r="476" b="0"/>
            <wp:docPr id="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RÂMIDE ETÁRIA 200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9413" cy="3336857"/>
                    </a:xfrm>
                    <a:prstGeom prst="rect">
                      <a:avLst/>
                    </a:prstGeom>
                  </pic:spPr>
                </pic:pic>
              </a:graphicData>
            </a:graphic>
          </wp:inline>
        </w:drawing>
      </w:r>
      <w:r w:rsidRPr="00643036">
        <w:rPr>
          <w:rFonts w:ascii="Times New Roman" w:hAnsi="Times New Roman" w:cs="Times New Roman"/>
          <w:sz w:val="20"/>
          <w:szCs w:val="20"/>
        </w:rPr>
        <w:t>Fonte: IBGE, 2010.</w:t>
      </w:r>
    </w:p>
    <w:p w:rsidR="00AD48E4" w:rsidRDefault="00AD48E4" w:rsidP="00AD48E4">
      <w:pPr>
        <w:spacing w:after="200" w:line="276" w:lineRule="auto"/>
        <w:rPr>
          <w:rFonts w:eastAsiaTheme="minorEastAsia" w:cs="Times New Roman"/>
          <w:bCs/>
          <w:szCs w:val="24"/>
          <w:lang w:eastAsia="pt-BR"/>
        </w:rPr>
      </w:pPr>
      <w:r>
        <w:br w:type="page"/>
      </w:r>
    </w:p>
    <w:p w:rsidR="00AD48E4" w:rsidRDefault="001E178D" w:rsidP="001E178D">
      <w:pPr>
        <w:pStyle w:val="Legenda"/>
      </w:pPr>
      <w:bookmarkStart w:id="37" w:name="_Toc372740091"/>
      <w:r>
        <w:lastRenderedPageBreak/>
        <w:t xml:space="preserve">Figura </w:t>
      </w:r>
      <w:fldSimple w:instr=" SEQ Figura \* ARABIC ">
        <w:r w:rsidR="004F77E2">
          <w:rPr>
            <w:noProof/>
          </w:rPr>
          <w:t>8</w:t>
        </w:r>
      </w:fldSimple>
      <w:r>
        <w:t xml:space="preserve"> - </w:t>
      </w:r>
      <w:r w:rsidRPr="00F97EE5">
        <w:rPr>
          <w:noProof/>
        </w:rPr>
        <w:t>Estrutura etária da população nos anos de 2010.</w:t>
      </w:r>
      <w:bookmarkEnd w:id="37"/>
    </w:p>
    <w:p w:rsidR="00AD48E4" w:rsidRPr="00643036" w:rsidRDefault="00AD48E4" w:rsidP="00643036">
      <w:pPr>
        <w:pStyle w:val="Default"/>
        <w:spacing w:before="120" w:after="120" w:line="360" w:lineRule="auto"/>
        <w:rPr>
          <w:rFonts w:ascii="Times New Roman" w:hAnsi="Times New Roman" w:cs="Times New Roman"/>
          <w:sz w:val="20"/>
          <w:szCs w:val="20"/>
        </w:rPr>
      </w:pPr>
      <w:r w:rsidRPr="00493435">
        <w:rPr>
          <w:rFonts w:ascii="Times New Roman" w:hAnsi="Times New Roman" w:cs="Times New Roman"/>
          <w:b/>
          <w:bCs/>
          <w:noProof/>
          <w:bdr w:val="single" w:sz="6" w:space="0" w:color="auto"/>
        </w:rPr>
        <w:drawing>
          <wp:inline distT="0" distB="0" distL="0" distR="0" wp14:anchorId="40174815" wp14:editId="583525BE">
            <wp:extent cx="5713840" cy="3381674"/>
            <wp:effectExtent l="19050" t="0" r="1160" b="0"/>
            <wp:docPr id="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RÂMIDE ETÁRIA.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20583" cy="3385665"/>
                    </a:xfrm>
                    <a:prstGeom prst="rect">
                      <a:avLst/>
                    </a:prstGeom>
                  </pic:spPr>
                </pic:pic>
              </a:graphicData>
            </a:graphic>
          </wp:inline>
        </w:drawing>
      </w:r>
      <w:r w:rsidRPr="00643036">
        <w:rPr>
          <w:rFonts w:ascii="Times New Roman" w:hAnsi="Times New Roman" w:cs="Times New Roman"/>
          <w:sz w:val="20"/>
          <w:szCs w:val="20"/>
        </w:rPr>
        <w:t>Fonte: IBGE, 2010.</w:t>
      </w:r>
    </w:p>
    <w:p w:rsidR="00AD48E4" w:rsidRPr="004E03A9" w:rsidRDefault="00000904" w:rsidP="00971B37">
      <w:pPr>
        <w:pStyle w:val="Titulo"/>
      </w:pPr>
      <w:bookmarkStart w:id="38" w:name="_Toc372559025"/>
      <w:bookmarkStart w:id="39" w:name="_Toc372789480"/>
      <w:r>
        <w:t xml:space="preserve">6.4 </w:t>
      </w:r>
      <w:r w:rsidR="00AD48E4" w:rsidRPr="008439FA">
        <w:t>Histórico</w:t>
      </w:r>
      <w:bookmarkEnd w:id="38"/>
      <w:bookmarkEnd w:id="39"/>
    </w:p>
    <w:p w:rsidR="00AD48E4" w:rsidRPr="004E03A9" w:rsidRDefault="00AD48E4" w:rsidP="00924AB9">
      <w:pPr>
        <w:pStyle w:val="CM72"/>
        <w:spacing w:line="360" w:lineRule="auto"/>
        <w:ind w:firstLine="709"/>
        <w:jc w:val="both"/>
        <w:rPr>
          <w:rFonts w:ascii="Times New Roman" w:hAnsi="Times New Roman" w:cs="Times New Roman"/>
        </w:rPr>
      </w:pPr>
      <w:r w:rsidRPr="004E03A9">
        <w:rPr>
          <w:rFonts w:ascii="Times New Roman" w:hAnsi="Times New Roman" w:cs="Times New Roman"/>
        </w:rPr>
        <w:t xml:space="preserve">O desbravamento da região onde fica o Município de Aimorés data de </w:t>
      </w:r>
      <w:r>
        <w:rPr>
          <w:rFonts w:ascii="Times New Roman" w:hAnsi="Times New Roman" w:cs="Times New Roman"/>
        </w:rPr>
        <w:t xml:space="preserve">período entre </w:t>
      </w:r>
      <w:r w:rsidRPr="004E03A9">
        <w:rPr>
          <w:rFonts w:ascii="Times New Roman" w:hAnsi="Times New Roman" w:cs="Times New Roman"/>
        </w:rPr>
        <w:t xml:space="preserve">1856 a 1860, quando os primeiros posseiros, os irmãos João e Luís de Aguiar e um cunhado de nome Inácio Mançores, vindos da Paraíba do Sul (RJ), chegaram </w:t>
      </w:r>
      <w:r>
        <w:rPr>
          <w:rFonts w:ascii="Times New Roman" w:hAnsi="Times New Roman" w:cs="Times New Roman"/>
        </w:rPr>
        <w:t>à</w:t>
      </w:r>
      <w:r w:rsidRPr="004E03A9">
        <w:rPr>
          <w:rFonts w:ascii="Times New Roman" w:hAnsi="Times New Roman" w:cs="Times New Roman"/>
        </w:rPr>
        <w:t xml:space="preserve"> propriedade do Tenente Francisco Ferreira da Silva, no Município de Manhuaçu, ganharam as cabeceiras do rio Pocrane, no Município de Ipanema, seguiram margeando-o até o rio Manhuaçu, por este desceram até a confluência com o rio Doce. Como o lugar oferec</w:t>
      </w:r>
      <w:r>
        <w:rPr>
          <w:rFonts w:ascii="Times New Roman" w:hAnsi="Times New Roman" w:cs="Times New Roman"/>
        </w:rPr>
        <w:t>ia</w:t>
      </w:r>
      <w:r w:rsidRPr="004E03A9">
        <w:rPr>
          <w:rFonts w:ascii="Times New Roman" w:hAnsi="Times New Roman" w:cs="Times New Roman"/>
        </w:rPr>
        <w:t xml:space="preserve"> vantagens econômicas, com seu solo fértil, caça abundante e rios piscosos, estabeleceram-se como produtores rurais e mineradores em busca de ouro e pedras preciosas. Só por volta de 1870 vieram para o município os desbravadores com o verdadeiro propósito de implantar o progresso através da agricultura e da pecuária. Entre esses destaca-se Paulo Martins dos Santos.</w:t>
      </w:r>
    </w:p>
    <w:p w:rsidR="00AD48E4" w:rsidRPr="004E03A9" w:rsidRDefault="00AD48E4" w:rsidP="00924AB9">
      <w:pPr>
        <w:pStyle w:val="CM72"/>
        <w:spacing w:line="360" w:lineRule="auto"/>
        <w:ind w:firstLine="709"/>
        <w:jc w:val="both"/>
        <w:rPr>
          <w:rFonts w:ascii="Times New Roman" w:hAnsi="Times New Roman" w:cs="Times New Roman"/>
        </w:rPr>
      </w:pPr>
      <w:r w:rsidRPr="004E03A9">
        <w:rPr>
          <w:rFonts w:ascii="Times New Roman" w:hAnsi="Times New Roman" w:cs="Times New Roman"/>
        </w:rPr>
        <w:t xml:space="preserve">Denominaram a nova terra de Natividade. Incentivaram a agricultura, a pecuária e foram aos poucos povoando o local que até então era dominado pela tribo dos </w:t>
      </w:r>
      <w:r>
        <w:rPr>
          <w:rFonts w:ascii="Times New Roman" w:hAnsi="Times New Roman" w:cs="Times New Roman"/>
        </w:rPr>
        <w:t>T</w:t>
      </w:r>
      <w:r w:rsidRPr="004E03A9">
        <w:rPr>
          <w:rFonts w:ascii="Times New Roman" w:hAnsi="Times New Roman" w:cs="Times New Roman"/>
        </w:rPr>
        <w:t xml:space="preserve">apuias ou </w:t>
      </w:r>
      <w:r w:rsidRPr="0035032C">
        <w:rPr>
          <w:rFonts w:ascii="Times New Roman" w:hAnsi="Times New Roman" w:cs="Times New Roman"/>
          <w:i/>
        </w:rPr>
        <w:t>A</w:t>
      </w:r>
      <w:r w:rsidRPr="00A1581B">
        <w:rPr>
          <w:rFonts w:ascii="Times New Roman" w:hAnsi="Times New Roman" w:cs="Times New Roman"/>
          <w:i/>
        </w:rPr>
        <w:t>imures</w:t>
      </w:r>
      <w:r w:rsidRPr="004E03A9">
        <w:rPr>
          <w:rFonts w:ascii="Times New Roman" w:hAnsi="Times New Roman" w:cs="Times New Roman"/>
        </w:rPr>
        <w:t>.</w:t>
      </w:r>
      <w:r>
        <w:rPr>
          <w:rFonts w:ascii="Times New Roman" w:hAnsi="Times New Roman" w:cs="Times New Roman"/>
        </w:rPr>
        <w:t xml:space="preserve"> </w:t>
      </w:r>
      <w:r w:rsidRPr="004E03A9">
        <w:rPr>
          <w:rFonts w:ascii="Times New Roman" w:hAnsi="Times New Roman" w:cs="Times New Roman"/>
        </w:rPr>
        <w:t xml:space="preserve">Outras pessoas foram atraídas pela notícia da fertilidade e riqueza da zona e para </w:t>
      </w:r>
      <w:r w:rsidRPr="004E03A9">
        <w:rPr>
          <w:rFonts w:ascii="Times New Roman" w:hAnsi="Times New Roman" w:cs="Times New Roman"/>
        </w:rPr>
        <w:lastRenderedPageBreak/>
        <w:t>lá se dirigiram, crescendo assim a localidade.</w:t>
      </w:r>
    </w:p>
    <w:p w:rsidR="00AD48E4" w:rsidRPr="004E03A9" w:rsidRDefault="00AD48E4" w:rsidP="00924AB9">
      <w:pPr>
        <w:pStyle w:val="CM72"/>
        <w:spacing w:line="360" w:lineRule="auto"/>
        <w:ind w:firstLine="708"/>
        <w:jc w:val="both"/>
        <w:rPr>
          <w:rFonts w:ascii="Times New Roman" w:hAnsi="Times New Roman" w:cs="Times New Roman"/>
        </w:rPr>
      </w:pPr>
      <w:r w:rsidRPr="004E03A9">
        <w:rPr>
          <w:rFonts w:ascii="Times New Roman" w:hAnsi="Times New Roman" w:cs="Times New Roman"/>
        </w:rPr>
        <w:t>Em 1915 passou a chamar-se Aimorés, em homenagem aos habitantes primitivos da terra, os índios botocudos do grupo "</w:t>
      </w:r>
      <w:r w:rsidRPr="00A1581B">
        <w:rPr>
          <w:rFonts w:ascii="Times New Roman" w:hAnsi="Times New Roman" w:cs="Times New Roman"/>
          <w:i/>
        </w:rPr>
        <w:t>aimure/guimaré</w:t>
      </w:r>
      <w:r w:rsidRPr="004E03A9">
        <w:rPr>
          <w:rFonts w:ascii="Times New Roman" w:hAnsi="Times New Roman" w:cs="Times New Roman"/>
        </w:rPr>
        <w:t>" (</w:t>
      </w:r>
      <w:r>
        <w:rPr>
          <w:rFonts w:ascii="Times New Roman" w:hAnsi="Times New Roman" w:cs="Times New Roman"/>
        </w:rPr>
        <w:t>A</w:t>
      </w:r>
      <w:r w:rsidRPr="004E03A9">
        <w:rPr>
          <w:rFonts w:ascii="Times New Roman" w:hAnsi="Times New Roman" w:cs="Times New Roman"/>
        </w:rPr>
        <w:t>imoré).</w:t>
      </w:r>
    </w:p>
    <w:p w:rsidR="00AD48E4" w:rsidRPr="004E03A9" w:rsidRDefault="00AD48E4" w:rsidP="00924AB9">
      <w:pPr>
        <w:pStyle w:val="CM72"/>
        <w:spacing w:line="360" w:lineRule="auto"/>
        <w:ind w:firstLine="708"/>
        <w:jc w:val="both"/>
        <w:rPr>
          <w:rFonts w:ascii="Times New Roman" w:hAnsi="Times New Roman" w:cs="Times New Roman"/>
        </w:rPr>
      </w:pPr>
      <w:r w:rsidRPr="004E03A9">
        <w:rPr>
          <w:rFonts w:ascii="Times New Roman" w:hAnsi="Times New Roman" w:cs="Times New Roman"/>
        </w:rPr>
        <w:t>Devido ao litígio em relação às suas divisas com o estado vizinho do Espírito Santo são frequentes os atos ou termos em duplicata, criando seus distritos.</w:t>
      </w:r>
    </w:p>
    <w:p w:rsidR="00AD48E4" w:rsidRPr="00D70400" w:rsidRDefault="00AD48E4" w:rsidP="00924AB9">
      <w:pPr>
        <w:pStyle w:val="CM72"/>
        <w:spacing w:line="360" w:lineRule="auto"/>
        <w:ind w:firstLine="708"/>
        <w:jc w:val="both"/>
        <w:rPr>
          <w:rFonts w:ascii="Times New Roman" w:hAnsi="Times New Roman" w:cs="Times New Roman"/>
          <w:spacing w:val="-8"/>
        </w:rPr>
      </w:pPr>
      <w:r w:rsidRPr="00D70400">
        <w:rPr>
          <w:rFonts w:ascii="Times New Roman" w:hAnsi="Times New Roman" w:cs="Times New Roman"/>
          <w:spacing w:val="-8"/>
        </w:rPr>
        <w:t>Distrito criado com a denominação de Barra do Manhuaçu, pela lei estadual nº 556, de 30/08/1911, na antiga povoação de Natividade da Barra do Manhuaçu. Tendo sido constituído com parte do território transferido do Estado do Espírito Santo. Sendo a transferência desta parte ratificada pelo Laudo Arbitral firmado pelos dois estados em 30/11/1914.</w:t>
      </w:r>
    </w:p>
    <w:p w:rsidR="00AD48E4" w:rsidRPr="004E03A9" w:rsidRDefault="00AD48E4" w:rsidP="00924AB9">
      <w:pPr>
        <w:pStyle w:val="CM72"/>
        <w:spacing w:line="360" w:lineRule="auto"/>
        <w:ind w:firstLine="708"/>
        <w:jc w:val="both"/>
        <w:rPr>
          <w:rFonts w:ascii="Times New Roman" w:hAnsi="Times New Roman" w:cs="Times New Roman"/>
        </w:rPr>
      </w:pPr>
      <w:r w:rsidRPr="004E03A9">
        <w:rPr>
          <w:rFonts w:ascii="Times New Roman" w:hAnsi="Times New Roman" w:cs="Times New Roman"/>
        </w:rPr>
        <w:t>A Lei nº 663, de 18/09/1915, criou o distrito de Aimorés.</w:t>
      </w:r>
      <w:r>
        <w:rPr>
          <w:rFonts w:ascii="Times New Roman" w:hAnsi="Times New Roman" w:cs="Times New Roman"/>
        </w:rPr>
        <w:t xml:space="preserve"> </w:t>
      </w:r>
      <w:r w:rsidRPr="004E03A9">
        <w:rPr>
          <w:rFonts w:ascii="Times New Roman" w:hAnsi="Times New Roman" w:cs="Times New Roman"/>
        </w:rPr>
        <w:t xml:space="preserve">Elevado </w:t>
      </w:r>
      <w:r>
        <w:rPr>
          <w:rFonts w:ascii="Times New Roman" w:hAnsi="Times New Roman" w:cs="Times New Roman"/>
        </w:rPr>
        <w:t>à</w:t>
      </w:r>
      <w:r w:rsidRPr="004E03A9">
        <w:rPr>
          <w:rFonts w:ascii="Times New Roman" w:hAnsi="Times New Roman" w:cs="Times New Roman"/>
        </w:rPr>
        <w:t xml:space="preserve"> categoria de município com a denominação de Aimorés, pela lei estadual nº 673, de 05/09/1916, desmembrado do município de Rio José Pedro, mais tarde denominado Ipanema. Sede </w:t>
      </w:r>
      <w:r>
        <w:rPr>
          <w:rFonts w:ascii="Times New Roman" w:hAnsi="Times New Roman" w:cs="Times New Roman"/>
        </w:rPr>
        <w:t>d</w:t>
      </w:r>
      <w:r w:rsidRPr="004E03A9">
        <w:rPr>
          <w:rFonts w:ascii="Times New Roman" w:hAnsi="Times New Roman" w:cs="Times New Roman"/>
        </w:rPr>
        <w:t>a povoação de Natividade. Constituído de 5 distritos: Aimorés, São Sebastião do Alto Capim, Penha do Capim, e São Benedito, todos criados pela mesma lei supracitada. Ainda por esta lei, Aimorés adquiriu do município de Caratinga o distrito de Resplendor. O município de Aimorés foi instalado em 24/02/1917.</w:t>
      </w:r>
    </w:p>
    <w:p w:rsidR="00AD48E4" w:rsidRPr="004E03A9" w:rsidRDefault="00AD48E4" w:rsidP="00924AB9">
      <w:pPr>
        <w:pStyle w:val="CM72"/>
        <w:spacing w:line="360" w:lineRule="auto"/>
        <w:ind w:firstLine="708"/>
        <w:jc w:val="both"/>
        <w:rPr>
          <w:rFonts w:ascii="Times New Roman" w:hAnsi="Times New Roman" w:cs="Times New Roman"/>
        </w:rPr>
      </w:pPr>
      <w:r w:rsidRPr="004E03A9">
        <w:rPr>
          <w:rFonts w:ascii="Times New Roman" w:hAnsi="Times New Roman" w:cs="Times New Roman"/>
        </w:rPr>
        <w:t xml:space="preserve">Nos quadros do recenseamento geral de 01/09/1920, o município </w:t>
      </w:r>
      <w:r>
        <w:rPr>
          <w:rFonts w:ascii="Times New Roman" w:hAnsi="Times New Roman" w:cs="Times New Roman"/>
        </w:rPr>
        <w:t>era</w:t>
      </w:r>
      <w:r w:rsidRPr="004E03A9">
        <w:rPr>
          <w:rFonts w:ascii="Times New Roman" w:hAnsi="Times New Roman" w:cs="Times New Roman"/>
        </w:rPr>
        <w:t xml:space="preserve"> constituído de 5 distritos: Aimorés, Alto Capim, Penha do Capim, Resplendor e São Benedito.</w:t>
      </w:r>
      <w:r>
        <w:rPr>
          <w:rFonts w:ascii="Times New Roman" w:hAnsi="Times New Roman" w:cs="Times New Roman"/>
        </w:rPr>
        <w:t xml:space="preserve"> </w:t>
      </w:r>
      <w:r w:rsidRPr="004E03A9">
        <w:rPr>
          <w:rFonts w:ascii="Times New Roman" w:hAnsi="Times New Roman" w:cs="Times New Roman"/>
        </w:rPr>
        <w:t>Pela lei estadual nº 843, de 07/09/1923, o distrito de Alto Capim passou a denominar-se São Sebastião do Alto Capim e São Benedito a chamar-se Tabaúna.</w:t>
      </w:r>
    </w:p>
    <w:p w:rsidR="00AD48E4" w:rsidRPr="004E03A9" w:rsidRDefault="00AD48E4" w:rsidP="00924AB9">
      <w:pPr>
        <w:pStyle w:val="CM72"/>
        <w:spacing w:line="360" w:lineRule="auto"/>
        <w:ind w:firstLine="708"/>
        <w:jc w:val="both"/>
        <w:rPr>
          <w:rFonts w:ascii="Times New Roman" w:hAnsi="Times New Roman" w:cs="Times New Roman"/>
        </w:rPr>
      </w:pPr>
      <w:r w:rsidRPr="004E03A9">
        <w:rPr>
          <w:rFonts w:ascii="Times New Roman" w:hAnsi="Times New Roman" w:cs="Times New Roman"/>
        </w:rPr>
        <w:t>Elevado à condição de cidade com a denominação de Aimorés, pela lei estadual n.º 893, 10/09/1925.</w:t>
      </w:r>
      <w:r>
        <w:rPr>
          <w:rFonts w:ascii="Times New Roman" w:hAnsi="Times New Roman" w:cs="Times New Roman"/>
        </w:rPr>
        <w:t xml:space="preserve"> </w:t>
      </w:r>
      <w:r w:rsidRPr="004E03A9">
        <w:rPr>
          <w:rFonts w:ascii="Times New Roman" w:hAnsi="Times New Roman" w:cs="Times New Roman"/>
        </w:rPr>
        <w:t>Em divisão administrativa referente ao ano de 1933, o município é constituído de 5 distritos: Aimorés, Penha do Capim, Resplendor, São Sebastião do Alto Capim (ex-Alto Capim) e Tabaúna (ex-São Benedito). Assim permanecendo em divisões territoriais datadas de 31/12/1936 e 31/12/1937.</w:t>
      </w:r>
    </w:p>
    <w:p w:rsidR="00AD48E4" w:rsidRPr="004E03A9" w:rsidRDefault="00AD48E4" w:rsidP="00924AB9">
      <w:pPr>
        <w:pStyle w:val="CM72"/>
        <w:spacing w:line="360" w:lineRule="auto"/>
        <w:ind w:firstLine="708"/>
        <w:jc w:val="both"/>
        <w:rPr>
          <w:rFonts w:ascii="Times New Roman" w:hAnsi="Times New Roman" w:cs="Times New Roman"/>
        </w:rPr>
      </w:pPr>
      <w:r w:rsidRPr="004E03A9">
        <w:rPr>
          <w:rFonts w:ascii="Times New Roman" w:hAnsi="Times New Roman" w:cs="Times New Roman"/>
        </w:rPr>
        <w:t xml:space="preserve">Pelo decreto-lei estadual nº 148, de 17/12/1938, </w:t>
      </w:r>
      <w:r>
        <w:rPr>
          <w:rFonts w:ascii="Times New Roman" w:hAnsi="Times New Roman" w:cs="Times New Roman"/>
        </w:rPr>
        <w:t xml:space="preserve">se </w:t>
      </w:r>
      <w:r w:rsidRPr="004E03A9">
        <w:rPr>
          <w:rFonts w:ascii="Times New Roman" w:hAnsi="Times New Roman" w:cs="Times New Roman"/>
        </w:rPr>
        <w:t>desmembra do município de Aimorés o distrito de Resplendor. Elevado à categoria de município e também pela lei supracitada o distrito de São Sebastião do Alto Capim voltou a chamar-se Alto Capim.</w:t>
      </w:r>
    </w:p>
    <w:p w:rsidR="00AD48E4" w:rsidRPr="004E03A9" w:rsidRDefault="00AD48E4" w:rsidP="00924AB9">
      <w:pPr>
        <w:pStyle w:val="CM72"/>
        <w:spacing w:line="360" w:lineRule="auto"/>
        <w:ind w:firstLine="708"/>
        <w:jc w:val="both"/>
        <w:rPr>
          <w:rFonts w:ascii="Times New Roman" w:hAnsi="Times New Roman" w:cs="Times New Roman"/>
        </w:rPr>
      </w:pPr>
      <w:r w:rsidRPr="004E03A9">
        <w:rPr>
          <w:rFonts w:ascii="Times New Roman" w:hAnsi="Times New Roman" w:cs="Times New Roman"/>
        </w:rPr>
        <w:t xml:space="preserve">No quadro fixado para vigorar no período de 1939-1943, o município é constituído de 4 distritos: Aimorés, Alto Capim (ex-São Sebastião do Alto Capim), Penha do Capim e </w:t>
      </w:r>
      <w:r w:rsidR="00885F7E" w:rsidRPr="004E03A9">
        <w:rPr>
          <w:rFonts w:ascii="Times New Roman" w:hAnsi="Times New Roman" w:cs="Times New Roman"/>
        </w:rPr>
        <w:lastRenderedPageBreak/>
        <w:t>Tabaúna</w:t>
      </w:r>
      <w:r w:rsidRPr="004E03A9">
        <w:rPr>
          <w:rFonts w:ascii="Times New Roman" w:hAnsi="Times New Roman" w:cs="Times New Roman"/>
        </w:rPr>
        <w:t>.</w:t>
      </w:r>
    </w:p>
    <w:p w:rsidR="00AD48E4" w:rsidRPr="004E03A9" w:rsidRDefault="00AD48E4" w:rsidP="00924AB9">
      <w:pPr>
        <w:pStyle w:val="CM72"/>
        <w:spacing w:line="360" w:lineRule="auto"/>
        <w:ind w:firstLine="708"/>
        <w:jc w:val="both"/>
        <w:rPr>
          <w:rFonts w:ascii="Times New Roman" w:hAnsi="Times New Roman" w:cs="Times New Roman"/>
        </w:rPr>
      </w:pPr>
      <w:r w:rsidRPr="004E03A9">
        <w:rPr>
          <w:rFonts w:ascii="Times New Roman" w:hAnsi="Times New Roman" w:cs="Times New Roman"/>
        </w:rPr>
        <w:t>Pela lei estadual nº 336, de 27/12/1948, são criados os distritos de Conceição do Capim, criado com terras desmembradas dos distritos de Aimorés (distrito sede), Penha do Capim e Tabaúna e o Distrito de Expedicionário Alicio, ex-povoado de Mata Três, criado com terra desmembrada do distrito de Penha do Capim e anexados ao município de Aimorés.</w:t>
      </w:r>
    </w:p>
    <w:p w:rsidR="00AD48E4" w:rsidRPr="004E03A9" w:rsidRDefault="00AD48E4" w:rsidP="00924AB9">
      <w:pPr>
        <w:pStyle w:val="CM72"/>
        <w:spacing w:line="360" w:lineRule="auto"/>
        <w:ind w:firstLine="708"/>
        <w:jc w:val="both"/>
        <w:rPr>
          <w:rFonts w:ascii="Times New Roman" w:hAnsi="Times New Roman" w:cs="Times New Roman"/>
        </w:rPr>
      </w:pPr>
      <w:r w:rsidRPr="004E03A9">
        <w:rPr>
          <w:rFonts w:ascii="Times New Roman" w:hAnsi="Times New Roman" w:cs="Times New Roman"/>
        </w:rPr>
        <w:t>Em divisão territorial datada de 01/07/1950, o município é constituído de 6 distritos: Aimorés, Alto Capim, Conceição do Capim, Expedicionário Alicio, Penha do Capim e Tabaúna. Assim permanecendo em divisão territorial datada de 01/07/1960.</w:t>
      </w:r>
    </w:p>
    <w:p w:rsidR="00AD48E4" w:rsidRPr="004E03A9" w:rsidRDefault="00AD48E4" w:rsidP="00924AB9">
      <w:pPr>
        <w:pStyle w:val="CM72"/>
        <w:spacing w:line="360" w:lineRule="auto"/>
        <w:ind w:firstLine="708"/>
        <w:jc w:val="both"/>
        <w:rPr>
          <w:rFonts w:ascii="Times New Roman" w:hAnsi="Times New Roman" w:cs="Times New Roman"/>
        </w:rPr>
      </w:pPr>
      <w:r w:rsidRPr="004E03A9">
        <w:rPr>
          <w:rFonts w:ascii="Times New Roman" w:hAnsi="Times New Roman" w:cs="Times New Roman"/>
        </w:rPr>
        <w:t>Pela lei estadual nº 2764, de 30/12/1962, são criados os distritos de Mundo Novo de Minas e São Sebastião da Vala e anexados ao município de Aimorés.</w:t>
      </w:r>
    </w:p>
    <w:p w:rsidR="00AD48E4" w:rsidRPr="004E03A9" w:rsidRDefault="00AD48E4" w:rsidP="00924AB9">
      <w:pPr>
        <w:pStyle w:val="CM72"/>
        <w:spacing w:line="360" w:lineRule="auto"/>
        <w:ind w:firstLine="708"/>
        <w:jc w:val="both"/>
        <w:rPr>
          <w:rFonts w:ascii="Times New Roman" w:hAnsi="Times New Roman" w:cs="Times New Roman"/>
        </w:rPr>
      </w:pPr>
      <w:r w:rsidRPr="004E03A9">
        <w:rPr>
          <w:rFonts w:ascii="Times New Roman" w:hAnsi="Times New Roman" w:cs="Times New Roman"/>
        </w:rPr>
        <w:t>Em divisão territorial datada de 31/12/1963, o município é constituído de 8 distritos: Aimorés, Alto Capim, Conceição do Capim, Expedicionário Alicio, Mundo Novo de Minas, Penha do Capim, São Sebastião da Vala e Tabaúna. Assim permanecendo em divisão territorial datada de 1995.</w:t>
      </w:r>
    </w:p>
    <w:p w:rsidR="00AD48E4" w:rsidRPr="004E03A9" w:rsidRDefault="00AD48E4" w:rsidP="00924AB9">
      <w:pPr>
        <w:pStyle w:val="CM72"/>
        <w:spacing w:line="360" w:lineRule="auto"/>
        <w:ind w:firstLine="708"/>
        <w:jc w:val="both"/>
        <w:rPr>
          <w:rFonts w:ascii="Times New Roman" w:hAnsi="Times New Roman" w:cs="Times New Roman"/>
        </w:rPr>
      </w:pPr>
      <w:r w:rsidRPr="004E03A9">
        <w:rPr>
          <w:rFonts w:ascii="Times New Roman" w:hAnsi="Times New Roman" w:cs="Times New Roman"/>
        </w:rPr>
        <w:t>Pela lei municipal nº 1499, de 31/10/1995, é criado o distrito de Santo Antônio do Rio Doce, ex-povoado e anexado ao município de Aimorés.</w:t>
      </w:r>
    </w:p>
    <w:p w:rsidR="00AD48E4" w:rsidRDefault="00AD48E4" w:rsidP="00924AB9">
      <w:pPr>
        <w:pStyle w:val="CM72"/>
        <w:spacing w:line="360" w:lineRule="auto"/>
        <w:ind w:firstLine="708"/>
        <w:jc w:val="both"/>
        <w:rPr>
          <w:rFonts w:ascii="Times New Roman" w:hAnsi="Times New Roman" w:cs="Times New Roman"/>
        </w:rPr>
      </w:pPr>
      <w:r w:rsidRPr="004E03A9">
        <w:rPr>
          <w:rFonts w:ascii="Times New Roman" w:hAnsi="Times New Roman" w:cs="Times New Roman"/>
        </w:rPr>
        <w:t>Em divisão territorial datada de 2001, o município é constituído de 9 distritos</w:t>
      </w:r>
      <w:r w:rsidR="000917CE">
        <w:rPr>
          <w:rFonts w:ascii="Times New Roman" w:hAnsi="Times New Roman" w:cs="Times New Roman"/>
        </w:rPr>
        <w:t xml:space="preserve"> contando com sua sede</w:t>
      </w:r>
      <w:r w:rsidRPr="004E03A9">
        <w:rPr>
          <w:rFonts w:ascii="Times New Roman" w:hAnsi="Times New Roman" w:cs="Times New Roman"/>
        </w:rPr>
        <w:t>: Aimorés, Alto do Capim, Conceição do Capim, Expedicionário Alicio, Mundo Novo de Minas, Penha do Capim, Santo Antônio do Rio Doce, São Sebastião da Vala e Tabaúna. Assim permanecendo em di</w:t>
      </w:r>
      <w:r>
        <w:rPr>
          <w:rFonts w:ascii="Times New Roman" w:hAnsi="Times New Roman" w:cs="Times New Roman"/>
        </w:rPr>
        <w:t>visão territorial datada de 2013</w:t>
      </w:r>
      <w:r w:rsidRPr="004E03A9">
        <w:rPr>
          <w:rFonts w:ascii="Times New Roman" w:hAnsi="Times New Roman" w:cs="Times New Roman"/>
        </w:rPr>
        <w:t>.</w:t>
      </w:r>
    </w:p>
    <w:p w:rsidR="00AD48E4" w:rsidRDefault="00AD48E4" w:rsidP="00AD48E4">
      <w:pPr>
        <w:spacing w:after="200" w:line="276" w:lineRule="auto"/>
        <w:rPr>
          <w:rFonts w:eastAsiaTheme="majorEastAsia" w:cs="Times New Roman"/>
          <w:b/>
          <w:bCs/>
          <w:color w:val="000000" w:themeColor="text1"/>
          <w:szCs w:val="28"/>
        </w:rPr>
      </w:pPr>
      <w:r>
        <w:br w:type="page"/>
      </w:r>
    </w:p>
    <w:p w:rsidR="00AD48E4" w:rsidRDefault="00AD48E4" w:rsidP="00971B37">
      <w:pPr>
        <w:pStyle w:val="Titulo"/>
      </w:pPr>
      <w:bookmarkStart w:id="40" w:name="_Toc372559026"/>
      <w:bookmarkStart w:id="41" w:name="_Toc372789481"/>
      <w:r>
        <w:lastRenderedPageBreak/>
        <w:t>7 ASPECTOS FISIOGRÁFICOS DO MUNICÍPIO DE AIMORÉS</w:t>
      </w:r>
      <w:bookmarkEnd w:id="40"/>
      <w:bookmarkEnd w:id="41"/>
    </w:p>
    <w:p w:rsidR="00AD48E4" w:rsidRPr="00460FB5" w:rsidRDefault="00000904" w:rsidP="00971B37">
      <w:pPr>
        <w:pStyle w:val="Titulo"/>
      </w:pPr>
      <w:bookmarkStart w:id="42" w:name="_Toc372559027"/>
      <w:bookmarkStart w:id="43" w:name="_Toc372789482"/>
      <w:r>
        <w:t xml:space="preserve">7.1 </w:t>
      </w:r>
      <w:r w:rsidRPr="00460FB5">
        <w:t>Clima</w:t>
      </w:r>
      <w:bookmarkEnd w:id="42"/>
      <w:bookmarkEnd w:id="43"/>
    </w:p>
    <w:p w:rsidR="00AD48E4" w:rsidRDefault="00AD48E4" w:rsidP="00AD48E4">
      <w:pPr>
        <w:pStyle w:val="CM72"/>
        <w:spacing w:line="380" w:lineRule="atLeast"/>
        <w:ind w:firstLine="708"/>
        <w:jc w:val="both"/>
        <w:rPr>
          <w:rFonts w:ascii="Times New Roman" w:hAnsi="Times New Roman" w:cs="Times New Roman"/>
        </w:rPr>
      </w:pPr>
      <w:r>
        <w:rPr>
          <w:rFonts w:ascii="Times New Roman" w:hAnsi="Times New Roman" w:cs="Times New Roman"/>
        </w:rPr>
        <w:t>Segundo Köppen</w:t>
      </w:r>
      <w:r w:rsidRPr="00460FB5">
        <w:rPr>
          <w:rFonts w:ascii="Times New Roman" w:hAnsi="Times New Roman" w:cs="Times New Roman"/>
        </w:rPr>
        <w:t>, o clima de Aimorés é caracterizado como tropical quente semiúmido</w:t>
      </w:r>
      <w:r>
        <w:rPr>
          <w:rFonts w:ascii="Times New Roman" w:hAnsi="Times New Roman" w:cs="Times New Roman"/>
        </w:rPr>
        <w:t xml:space="preserve"> ou tropical com estação seca, ou tropical com estação seca do tipo Aw </w:t>
      </w:r>
      <w:r w:rsidRPr="00AD146B">
        <w:rPr>
          <w:rFonts w:ascii="Times New Roman" w:hAnsi="Times New Roman" w:cs="Times New Roman"/>
        </w:rPr>
        <w:t xml:space="preserve">(Figura </w:t>
      </w:r>
      <w:r w:rsidR="00000904">
        <w:rPr>
          <w:rFonts w:ascii="Times New Roman" w:hAnsi="Times New Roman" w:cs="Times New Roman"/>
        </w:rPr>
        <w:t>9</w:t>
      </w:r>
      <w:r w:rsidRPr="00AD146B">
        <w:rPr>
          <w:rFonts w:ascii="Times New Roman" w:hAnsi="Times New Roman" w:cs="Times New Roman"/>
        </w:rPr>
        <w:t>), tendo temperatura média anual de 25, 2 °C com invernos secos e amenos e</w:t>
      </w:r>
      <w:r w:rsidRPr="00460FB5">
        <w:rPr>
          <w:rFonts w:ascii="Times New Roman" w:hAnsi="Times New Roman" w:cs="Times New Roman"/>
        </w:rPr>
        <w:t xml:space="preserve"> verões chuvosos com temperaturas elevadas. O município é conhecido por ser a cidade mais quente do estado de Minas Gerais. </w:t>
      </w:r>
    </w:p>
    <w:p w:rsidR="001E178D" w:rsidRPr="001E178D" w:rsidRDefault="001E178D" w:rsidP="001E178D">
      <w:pPr>
        <w:pStyle w:val="Default"/>
      </w:pPr>
    </w:p>
    <w:p w:rsidR="00AD48E4" w:rsidRDefault="001E178D" w:rsidP="001E178D">
      <w:pPr>
        <w:pStyle w:val="Legenda"/>
      </w:pPr>
      <w:bookmarkStart w:id="44" w:name="_Toc372740092"/>
      <w:r>
        <w:t xml:space="preserve">Figura </w:t>
      </w:r>
      <w:fldSimple w:instr=" SEQ Figura \* ARABIC ">
        <w:r w:rsidR="004F77E2">
          <w:rPr>
            <w:noProof/>
          </w:rPr>
          <w:t>9</w:t>
        </w:r>
      </w:fldSimple>
      <w:r>
        <w:t xml:space="preserve"> </w:t>
      </w:r>
      <w:r w:rsidRPr="003D5DAE">
        <w:rPr>
          <w:noProof/>
        </w:rPr>
        <w:t>- Clima do Município de Aimorés – Minas Gerais</w:t>
      </w:r>
      <w:bookmarkEnd w:id="44"/>
      <w:r w:rsidR="001D2F23">
        <w:rPr>
          <w:noProof/>
        </w:rPr>
        <w:t>.</w:t>
      </w:r>
    </w:p>
    <w:p w:rsidR="00AD48E4" w:rsidRDefault="00AD48E4" w:rsidP="00AD48E4">
      <w:pPr>
        <w:spacing w:after="0" w:line="360" w:lineRule="auto"/>
        <w:jc w:val="center"/>
        <w:rPr>
          <w:rFonts w:cs="Times New Roman"/>
        </w:rPr>
      </w:pPr>
      <w:r>
        <w:rPr>
          <w:rFonts w:cs="Times New Roman"/>
          <w:noProof/>
          <w:lang w:eastAsia="pt-BR"/>
        </w:rPr>
        <w:drawing>
          <wp:inline distT="0" distB="0" distL="0" distR="0" wp14:anchorId="09F5DB3E" wp14:editId="37E89E9C">
            <wp:extent cx="5569308" cy="3379622"/>
            <wp:effectExtent l="0" t="0" r="0" b="0"/>
            <wp:docPr id="17" name="Imagem 17" descr="C:\Users\KLEBER\Desktop\Clima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LEBER\Desktop\Clima 0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73775" cy="3382333"/>
                    </a:xfrm>
                    <a:prstGeom prst="rect">
                      <a:avLst/>
                    </a:prstGeom>
                    <a:noFill/>
                    <a:ln>
                      <a:noFill/>
                    </a:ln>
                  </pic:spPr>
                </pic:pic>
              </a:graphicData>
            </a:graphic>
          </wp:inline>
        </w:drawing>
      </w:r>
    </w:p>
    <w:p w:rsidR="00AD48E4" w:rsidRPr="00B32877" w:rsidRDefault="00AD48E4" w:rsidP="00AD48E4">
      <w:pPr>
        <w:spacing w:line="240" w:lineRule="auto"/>
        <w:ind w:firstLine="142"/>
        <w:rPr>
          <w:rFonts w:cs="Times New Roman"/>
          <w:sz w:val="20"/>
        </w:rPr>
      </w:pPr>
      <w:r w:rsidRPr="00B32877">
        <w:rPr>
          <w:rFonts w:cs="Times New Roman"/>
          <w:sz w:val="20"/>
        </w:rPr>
        <w:t>Fonte: Fundação Educacional de Caratinga – FUNEC, 2013</w:t>
      </w:r>
    </w:p>
    <w:p w:rsidR="00AD48E4" w:rsidRDefault="00AD48E4" w:rsidP="00924AB9">
      <w:pPr>
        <w:pStyle w:val="CM72"/>
        <w:spacing w:line="360" w:lineRule="auto"/>
        <w:ind w:firstLine="709"/>
        <w:jc w:val="both"/>
        <w:rPr>
          <w:rFonts w:ascii="Times New Roman" w:hAnsi="Times New Roman" w:cs="Times New Roman"/>
        </w:rPr>
      </w:pPr>
      <w:r w:rsidRPr="00D64AC6">
        <w:rPr>
          <w:rFonts w:ascii="Times New Roman" w:hAnsi="Times New Roman" w:cs="Times New Roman"/>
        </w:rPr>
        <w:t>O mês mais quente,</w:t>
      </w:r>
      <w:r>
        <w:rPr>
          <w:rFonts w:ascii="Times New Roman" w:hAnsi="Times New Roman" w:cs="Times New Roman"/>
        </w:rPr>
        <w:t xml:space="preserve"> tipicamente tem sido o de</w:t>
      </w:r>
      <w:r w:rsidRPr="00D64AC6">
        <w:rPr>
          <w:rFonts w:ascii="Times New Roman" w:hAnsi="Times New Roman" w:cs="Times New Roman"/>
        </w:rPr>
        <w:t xml:space="preserve"> fevereiro, </w:t>
      </w:r>
      <w:r>
        <w:rPr>
          <w:rFonts w:ascii="Times New Roman" w:hAnsi="Times New Roman" w:cs="Times New Roman"/>
        </w:rPr>
        <w:t>com</w:t>
      </w:r>
      <w:r w:rsidRPr="00D64AC6">
        <w:rPr>
          <w:rFonts w:ascii="Times New Roman" w:hAnsi="Times New Roman" w:cs="Times New Roman"/>
        </w:rPr>
        <w:t xml:space="preserve"> temperatura média de 27,8 °C, sendo a média máxima de 33,9 °C e a mínima de 21,8 °C. E o mês mais frio, </w:t>
      </w:r>
      <w:r>
        <w:rPr>
          <w:rFonts w:ascii="Times New Roman" w:hAnsi="Times New Roman" w:cs="Times New Roman"/>
        </w:rPr>
        <w:t xml:space="preserve">tem sido o de </w:t>
      </w:r>
      <w:r w:rsidRPr="00D64AC6">
        <w:rPr>
          <w:rFonts w:ascii="Times New Roman" w:hAnsi="Times New Roman" w:cs="Times New Roman"/>
        </w:rPr>
        <w:t xml:space="preserve">julho, </w:t>
      </w:r>
      <w:r>
        <w:rPr>
          <w:rFonts w:ascii="Times New Roman" w:hAnsi="Times New Roman" w:cs="Times New Roman"/>
        </w:rPr>
        <w:t xml:space="preserve">com média </w:t>
      </w:r>
      <w:r w:rsidRPr="00D64AC6">
        <w:rPr>
          <w:rFonts w:ascii="Times New Roman" w:hAnsi="Times New Roman" w:cs="Times New Roman"/>
        </w:rPr>
        <w:t xml:space="preserve">de 22,4 °C, sendo 29,6 °C e 16,9 °C as médias máxima e mínima, respectivamente. </w:t>
      </w:r>
      <w:r w:rsidRPr="00840981">
        <w:rPr>
          <w:rFonts w:ascii="Times New Roman" w:hAnsi="Times New Roman" w:cs="Times New Roman"/>
        </w:rPr>
        <w:t xml:space="preserve">(Figura </w:t>
      </w:r>
      <w:r w:rsidR="00000904">
        <w:rPr>
          <w:rFonts w:ascii="Times New Roman" w:hAnsi="Times New Roman" w:cs="Times New Roman"/>
        </w:rPr>
        <w:t>10</w:t>
      </w:r>
      <w:r w:rsidRPr="00840981">
        <w:rPr>
          <w:rFonts w:ascii="Times New Roman" w:hAnsi="Times New Roman" w:cs="Times New Roman"/>
        </w:rPr>
        <w:t>).</w:t>
      </w:r>
    </w:p>
    <w:p w:rsidR="00AD48E4" w:rsidRDefault="00AD48E4" w:rsidP="00924AB9">
      <w:pPr>
        <w:pStyle w:val="CM72"/>
        <w:spacing w:line="360" w:lineRule="auto"/>
        <w:ind w:firstLine="709"/>
        <w:jc w:val="both"/>
        <w:rPr>
          <w:rFonts w:ascii="Times New Roman" w:hAnsi="Times New Roman" w:cs="Times New Roman"/>
        </w:rPr>
      </w:pPr>
      <w:r w:rsidRPr="00460FB5">
        <w:rPr>
          <w:rFonts w:ascii="Times New Roman" w:hAnsi="Times New Roman" w:cs="Times New Roman"/>
        </w:rPr>
        <w:t xml:space="preserve">Segundo dados do Instituto Nacional de Meteorologia (INMET), a temperatura mínima registrada em Aimorés foi de 10,0 ºC, ocorrida no dia 29 de julho de 1972. Já a máxima foi de 42,5 ºC, observada dia 31 de outubro de 2012. Temperaturas elevadas são </w:t>
      </w:r>
      <w:r w:rsidRPr="00460FB5">
        <w:rPr>
          <w:rFonts w:ascii="Times New Roman" w:hAnsi="Times New Roman" w:cs="Times New Roman"/>
        </w:rPr>
        <w:lastRenderedPageBreak/>
        <w:t xml:space="preserve">comuns, principalmente entre a primavera e o verão, por vezes mesmo durante a madrugada, sendo que a maior temperatura </w:t>
      </w:r>
      <w:r>
        <w:rPr>
          <w:rFonts w:ascii="Times New Roman" w:hAnsi="Times New Roman" w:cs="Times New Roman"/>
        </w:rPr>
        <w:t xml:space="preserve">das </w:t>
      </w:r>
      <w:r w:rsidRPr="00460FB5">
        <w:rPr>
          <w:rFonts w:ascii="Times New Roman" w:hAnsi="Times New Roman" w:cs="Times New Roman"/>
        </w:rPr>
        <w:t>mínima já registrada no município foi de 31,2 ºC, no dia 25 de fevereiro de 2010. Por outro lado, em dias nublados e chuvosos, principalmente durante o inverno, as temperaturas não sobem muito. Em 8 de outubro de 2013 Aimorés teve a tarde mais fria já vista na cidade, quando os termômetros não passaram dos 18,7 ºC, segundo o INMET, superando o recorde anterior de 18,8 ºC, observado pelo instituto nos dias 13 de julho de 1990 e 16 de agosto de 1999. Quedas do índice de umidade relativa do ar (URA) são normais nos meses mais secos, sendo que o menor valor já ocorrido foi de 15</w:t>
      </w:r>
      <w:r>
        <w:rPr>
          <w:rFonts w:ascii="Times New Roman" w:hAnsi="Times New Roman" w:cs="Times New Roman"/>
        </w:rPr>
        <w:t xml:space="preserve"> </w:t>
      </w:r>
      <w:r w:rsidRPr="00460FB5">
        <w:rPr>
          <w:rFonts w:ascii="Times New Roman" w:hAnsi="Times New Roman" w:cs="Times New Roman"/>
        </w:rPr>
        <w:t>%, em 4 de setembro de 2008.</w:t>
      </w:r>
    </w:p>
    <w:p w:rsidR="00AD48E4" w:rsidRDefault="001E178D" w:rsidP="001E178D">
      <w:pPr>
        <w:pStyle w:val="Legenda"/>
      </w:pPr>
      <w:bookmarkStart w:id="45" w:name="_Toc372740093"/>
      <w:r>
        <w:t xml:space="preserve">Figura </w:t>
      </w:r>
      <w:fldSimple w:instr=" SEQ Figura \* ARABIC ">
        <w:r w:rsidR="004F77E2">
          <w:rPr>
            <w:noProof/>
          </w:rPr>
          <w:t>10</w:t>
        </w:r>
      </w:fldSimple>
      <w:r>
        <w:t xml:space="preserve"> </w:t>
      </w:r>
      <w:r w:rsidRPr="00450AE6">
        <w:rPr>
          <w:noProof/>
        </w:rPr>
        <w:t>– Temperaturas Médias no Município de Aimorés – Minas Gerais</w:t>
      </w:r>
      <w:bookmarkEnd w:id="45"/>
      <w:r w:rsidR="001D2F23">
        <w:rPr>
          <w:noProof/>
        </w:rPr>
        <w:t>.</w:t>
      </w:r>
    </w:p>
    <w:p w:rsidR="00AD48E4" w:rsidRDefault="00AD48E4" w:rsidP="00AD48E4">
      <w:pPr>
        <w:jc w:val="center"/>
        <w:rPr>
          <w:rFonts w:cs="Times New Roman"/>
          <w:sz w:val="20"/>
        </w:rPr>
      </w:pPr>
      <w:r w:rsidRPr="00D70400">
        <w:rPr>
          <w:noProof/>
          <w:lang w:eastAsia="pt-BR"/>
        </w:rPr>
        <w:drawing>
          <wp:inline distT="0" distB="0" distL="0" distR="0" wp14:anchorId="72198C47" wp14:editId="5927762E">
            <wp:extent cx="5344461" cy="3240000"/>
            <wp:effectExtent l="19050" t="0" r="8589" b="0"/>
            <wp:docPr id="233" name="Imagem 18" descr="C:\Users\KLEBER\Desktop\Temperatura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LEBER\Desktop\Temperatura 0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44461" cy="3240000"/>
                    </a:xfrm>
                    <a:prstGeom prst="rect">
                      <a:avLst/>
                    </a:prstGeom>
                    <a:noFill/>
                    <a:ln>
                      <a:noFill/>
                    </a:ln>
                  </pic:spPr>
                </pic:pic>
              </a:graphicData>
            </a:graphic>
          </wp:inline>
        </w:drawing>
      </w:r>
    </w:p>
    <w:p w:rsidR="00AD48E4" w:rsidRPr="00B32877" w:rsidRDefault="00AD48E4" w:rsidP="00AD48E4">
      <w:r w:rsidRPr="00B32877">
        <w:rPr>
          <w:rFonts w:cs="Times New Roman"/>
          <w:sz w:val="20"/>
        </w:rPr>
        <w:t>Fonte: Fundação Educacional de Caratinga – FUNEC, 2013</w:t>
      </w:r>
    </w:p>
    <w:p w:rsidR="00AD48E4" w:rsidRPr="00460FB5" w:rsidRDefault="00AD48E4" w:rsidP="00924AB9">
      <w:pPr>
        <w:pStyle w:val="CM72"/>
        <w:spacing w:line="360" w:lineRule="auto"/>
        <w:ind w:firstLine="709"/>
        <w:jc w:val="both"/>
        <w:rPr>
          <w:rFonts w:ascii="Times New Roman" w:hAnsi="Times New Roman" w:cs="Times New Roman"/>
        </w:rPr>
      </w:pPr>
      <w:r w:rsidRPr="00460FB5">
        <w:rPr>
          <w:rFonts w:ascii="Times New Roman" w:hAnsi="Times New Roman" w:cs="Times New Roman"/>
        </w:rPr>
        <w:t xml:space="preserve">A </w:t>
      </w:r>
      <w:r>
        <w:rPr>
          <w:rFonts w:ascii="Times New Roman" w:hAnsi="Times New Roman" w:cs="Times New Roman"/>
        </w:rPr>
        <w:t>precipitação média anual é de 1.</w:t>
      </w:r>
      <w:r w:rsidRPr="00460FB5">
        <w:rPr>
          <w:rFonts w:ascii="Times New Roman" w:hAnsi="Times New Roman" w:cs="Times New Roman"/>
        </w:rPr>
        <w:t xml:space="preserve">062,6 mm, sendo julho o mês mais seco, quando ocorrem apenas 17,9 </w:t>
      </w:r>
      <w:r w:rsidR="00885F7E" w:rsidRPr="00460FB5">
        <w:rPr>
          <w:rFonts w:ascii="Times New Roman" w:hAnsi="Times New Roman" w:cs="Times New Roman"/>
        </w:rPr>
        <w:t>mm</w:t>
      </w:r>
      <w:r w:rsidRPr="00460FB5">
        <w:rPr>
          <w:rFonts w:ascii="Times New Roman" w:hAnsi="Times New Roman" w:cs="Times New Roman"/>
        </w:rPr>
        <w:t xml:space="preserve"> Em dezembro, o mês mais chuvoso, a média fica em 202,0 </w:t>
      </w:r>
      <w:r w:rsidR="00885F7E" w:rsidRPr="00460FB5">
        <w:rPr>
          <w:rFonts w:ascii="Times New Roman" w:hAnsi="Times New Roman" w:cs="Times New Roman"/>
        </w:rPr>
        <w:t>mm</w:t>
      </w:r>
      <w:r w:rsidRPr="00460FB5">
        <w:rPr>
          <w:rFonts w:ascii="Times New Roman" w:hAnsi="Times New Roman" w:cs="Times New Roman"/>
        </w:rPr>
        <w:t xml:space="preserve"> Nos últimos anos, entretanto, os dias quentes e secos durante o inverno têm sido cada vez mais frequentes, não raro ultrapassando a marca dos 30 °C, especialmente entre julho e setembro. Em agosto de 2011, por exemplo, a precipitação em Aimorés não passou dos 0,0 </w:t>
      </w:r>
      <w:r w:rsidR="00885F7E" w:rsidRPr="00460FB5">
        <w:rPr>
          <w:rFonts w:ascii="Times New Roman" w:hAnsi="Times New Roman" w:cs="Times New Roman"/>
        </w:rPr>
        <w:t>mm</w:t>
      </w:r>
      <w:r w:rsidRPr="00460FB5">
        <w:rPr>
          <w:rFonts w:ascii="Times New Roman" w:hAnsi="Times New Roman" w:cs="Times New Roman"/>
        </w:rPr>
        <w:t xml:space="preserve"> Durante a época das secas e em longos veranicos em pleno período chuvoso também são comuns registros de queimadas em morros e matagais, principalmente na zona rural d</w:t>
      </w:r>
      <w:r>
        <w:rPr>
          <w:rFonts w:ascii="Times New Roman" w:hAnsi="Times New Roman" w:cs="Times New Roman"/>
        </w:rPr>
        <w:t xml:space="preserve">o </w:t>
      </w:r>
      <w:r>
        <w:rPr>
          <w:rFonts w:ascii="Times New Roman" w:hAnsi="Times New Roman" w:cs="Times New Roman"/>
        </w:rPr>
        <w:lastRenderedPageBreak/>
        <w:t>município</w:t>
      </w:r>
      <w:r w:rsidRPr="00460FB5">
        <w:rPr>
          <w:rFonts w:ascii="Times New Roman" w:hAnsi="Times New Roman" w:cs="Times New Roman"/>
        </w:rPr>
        <w:t xml:space="preserve">, o que contribui com </w:t>
      </w:r>
      <w:r>
        <w:rPr>
          <w:rFonts w:ascii="Times New Roman" w:hAnsi="Times New Roman" w:cs="Times New Roman"/>
        </w:rPr>
        <w:t>a perda de vegetação</w:t>
      </w:r>
      <w:r w:rsidRPr="00460FB5">
        <w:rPr>
          <w:rFonts w:ascii="Times New Roman" w:hAnsi="Times New Roman" w:cs="Times New Roman"/>
        </w:rPr>
        <w:t xml:space="preserve"> e com o lançamento de poluentes na atmosfera, prejudicando ainda a qualidade do ar.</w:t>
      </w:r>
      <w:r>
        <w:rPr>
          <w:rFonts w:ascii="Times New Roman" w:hAnsi="Times New Roman" w:cs="Times New Roman"/>
        </w:rPr>
        <w:t xml:space="preserve"> </w:t>
      </w:r>
      <w:r w:rsidRPr="00460FB5">
        <w:rPr>
          <w:rFonts w:ascii="Times New Roman" w:hAnsi="Times New Roman" w:cs="Times New Roman"/>
        </w:rPr>
        <w:t>O maior acumulado de chuva registrado na cidade em 24 horas foi de 149,0 mm, em 3 de janeiro de 1975.</w:t>
      </w:r>
    </w:p>
    <w:p w:rsidR="00AD48E4" w:rsidRDefault="00000904" w:rsidP="00971B37">
      <w:pPr>
        <w:pStyle w:val="Titulo"/>
      </w:pPr>
      <w:bookmarkStart w:id="46" w:name="_Toc372559028"/>
      <w:bookmarkStart w:id="47" w:name="_Toc372789483"/>
      <w:r>
        <w:t xml:space="preserve">7.2 </w:t>
      </w:r>
      <w:r w:rsidRPr="00000994">
        <w:t>Geologia</w:t>
      </w:r>
      <w:bookmarkEnd w:id="46"/>
      <w:bookmarkEnd w:id="47"/>
    </w:p>
    <w:p w:rsidR="00AD48E4" w:rsidRDefault="00AD48E4" w:rsidP="00924AB9">
      <w:pPr>
        <w:pStyle w:val="CM72"/>
        <w:spacing w:line="360" w:lineRule="auto"/>
        <w:ind w:firstLine="709"/>
        <w:jc w:val="both"/>
        <w:rPr>
          <w:rFonts w:ascii="Times New Roman" w:hAnsi="Times New Roman" w:cs="Times New Roman"/>
        </w:rPr>
      </w:pPr>
      <w:r w:rsidRPr="0026310B">
        <w:rPr>
          <w:rFonts w:ascii="Times New Roman" w:hAnsi="Times New Roman" w:cs="Times New Roman"/>
        </w:rPr>
        <w:t xml:space="preserve">Para a identificação e representação cartográfica </w:t>
      </w:r>
      <w:r>
        <w:rPr>
          <w:rFonts w:ascii="Times New Roman" w:hAnsi="Times New Roman" w:cs="Times New Roman"/>
        </w:rPr>
        <w:t>das unidades geológicas</w:t>
      </w:r>
      <w:r w:rsidRPr="0026310B">
        <w:rPr>
          <w:rFonts w:ascii="Times New Roman" w:hAnsi="Times New Roman" w:cs="Times New Roman"/>
        </w:rPr>
        <w:t xml:space="preserve"> pr</w:t>
      </w:r>
      <w:r>
        <w:rPr>
          <w:rFonts w:ascii="Times New Roman" w:hAnsi="Times New Roman" w:cs="Times New Roman"/>
        </w:rPr>
        <w:t>esentes na área de abrangência do município de Aimorés</w:t>
      </w:r>
      <w:r w:rsidRPr="0026310B">
        <w:rPr>
          <w:rFonts w:ascii="Times New Roman" w:hAnsi="Times New Roman" w:cs="Times New Roman"/>
        </w:rPr>
        <w:t xml:space="preserve">, foram analisados mapeamentos e estudos geológicos realizados na região, em diversas escalas, notadamente aqueles elaborados pela </w:t>
      </w:r>
      <w:r>
        <w:rPr>
          <w:rFonts w:ascii="Times New Roman" w:hAnsi="Times New Roman" w:cs="Times New Roman"/>
        </w:rPr>
        <w:t xml:space="preserve">RADAMBRASIL e PIRH- Plano Integrado de Recursos Hídricos da Bacia do Rio Doce, mapeados </w:t>
      </w:r>
      <w:r w:rsidRPr="00314E17">
        <w:rPr>
          <w:rFonts w:ascii="Times New Roman" w:hAnsi="Times New Roman" w:cs="Times New Roman"/>
        </w:rPr>
        <w:t>(Figura 1</w:t>
      </w:r>
      <w:r w:rsidR="00000904">
        <w:rPr>
          <w:rFonts w:ascii="Times New Roman" w:hAnsi="Times New Roman" w:cs="Times New Roman"/>
        </w:rPr>
        <w:t>1</w:t>
      </w:r>
      <w:r w:rsidRPr="00314E17">
        <w:rPr>
          <w:rFonts w:ascii="Times New Roman" w:hAnsi="Times New Roman" w:cs="Times New Roman"/>
        </w:rPr>
        <w:t>)</w:t>
      </w:r>
      <w:r>
        <w:rPr>
          <w:rFonts w:ascii="Times New Roman" w:hAnsi="Times New Roman" w:cs="Times New Roman"/>
        </w:rPr>
        <w:t xml:space="preserve"> e descritos a seguir:</w:t>
      </w:r>
    </w:p>
    <w:p w:rsidR="00AD48E4" w:rsidRPr="00314E17" w:rsidRDefault="002847A2" w:rsidP="002847A2">
      <w:pPr>
        <w:pStyle w:val="Legenda"/>
        <w:rPr>
          <w:b w:val="0"/>
        </w:rPr>
      </w:pPr>
      <w:bookmarkStart w:id="48" w:name="_Toc372740094"/>
      <w:r>
        <w:t xml:space="preserve">Figura </w:t>
      </w:r>
      <w:fldSimple w:instr=" SEQ Figura \* ARABIC ">
        <w:r w:rsidR="004F77E2">
          <w:rPr>
            <w:noProof/>
          </w:rPr>
          <w:t>11</w:t>
        </w:r>
      </w:fldSimple>
      <w:r>
        <w:t xml:space="preserve"> </w:t>
      </w:r>
      <w:r w:rsidRPr="00A50029">
        <w:t>- Mapa Geológico do Município de Aimorés</w:t>
      </w:r>
      <w:bookmarkEnd w:id="48"/>
      <w:r w:rsidR="001D2F23">
        <w:t>.</w:t>
      </w:r>
    </w:p>
    <w:p w:rsidR="00AD48E4" w:rsidRPr="00B22169" w:rsidRDefault="00AD48E4" w:rsidP="00AD48E4">
      <w:r w:rsidRPr="00B22169">
        <w:rPr>
          <w:noProof/>
          <w:lang w:eastAsia="pt-BR"/>
        </w:rPr>
        <w:drawing>
          <wp:inline distT="0" distB="0" distL="0" distR="0" wp14:anchorId="59ED9C40" wp14:editId="0B901F6A">
            <wp:extent cx="5656808" cy="3430829"/>
            <wp:effectExtent l="0" t="0" r="1270" b="0"/>
            <wp:docPr id="234" name="Imagem 28" descr="C:\Users\KLEBER\Desktop\Geologia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LEBER\Desktop\Geologia 0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61872" cy="3433901"/>
                    </a:xfrm>
                    <a:prstGeom prst="rect">
                      <a:avLst/>
                    </a:prstGeom>
                    <a:noFill/>
                    <a:ln>
                      <a:noFill/>
                    </a:ln>
                  </pic:spPr>
                </pic:pic>
              </a:graphicData>
            </a:graphic>
          </wp:inline>
        </w:drawing>
      </w:r>
    </w:p>
    <w:p w:rsidR="00AD48E4" w:rsidRPr="0026310B" w:rsidRDefault="00AD48E4" w:rsidP="00AD48E4">
      <w:pPr>
        <w:rPr>
          <w:rFonts w:cs="Times New Roman"/>
        </w:rPr>
      </w:pPr>
      <w:r w:rsidRPr="00B32877">
        <w:rPr>
          <w:rFonts w:cs="Times New Roman"/>
          <w:sz w:val="20"/>
        </w:rPr>
        <w:t>Fonte: Fundação Educacional de Caratinga – FUNEC, 2013</w:t>
      </w:r>
    </w:p>
    <w:p w:rsidR="00AD48E4" w:rsidRDefault="00000904" w:rsidP="00971B37">
      <w:pPr>
        <w:pStyle w:val="Titulo"/>
      </w:pPr>
      <w:bookmarkStart w:id="49" w:name="_Toc372559029"/>
      <w:bookmarkStart w:id="50" w:name="_Toc372789484"/>
      <w:r>
        <w:t>7</w:t>
      </w:r>
      <w:r w:rsidR="00A64C12">
        <w:t>.</w:t>
      </w:r>
      <w:r>
        <w:t xml:space="preserve">2.1 </w:t>
      </w:r>
      <w:r w:rsidR="00AD48E4">
        <w:t>Descrição da geologia do Município de Aimorés</w:t>
      </w:r>
      <w:bookmarkEnd w:id="49"/>
      <w:bookmarkEnd w:id="50"/>
    </w:p>
    <w:p w:rsidR="00AD48E4" w:rsidRPr="00166C63" w:rsidRDefault="00AD48E4" w:rsidP="00166C63">
      <w:pPr>
        <w:ind w:firstLine="284"/>
        <w:rPr>
          <w:b/>
        </w:rPr>
      </w:pPr>
      <w:bookmarkStart w:id="51" w:name="_Toc372559030"/>
      <w:r w:rsidRPr="00166C63">
        <w:rPr>
          <w:b/>
        </w:rPr>
        <w:t>Granitóides Sincolisionais - NPg2</w:t>
      </w:r>
      <w:bookmarkEnd w:id="51"/>
    </w:p>
    <w:p w:rsidR="00AD48E4" w:rsidRDefault="00AD48E4" w:rsidP="00924AB9">
      <w:pPr>
        <w:pStyle w:val="CM72"/>
        <w:spacing w:line="360" w:lineRule="auto"/>
        <w:ind w:firstLine="708"/>
        <w:jc w:val="both"/>
        <w:rPr>
          <w:rFonts w:ascii="Times New Roman" w:hAnsi="Times New Roman" w:cs="Times New Roman"/>
        </w:rPr>
      </w:pPr>
      <w:r w:rsidRPr="00E00DD4">
        <w:rPr>
          <w:rFonts w:ascii="Times New Roman" w:hAnsi="Times New Roman" w:cs="Times New Roman"/>
        </w:rPr>
        <w:t>São descritos como granitóides pouco foliado</w:t>
      </w:r>
      <w:r>
        <w:rPr>
          <w:rFonts w:ascii="Times New Roman" w:hAnsi="Times New Roman" w:cs="Times New Roman"/>
        </w:rPr>
        <w:t xml:space="preserve">s a gnáissicos, peraluminosos, </w:t>
      </w:r>
      <w:r w:rsidRPr="00E00DD4">
        <w:rPr>
          <w:rFonts w:ascii="Times New Roman" w:hAnsi="Times New Roman" w:cs="Times New Roman"/>
        </w:rPr>
        <w:t>calcialcalinos de alto K. Compreendem todos os granit</w:t>
      </w:r>
      <w:r>
        <w:rPr>
          <w:rFonts w:ascii="Times New Roman" w:hAnsi="Times New Roman" w:cs="Times New Roman"/>
        </w:rPr>
        <w:t xml:space="preserve">os do tipo S formados durante o </w:t>
      </w:r>
      <w:r w:rsidRPr="00E00DD4">
        <w:rPr>
          <w:rFonts w:ascii="Times New Roman" w:hAnsi="Times New Roman" w:cs="Times New Roman"/>
        </w:rPr>
        <w:t>estágio sin-colisional. Incluem corpos graníticos ta</w:t>
      </w:r>
      <w:r>
        <w:rPr>
          <w:rFonts w:ascii="Times New Roman" w:hAnsi="Times New Roman" w:cs="Times New Roman"/>
        </w:rPr>
        <w:t xml:space="preserve">bulares autóctones e intrusões, </w:t>
      </w:r>
      <w:r w:rsidRPr="00E00DD4">
        <w:rPr>
          <w:rFonts w:ascii="Times New Roman" w:hAnsi="Times New Roman" w:cs="Times New Roman"/>
        </w:rPr>
        <w:lastRenderedPageBreak/>
        <w:t>deformados em concordância com a foliação regional. As composições predominantes são</w:t>
      </w:r>
      <w:r>
        <w:rPr>
          <w:rFonts w:ascii="Times New Roman" w:hAnsi="Times New Roman" w:cs="Times New Roman"/>
        </w:rPr>
        <w:t xml:space="preserve"> </w:t>
      </w:r>
      <w:r w:rsidRPr="00E00DD4">
        <w:rPr>
          <w:rFonts w:ascii="Times New Roman" w:hAnsi="Times New Roman" w:cs="Times New Roman"/>
        </w:rPr>
        <w:t>cordierita-granada-biotita granito, granada-biotita</w:t>
      </w:r>
      <w:r>
        <w:rPr>
          <w:rFonts w:ascii="Times New Roman" w:hAnsi="Times New Roman" w:cs="Times New Roman"/>
        </w:rPr>
        <w:t xml:space="preserve"> granito e granito a duas micas </w:t>
      </w:r>
      <w:r w:rsidRPr="00E00DD4">
        <w:rPr>
          <w:rFonts w:ascii="Times New Roman" w:hAnsi="Times New Roman" w:cs="Times New Roman"/>
        </w:rPr>
        <w:t>(</w:t>
      </w:r>
      <w:r w:rsidRPr="00163FF8">
        <w:rPr>
          <w:rFonts w:ascii="Times New Roman" w:hAnsi="Times New Roman" w:cs="Times New Roman"/>
        </w:rPr>
        <w:t>RADAMBRASIL</w:t>
      </w:r>
      <w:r>
        <w:rPr>
          <w:rFonts w:ascii="Times New Roman" w:hAnsi="Times New Roman" w:cs="Times New Roman"/>
        </w:rPr>
        <w:t>, 1987</w:t>
      </w:r>
      <w:r w:rsidRPr="00163FF8">
        <w:rPr>
          <w:rFonts w:ascii="Times New Roman" w:hAnsi="Times New Roman" w:cs="Times New Roman"/>
        </w:rPr>
        <w:t xml:space="preserve"> e PIRH</w:t>
      </w:r>
      <w:r>
        <w:rPr>
          <w:rFonts w:ascii="Times New Roman" w:hAnsi="Times New Roman" w:cs="Times New Roman"/>
        </w:rPr>
        <w:t>, 2010</w:t>
      </w:r>
      <w:r w:rsidRPr="00E00DD4">
        <w:rPr>
          <w:rFonts w:ascii="Times New Roman" w:hAnsi="Times New Roman" w:cs="Times New Roman"/>
        </w:rPr>
        <w:t>).</w:t>
      </w:r>
    </w:p>
    <w:p w:rsidR="00AD48E4" w:rsidRPr="00166C63" w:rsidRDefault="00AD48E4" w:rsidP="00166C63">
      <w:pPr>
        <w:ind w:firstLine="284"/>
        <w:rPr>
          <w:b/>
        </w:rPr>
      </w:pPr>
      <w:bookmarkStart w:id="52" w:name="_Toc372559031"/>
      <w:r w:rsidRPr="00166C63">
        <w:rPr>
          <w:b/>
        </w:rPr>
        <w:t>Complexo Nova Venécia</w:t>
      </w:r>
      <w:bookmarkEnd w:id="52"/>
    </w:p>
    <w:p w:rsidR="00AD48E4" w:rsidRDefault="00AD48E4" w:rsidP="00924AB9">
      <w:pPr>
        <w:pStyle w:val="CM72"/>
        <w:spacing w:line="360" w:lineRule="auto"/>
        <w:ind w:firstLine="709"/>
        <w:jc w:val="both"/>
        <w:rPr>
          <w:rFonts w:ascii="Times New Roman" w:hAnsi="Times New Roman" w:cs="Times New Roman"/>
        </w:rPr>
      </w:pPr>
      <w:r w:rsidRPr="005B56C8">
        <w:rPr>
          <w:rFonts w:ascii="Times New Roman" w:hAnsi="Times New Roman" w:cs="Times New Roman"/>
        </w:rPr>
        <w:t>É essencialmente constituído por biotita gna</w:t>
      </w:r>
      <w:r>
        <w:rPr>
          <w:rFonts w:ascii="Times New Roman" w:hAnsi="Times New Roman" w:cs="Times New Roman"/>
        </w:rPr>
        <w:t xml:space="preserve">isses paraderivados, localmente </w:t>
      </w:r>
      <w:r w:rsidRPr="005B56C8">
        <w:rPr>
          <w:rFonts w:ascii="Times New Roman" w:hAnsi="Times New Roman" w:cs="Times New Roman"/>
        </w:rPr>
        <w:t>migmatizados com intercalações de gnaisses kinzigíticos, an</w:t>
      </w:r>
      <w:r>
        <w:rPr>
          <w:rFonts w:ascii="Times New Roman" w:hAnsi="Times New Roman" w:cs="Times New Roman"/>
        </w:rPr>
        <w:t xml:space="preserve">fibolitos, mármores, quartzitos </w:t>
      </w:r>
      <w:r w:rsidRPr="005B56C8">
        <w:rPr>
          <w:rFonts w:ascii="Times New Roman" w:hAnsi="Times New Roman" w:cs="Times New Roman"/>
        </w:rPr>
        <w:t>impuros e rochas calcissilicáticas com estruturas gnáis</w:t>
      </w:r>
      <w:r>
        <w:rPr>
          <w:rFonts w:ascii="Times New Roman" w:hAnsi="Times New Roman" w:cs="Times New Roman"/>
        </w:rPr>
        <w:t xml:space="preserve">sicas ou não </w:t>
      </w:r>
      <w:r w:rsidRPr="00163FF8">
        <w:rPr>
          <w:rFonts w:ascii="Times New Roman" w:hAnsi="Times New Roman" w:cs="Times New Roman"/>
        </w:rPr>
        <w:t>(</w:t>
      </w:r>
      <w:r>
        <w:rPr>
          <w:rFonts w:ascii="Times New Roman" w:hAnsi="Times New Roman" w:cs="Times New Roman"/>
        </w:rPr>
        <w:t>RADAMBRASIL, 1987 e PIRH, 2010).</w:t>
      </w:r>
    </w:p>
    <w:p w:rsidR="00AD48E4" w:rsidRPr="00166C63" w:rsidRDefault="00AD48E4" w:rsidP="00166C63">
      <w:pPr>
        <w:ind w:firstLine="284"/>
        <w:rPr>
          <w:b/>
        </w:rPr>
      </w:pPr>
      <w:bookmarkStart w:id="53" w:name="_Toc372559032"/>
      <w:r w:rsidRPr="00166C63">
        <w:rPr>
          <w:b/>
        </w:rPr>
        <w:t>Granitóides Pré-Colisionais</w:t>
      </w:r>
      <w:bookmarkEnd w:id="53"/>
    </w:p>
    <w:p w:rsidR="00AD48E4" w:rsidRDefault="00AD48E4" w:rsidP="0054513D">
      <w:pPr>
        <w:pStyle w:val="CM72"/>
        <w:spacing w:line="360" w:lineRule="auto"/>
        <w:ind w:firstLine="709"/>
        <w:jc w:val="both"/>
        <w:rPr>
          <w:rFonts w:ascii="Times New Roman" w:hAnsi="Times New Roman" w:cs="Times New Roman"/>
        </w:rPr>
      </w:pPr>
      <w:r>
        <w:rPr>
          <w:rFonts w:ascii="Times New Roman" w:hAnsi="Times New Roman" w:cs="Times New Roman"/>
        </w:rPr>
        <w:t>S</w:t>
      </w:r>
      <w:r w:rsidRPr="005B56C8">
        <w:rPr>
          <w:rFonts w:ascii="Times New Roman" w:hAnsi="Times New Roman" w:cs="Times New Roman"/>
        </w:rPr>
        <w:t>ão descritos como gra</w:t>
      </w:r>
      <w:r>
        <w:rPr>
          <w:rFonts w:ascii="Times New Roman" w:hAnsi="Times New Roman" w:cs="Times New Roman"/>
        </w:rPr>
        <w:t xml:space="preserve">nitóides foliados a gnáissicos, </w:t>
      </w:r>
      <w:r w:rsidRPr="005B56C8">
        <w:rPr>
          <w:rFonts w:ascii="Times New Roman" w:hAnsi="Times New Roman" w:cs="Times New Roman"/>
        </w:rPr>
        <w:t>dominantemente metaluminosos, calcialcalinos. Englobam os processos relac</w:t>
      </w:r>
      <w:r>
        <w:rPr>
          <w:rFonts w:ascii="Times New Roman" w:hAnsi="Times New Roman" w:cs="Times New Roman"/>
        </w:rPr>
        <w:t xml:space="preserve">ionados à </w:t>
      </w:r>
      <w:r w:rsidRPr="005B56C8">
        <w:rPr>
          <w:rFonts w:ascii="Times New Roman" w:hAnsi="Times New Roman" w:cs="Times New Roman"/>
        </w:rPr>
        <w:t>edificação do arco magmático calcialcalino. São const</w:t>
      </w:r>
      <w:r>
        <w:rPr>
          <w:rFonts w:ascii="Times New Roman" w:hAnsi="Times New Roman" w:cs="Times New Roman"/>
        </w:rPr>
        <w:t xml:space="preserve">ituídos, predominantemente, por </w:t>
      </w:r>
      <w:r w:rsidRPr="005B56C8">
        <w:rPr>
          <w:rFonts w:ascii="Times New Roman" w:hAnsi="Times New Roman" w:cs="Times New Roman"/>
        </w:rPr>
        <w:t>tonalitos e granodioritos com diorito subordinado e frequentes enclaves máficos. A foliação</w:t>
      </w:r>
      <w:r>
        <w:rPr>
          <w:rFonts w:ascii="Times New Roman" w:hAnsi="Times New Roman" w:cs="Times New Roman"/>
        </w:rPr>
        <w:t xml:space="preserve"> </w:t>
      </w:r>
      <w:r w:rsidRPr="005B56C8">
        <w:rPr>
          <w:rFonts w:ascii="Times New Roman" w:hAnsi="Times New Roman" w:cs="Times New Roman"/>
        </w:rPr>
        <w:t xml:space="preserve">está impressa nas rochas desta suíte bem como nos seus enclaves </w:t>
      </w:r>
      <w:r w:rsidRPr="00163FF8">
        <w:rPr>
          <w:rFonts w:ascii="Times New Roman" w:hAnsi="Times New Roman" w:cs="Times New Roman"/>
        </w:rPr>
        <w:t>(RADAMBRASIL, 1987 e PIRH, 2010</w:t>
      </w:r>
      <w:r w:rsidRPr="005B56C8">
        <w:rPr>
          <w:rFonts w:ascii="Times New Roman" w:hAnsi="Times New Roman" w:cs="Times New Roman"/>
        </w:rPr>
        <w:t>).</w:t>
      </w:r>
    </w:p>
    <w:p w:rsidR="00AD48E4" w:rsidRPr="00166C63" w:rsidRDefault="00AD48E4" w:rsidP="00166C63">
      <w:pPr>
        <w:ind w:firstLine="284"/>
        <w:rPr>
          <w:b/>
        </w:rPr>
      </w:pPr>
      <w:bookmarkStart w:id="54" w:name="_Toc372559033"/>
      <w:r w:rsidRPr="00166C63">
        <w:rPr>
          <w:b/>
        </w:rPr>
        <w:t>Grupo Rio Doce – NPrd</w:t>
      </w:r>
      <w:bookmarkEnd w:id="54"/>
    </w:p>
    <w:p w:rsidR="00AD48E4" w:rsidRDefault="00AD48E4" w:rsidP="00AB05F0">
      <w:pPr>
        <w:pStyle w:val="CM72"/>
        <w:spacing w:line="360" w:lineRule="auto"/>
        <w:ind w:firstLine="709"/>
        <w:jc w:val="both"/>
        <w:rPr>
          <w:rFonts w:ascii="Times New Roman" w:hAnsi="Times New Roman" w:cs="Times New Roman"/>
        </w:rPr>
      </w:pPr>
      <w:r w:rsidRPr="00AD5B0F">
        <w:rPr>
          <w:rFonts w:ascii="Times New Roman" w:hAnsi="Times New Roman" w:cs="Times New Roman"/>
        </w:rPr>
        <w:t>Situado no domínio oriental da Faixa Araçuaí,</w:t>
      </w:r>
      <w:r>
        <w:rPr>
          <w:rFonts w:ascii="Times New Roman" w:hAnsi="Times New Roman" w:cs="Times New Roman"/>
        </w:rPr>
        <w:t xml:space="preserve"> foi originalmente descrito por </w:t>
      </w:r>
      <w:r w:rsidRPr="00AD5B0F">
        <w:rPr>
          <w:rFonts w:ascii="Times New Roman" w:hAnsi="Times New Roman" w:cs="Times New Roman"/>
        </w:rPr>
        <w:t>BARBOSA (1966) na região do médio rio Doce. C</w:t>
      </w:r>
      <w:r>
        <w:rPr>
          <w:rFonts w:ascii="Times New Roman" w:hAnsi="Times New Roman" w:cs="Times New Roman"/>
        </w:rPr>
        <w:t xml:space="preserve">orresponde a uma mega-sequência </w:t>
      </w:r>
      <w:r w:rsidRPr="00AD5B0F">
        <w:rPr>
          <w:rFonts w:ascii="Times New Roman" w:hAnsi="Times New Roman" w:cs="Times New Roman"/>
        </w:rPr>
        <w:t>dominantemente psamo-pelítica, sem termos conglomerático</w:t>
      </w:r>
      <w:r>
        <w:rPr>
          <w:rFonts w:ascii="Times New Roman" w:hAnsi="Times New Roman" w:cs="Times New Roman"/>
        </w:rPr>
        <w:t xml:space="preserve">s, e vulcânicos de idade </w:t>
      </w:r>
      <w:r w:rsidRPr="00AD5B0F">
        <w:rPr>
          <w:rFonts w:ascii="Times New Roman" w:hAnsi="Times New Roman" w:cs="Times New Roman"/>
        </w:rPr>
        <w:t>proterozóica que se estendem da região de Governador Valadares até as imediações de</w:t>
      </w:r>
      <w:r>
        <w:rPr>
          <w:rFonts w:ascii="Times New Roman" w:hAnsi="Times New Roman" w:cs="Times New Roman"/>
        </w:rPr>
        <w:t xml:space="preserve"> </w:t>
      </w:r>
      <w:r w:rsidRPr="00AD5B0F">
        <w:rPr>
          <w:rFonts w:ascii="Times New Roman" w:hAnsi="Times New Roman" w:cs="Times New Roman"/>
        </w:rPr>
        <w:t xml:space="preserve">Teófilo Otoni (PEDROSA-SOARES et al.; 1994). O </w:t>
      </w:r>
      <w:r>
        <w:rPr>
          <w:rFonts w:ascii="Times New Roman" w:hAnsi="Times New Roman" w:cs="Times New Roman"/>
        </w:rPr>
        <w:t xml:space="preserve">Grupo encontra-se complexamente </w:t>
      </w:r>
      <w:r w:rsidRPr="00AD5B0F">
        <w:rPr>
          <w:rFonts w:ascii="Times New Roman" w:hAnsi="Times New Roman" w:cs="Times New Roman"/>
        </w:rPr>
        <w:t>deformado e metamorfizado na fácies anfibolito</w:t>
      </w:r>
      <w:r>
        <w:rPr>
          <w:rFonts w:ascii="Times New Roman" w:hAnsi="Times New Roman" w:cs="Times New Roman"/>
        </w:rPr>
        <w:t xml:space="preserve"> </w:t>
      </w:r>
      <w:r w:rsidRPr="004C55A4">
        <w:rPr>
          <w:rFonts w:ascii="Times New Roman" w:hAnsi="Times New Roman" w:cs="Times New Roman"/>
        </w:rPr>
        <w:t>(</w:t>
      </w:r>
      <w:r>
        <w:rPr>
          <w:rFonts w:ascii="Times New Roman" w:hAnsi="Times New Roman" w:cs="Times New Roman"/>
        </w:rPr>
        <w:t>RADAMBRASIL, 1987 e PIRH, 2010)</w:t>
      </w:r>
      <w:r w:rsidRPr="00AD5B0F">
        <w:rPr>
          <w:rFonts w:ascii="Times New Roman" w:hAnsi="Times New Roman" w:cs="Times New Roman"/>
        </w:rPr>
        <w:t>.</w:t>
      </w:r>
    </w:p>
    <w:p w:rsidR="00AD48E4" w:rsidRPr="00166C63" w:rsidRDefault="00AD48E4" w:rsidP="00166C63">
      <w:pPr>
        <w:ind w:firstLine="284"/>
        <w:rPr>
          <w:b/>
        </w:rPr>
      </w:pPr>
      <w:bookmarkStart w:id="55" w:name="_Toc372559034"/>
      <w:r w:rsidRPr="00166C63">
        <w:rPr>
          <w:b/>
        </w:rPr>
        <w:t>Coberturas Terciárias – CT</w:t>
      </w:r>
      <w:bookmarkEnd w:id="55"/>
    </w:p>
    <w:p w:rsidR="00AD48E4" w:rsidRDefault="00AD48E4" w:rsidP="00AB05F0">
      <w:pPr>
        <w:pStyle w:val="CM72"/>
        <w:spacing w:line="360" w:lineRule="auto"/>
        <w:ind w:firstLine="709"/>
        <w:jc w:val="both"/>
        <w:rPr>
          <w:rFonts w:ascii="Times New Roman" w:hAnsi="Times New Roman" w:cs="Times New Roman"/>
        </w:rPr>
      </w:pPr>
      <w:r w:rsidRPr="00AD5B0F">
        <w:rPr>
          <w:rFonts w:ascii="Times New Roman" w:hAnsi="Times New Roman" w:cs="Times New Roman"/>
        </w:rPr>
        <w:t xml:space="preserve">As coberturas detríticas </w:t>
      </w:r>
      <w:r w:rsidR="00885F7E" w:rsidRPr="00AD5B0F">
        <w:rPr>
          <w:rFonts w:ascii="Times New Roman" w:hAnsi="Times New Roman" w:cs="Times New Roman"/>
        </w:rPr>
        <w:t>cenozoicas</w:t>
      </w:r>
      <w:r w:rsidRPr="00AD5B0F">
        <w:rPr>
          <w:rFonts w:ascii="Times New Roman" w:hAnsi="Times New Roman" w:cs="Times New Roman"/>
        </w:rPr>
        <w:t xml:space="preserve"> de idade in</w:t>
      </w:r>
      <w:r>
        <w:rPr>
          <w:rFonts w:ascii="Times New Roman" w:hAnsi="Times New Roman" w:cs="Times New Roman"/>
        </w:rPr>
        <w:t xml:space="preserve">discriminada, encontradas sobre </w:t>
      </w:r>
      <w:r w:rsidRPr="00AD5B0F">
        <w:rPr>
          <w:rFonts w:ascii="Times New Roman" w:hAnsi="Times New Roman" w:cs="Times New Roman"/>
        </w:rPr>
        <w:t>superfícies de aplainamento correspondentes à superfíci</w:t>
      </w:r>
      <w:r>
        <w:rPr>
          <w:rFonts w:ascii="Times New Roman" w:hAnsi="Times New Roman" w:cs="Times New Roman"/>
        </w:rPr>
        <w:t xml:space="preserve">e Sul-Americana, são eluviões e </w:t>
      </w:r>
      <w:r w:rsidRPr="00AD5B0F">
        <w:rPr>
          <w:rFonts w:ascii="Times New Roman" w:hAnsi="Times New Roman" w:cs="Times New Roman"/>
        </w:rPr>
        <w:t>coluviões eventualmente associados a sedimentos aluvionares de canais suspensos, que se</w:t>
      </w:r>
      <w:r>
        <w:rPr>
          <w:rFonts w:ascii="Times New Roman" w:hAnsi="Times New Roman" w:cs="Times New Roman"/>
        </w:rPr>
        <w:t xml:space="preserve"> </w:t>
      </w:r>
      <w:r w:rsidRPr="00AD5B0F">
        <w:rPr>
          <w:rFonts w:ascii="Times New Roman" w:hAnsi="Times New Roman" w:cs="Times New Roman"/>
        </w:rPr>
        <w:t>apresentam em graus variados de laterização</w:t>
      </w:r>
      <w:r>
        <w:rPr>
          <w:rFonts w:ascii="Times New Roman" w:hAnsi="Times New Roman" w:cs="Times New Roman"/>
        </w:rPr>
        <w:t xml:space="preserve"> </w:t>
      </w:r>
      <w:r w:rsidRPr="004C55A4">
        <w:rPr>
          <w:rFonts w:ascii="Times New Roman" w:hAnsi="Times New Roman" w:cs="Times New Roman"/>
        </w:rPr>
        <w:t>(RADAMB</w:t>
      </w:r>
      <w:r>
        <w:rPr>
          <w:rFonts w:ascii="Times New Roman" w:hAnsi="Times New Roman" w:cs="Times New Roman"/>
        </w:rPr>
        <w:t>RASIL, 1987 e PIRH, 2010)</w:t>
      </w:r>
      <w:r w:rsidRPr="00AD5B0F">
        <w:rPr>
          <w:rFonts w:ascii="Times New Roman" w:hAnsi="Times New Roman" w:cs="Times New Roman"/>
        </w:rPr>
        <w:t>.</w:t>
      </w:r>
    </w:p>
    <w:p w:rsidR="00AD48E4" w:rsidRPr="00166C63" w:rsidRDefault="00AD48E4" w:rsidP="00166C63">
      <w:pPr>
        <w:ind w:firstLine="284"/>
        <w:rPr>
          <w:b/>
        </w:rPr>
      </w:pPr>
      <w:bookmarkStart w:id="56" w:name="_Toc372559035"/>
      <w:r w:rsidRPr="00166C63">
        <w:rPr>
          <w:b/>
        </w:rPr>
        <w:t>Quaternário, Coberturas Aluvionares – CQa</w:t>
      </w:r>
      <w:bookmarkEnd w:id="56"/>
    </w:p>
    <w:p w:rsidR="00AD48E4" w:rsidRDefault="00AD48E4" w:rsidP="00AB05F0">
      <w:pPr>
        <w:pStyle w:val="CM72"/>
        <w:spacing w:line="360" w:lineRule="auto"/>
        <w:ind w:firstLine="709"/>
        <w:jc w:val="both"/>
        <w:rPr>
          <w:rFonts w:ascii="Times New Roman" w:hAnsi="Times New Roman" w:cs="Times New Roman"/>
        </w:rPr>
      </w:pPr>
      <w:r w:rsidRPr="00AD5B0F">
        <w:rPr>
          <w:rFonts w:ascii="Times New Roman" w:hAnsi="Times New Roman" w:cs="Times New Roman"/>
        </w:rPr>
        <w:t>Os depósitos aluvionares são compostos por areias, cas</w:t>
      </w:r>
      <w:r>
        <w:rPr>
          <w:rFonts w:ascii="Times New Roman" w:hAnsi="Times New Roman" w:cs="Times New Roman"/>
        </w:rPr>
        <w:t xml:space="preserve">calhos, siltes argilas e termos </w:t>
      </w:r>
      <w:r w:rsidRPr="00AD5B0F">
        <w:rPr>
          <w:rFonts w:ascii="Times New Roman" w:hAnsi="Times New Roman" w:cs="Times New Roman"/>
        </w:rPr>
        <w:t xml:space="preserve">mistos, com ou sem contribuição orgânica, depositados </w:t>
      </w:r>
      <w:r>
        <w:rPr>
          <w:rFonts w:ascii="Times New Roman" w:hAnsi="Times New Roman" w:cs="Times New Roman"/>
        </w:rPr>
        <w:t xml:space="preserve">em ambiente fluvial ao longo de </w:t>
      </w:r>
      <w:r w:rsidRPr="00AD5B0F">
        <w:rPr>
          <w:rFonts w:ascii="Times New Roman" w:hAnsi="Times New Roman" w:cs="Times New Roman"/>
        </w:rPr>
        <w:t>calhas, planícies de inundação e terraços. Localmente ocorrem depósitos de turfa</w:t>
      </w:r>
      <w:r>
        <w:rPr>
          <w:rFonts w:ascii="Times New Roman" w:hAnsi="Times New Roman" w:cs="Times New Roman"/>
        </w:rPr>
        <w:t xml:space="preserve"> </w:t>
      </w:r>
      <w:r w:rsidRPr="004C55A4">
        <w:rPr>
          <w:rFonts w:ascii="Times New Roman" w:hAnsi="Times New Roman" w:cs="Times New Roman"/>
        </w:rPr>
        <w:lastRenderedPageBreak/>
        <w:t>(RADAMBRASIL, 1987 e PIRH, 2010).</w:t>
      </w:r>
      <w:r>
        <w:rPr>
          <w:rFonts w:ascii="Times New Roman" w:hAnsi="Times New Roman" w:cs="Times New Roman"/>
        </w:rPr>
        <w:t xml:space="preserve"> </w:t>
      </w:r>
    </w:p>
    <w:p w:rsidR="00AD48E4" w:rsidRPr="00166C63" w:rsidRDefault="00AD48E4" w:rsidP="00166C63">
      <w:pPr>
        <w:ind w:firstLine="284"/>
        <w:rPr>
          <w:b/>
        </w:rPr>
      </w:pPr>
      <w:bookmarkStart w:id="57" w:name="_Toc372559036"/>
      <w:r w:rsidRPr="00166C63">
        <w:rPr>
          <w:b/>
        </w:rPr>
        <w:t>Granitoides Pós-Colisionais - FPg 5</w:t>
      </w:r>
      <w:bookmarkEnd w:id="57"/>
    </w:p>
    <w:p w:rsidR="00AD48E4" w:rsidRDefault="00AD48E4" w:rsidP="00AB05F0">
      <w:pPr>
        <w:pStyle w:val="CM72"/>
        <w:spacing w:line="360" w:lineRule="auto"/>
        <w:ind w:firstLine="709"/>
        <w:jc w:val="both"/>
        <w:rPr>
          <w:rFonts w:ascii="Times New Roman" w:hAnsi="Times New Roman" w:cs="Times New Roman"/>
        </w:rPr>
      </w:pPr>
      <w:r w:rsidRPr="00E00DD4">
        <w:rPr>
          <w:rFonts w:ascii="Times New Roman" w:hAnsi="Times New Roman" w:cs="Times New Roman"/>
        </w:rPr>
        <w:t>Constituídos de intrusões gr</w:t>
      </w:r>
      <w:r>
        <w:rPr>
          <w:rFonts w:ascii="Times New Roman" w:hAnsi="Times New Roman" w:cs="Times New Roman"/>
        </w:rPr>
        <w:t>aníticas</w:t>
      </w:r>
      <w:r w:rsidRPr="00E00DD4">
        <w:rPr>
          <w:rFonts w:ascii="Times New Roman" w:hAnsi="Times New Roman" w:cs="Times New Roman"/>
        </w:rPr>
        <w:t>, ta</w:t>
      </w:r>
      <w:r>
        <w:rPr>
          <w:rFonts w:ascii="Times New Roman" w:hAnsi="Times New Roman" w:cs="Times New Roman"/>
        </w:rPr>
        <w:t xml:space="preserve">mbém do estágio pós-colisional, </w:t>
      </w:r>
      <w:r w:rsidRPr="00E00DD4">
        <w:rPr>
          <w:rFonts w:ascii="Times New Roman" w:hAnsi="Times New Roman" w:cs="Times New Roman"/>
        </w:rPr>
        <w:t>livres da foliação regional, cuja ocorrência se limita ao núcleo do Orógeno Araçuaí. Estas</w:t>
      </w:r>
      <w:r>
        <w:rPr>
          <w:rFonts w:ascii="Times New Roman" w:hAnsi="Times New Roman" w:cs="Times New Roman"/>
        </w:rPr>
        <w:t xml:space="preserve"> </w:t>
      </w:r>
      <w:r w:rsidRPr="00E00DD4">
        <w:rPr>
          <w:rFonts w:ascii="Times New Roman" w:hAnsi="Times New Roman" w:cs="Times New Roman"/>
        </w:rPr>
        <w:t>intrusões podem conter fácies charnockíticas e enderbíticas. Na porção sul do orógeno, em</w:t>
      </w:r>
      <w:r>
        <w:rPr>
          <w:rFonts w:ascii="Times New Roman" w:hAnsi="Times New Roman" w:cs="Times New Roman"/>
        </w:rPr>
        <w:t xml:space="preserve"> </w:t>
      </w:r>
      <w:r w:rsidRPr="00E00DD4">
        <w:rPr>
          <w:rFonts w:ascii="Times New Roman" w:hAnsi="Times New Roman" w:cs="Times New Roman"/>
        </w:rPr>
        <w:t>decorrência da exposição de nível crustal mais profundo, são comuns os plútons zonados</w:t>
      </w:r>
      <w:r>
        <w:rPr>
          <w:rFonts w:ascii="Times New Roman" w:hAnsi="Times New Roman" w:cs="Times New Roman"/>
        </w:rPr>
        <w:t xml:space="preserve"> </w:t>
      </w:r>
      <w:r w:rsidRPr="00E00DD4">
        <w:rPr>
          <w:rFonts w:ascii="Times New Roman" w:hAnsi="Times New Roman" w:cs="Times New Roman"/>
        </w:rPr>
        <w:t xml:space="preserve">que mostram núcleos (raízes) de composição básica </w:t>
      </w:r>
      <w:r w:rsidRPr="004C55A4">
        <w:rPr>
          <w:rFonts w:ascii="Times New Roman" w:hAnsi="Times New Roman" w:cs="Times New Roman"/>
        </w:rPr>
        <w:t>(RADAMBRASIL, 1987 e PIRH, 2010</w:t>
      </w:r>
      <w:r w:rsidRPr="00E00DD4">
        <w:rPr>
          <w:rFonts w:ascii="Times New Roman" w:hAnsi="Times New Roman" w:cs="Times New Roman"/>
        </w:rPr>
        <w:t>).</w:t>
      </w:r>
    </w:p>
    <w:p w:rsidR="00AD48E4" w:rsidRPr="00BA0A14" w:rsidRDefault="00A64C12" w:rsidP="00971B37">
      <w:pPr>
        <w:pStyle w:val="Titulo"/>
      </w:pPr>
      <w:bookmarkStart w:id="58" w:name="_Toc372559037"/>
      <w:bookmarkStart w:id="59" w:name="_Toc372789485"/>
      <w:r>
        <w:t xml:space="preserve">7.3 </w:t>
      </w:r>
      <w:r w:rsidRPr="00BA0A14">
        <w:t>Geomorfologia</w:t>
      </w:r>
      <w:bookmarkEnd w:id="58"/>
      <w:bookmarkEnd w:id="59"/>
    </w:p>
    <w:p w:rsidR="00AD48E4" w:rsidRPr="00A04754" w:rsidRDefault="00A64C12" w:rsidP="00A04754">
      <w:pPr>
        <w:pStyle w:val="Estilo1"/>
      </w:pPr>
      <w:bookmarkStart w:id="60" w:name="_Toc372559038"/>
      <w:r w:rsidRPr="00A04754">
        <w:t xml:space="preserve">7.3.1 </w:t>
      </w:r>
      <w:r w:rsidR="00AD48E4" w:rsidRPr="00A04754">
        <w:t>Caracterização Geomorfológica do município de Aimorés</w:t>
      </w:r>
      <w:bookmarkEnd w:id="60"/>
    </w:p>
    <w:p w:rsidR="00AD48E4" w:rsidRDefault="00AD48E4" w:rsidP="00AB05F0">
      <w:pPr>
        <w:pStyle w:val="CM72"/>
        <w:spacing w:line="360" w:lineRule="auto"/>
        <w:ind w:firstLine="709"/>
        <w:jc w:val="both"/>
        <w:rPr>
          <w:rFonts w:ascii="Times New Roman" w:hAnsi="Times New Roman" w:cs="Times New Roman"/>
        </w:rPr>
      </w:pPr>
      <w:r>
        <w:rPr>
          <w:rFonts w:ascii="Times New Roman" w:hAnsi="Times New Roman" w:cs="Times New Roman"/>
        </w:rPr>
        <w:t>Na área de abrangência do município de Aimorés</w:t>
      </w:r>
      <w:r w:rsidRPr="00066C07">
        <w:rPr>
          <w:rFonts w:ascii="Times New Roman" w:hAnsi="Times New Roman" w:cs="Times New Roman"/>
        </w:rPr>
        <w:t xml:space="preserve"> evidencia-se a predominân</w:t>
      </w:r>
      <w:r>
        <w:rPr>
          <w:rFonts w:ascii="Times New Roman" w:hAnsi="Times New Roman" w:cs="Times New Roman"/>
        </w:rPr>
        <w:t xml:space="preserve">cia dos processos de dissecação </w:t>
      </w:r>
      <w:r w:rsidRPr="00066C07">
        <w:rPr>
          <w:rFonts w:ascii="Times New Roman" w:hAnsi="Times New Roman" w:cs="Times New Roman"/>
        </w:rPr>
        <w:t>fluvial e de acumulação, que promoveram a degradaçã</w:t>
      </w:r>
      <w:r>
        <w:rPr>
          <w:rFonts w:ascii="Times New Roman" w:hAnsi="Times New Roman" w:cs="Times New Roman"/>
        </w:rPr>
        <w:t xml:space="preserve">o da superfície de aplainamento </w:t>
      </w:r>
      <w:r w:rsidRPr="00066C07">
        <w:rPr>
          <w:rFonts w:ascii="Times New Roman" w:hAnsi="Times New Roman" w:cs="Times New Roman"/>
        </w:rPr>
        <w:t>original. A grande maioria das formas de relevo encontradas na área</w:t>
      </w:r>
      <w:r>
        <w:rPr>
          <w:rFonts w:ascii="Times New Roman" w:hAnsi="Times New Roman" w:cs="Times New Roman"/>
        </w:rPr>
        <w:t>,</w:t>
      </w:r>
      <w:r w:rsidRPr="00066C07">
        <w:rPr>
          <w:rFonts w:ascii="Times New Roman" w:hAnsi="Times New Roman" w:cs="Times New Roman"/>
        </w:rPr>
        <w:t xml:space="preserve"> resultou do trabalho</w:t>
      </w:r>
      <w:r>
        <w:rPr>
          <w:rFonts w:ascii="Times New Roman" w:hAnsi="Times New Roman" w:cs="Times New Roman"/>
        </w:rPr>
        <w:t xml:space="preserve"> </w:t>
      </w:r>
      <w:r w:rsidRPr="00066C07">
        <w:rPr>
          <w:rFonts w:ascii="Times New Roman" w:hAnsi="Times New Roman" w:cs="Times New Roman"/>
        </w:rPr>
        <w:t>de entalhamento linear pela drenagem de diferentes orde</w:t>
      </w:r>
      <w:r>
        <w:rPr>
          <w:rFonts w:ascii="Times New Roman" w:hAnsi="Times New Roman" w:cs="Times New Roman"/>
        </w:rPr>
        <w:t xml:space="preserve">ns de grandeza. Os processos de </w:t>
      </w:r>
      <w:r w:rsidRPr="00066C07">
        <w:rPr>
          <w:rFonts w:ascii="Times New Roman" w:hAnsi="Times New Roman" w:cs="Times New Roman"/>
        </w:rPr>
        <w:t>dissecação fluvial atuaram em duas etapas: a primeira, ocorrida no Terciário-Quaternário,</w:t>
      </w:r>
      <w:r>
        <w:rPr>
          <w:rFonts w:ascii="Times New Roman" w:hAnsi="Times New Roman" w:cs="Times New Roman"/>
        </w:rPr>
        <w:t xml:space="preserve"> </w:t>
      </w:r>
      <w:r w:rsidRPr="00066C07">
        <w:rPr>
          <w:rFonts w:ascii="Times New Roman" w:hAnsi="Times New Roman" w:cs="Times New Roman"/>
        </w:rPr>
        <w:t>sob condições climáticas úmidas, quando a drenagem principal, constituída pelo rio Doce e</w:t>
      </w:r>
      <w:r>
        <w:rPr>
          <w:rFonts w:ascii="Times New Roman" w:hAnsi="Times New Roman" w:cs="Times New Roman"/>
        </w:rPr>
        <w:t xml:space="preserve"> </w:t>
      </w:r>
      <w:r w:rsidRPr="00066C07">
        <w:rPr>
          <w:rFonts w:ascii="Times New Roman" w:hAnsi="Times New Roman" w:cs="Times New Roman"/>
        </w:rPr>
        <w:t>principais afluentes promoveu a incisão dos vales que deu origem à Depressão do rio Doce</w:t>
      </w:r>
      <w:r>
        <w:rPr>
          <w:rFonts w:ascii="Times New Roman" w:hAnsi="Times New Roman" w:cs="Times New Roman"/>
        </w:rPr>
        <w:t xml:space="preserve"> </w:t>
      </w:r>
      <w:r w:rsidRPr="00066C07">
        <w:rPr>
          <w:rFonts w:ascii="Times New Roman" w:hAnsi="Times New Roman" w:cs="Times New Roman"/>
        </w:rPr>
        <w:t xml:space="preserve">e dissecou os planaltos. Posteriormente, os climas </w:t>
      </w:r>
      <w:r w:rsidR="00885F7E" w:rsidRPr="00066C07">
        <w:rPr>
          <w:rFonts w:ascii="Times New Roman" w:hAnsi="Times New Roman" w:cs="Times New Roman"/>
        </w:rPr>
        <w:t>semiári</w:t>
      </w:r>
      <w:r w:rsidR="00885F7E">
        <w:rPr>
          <w:rFonts w:ascii="Times New Roman" w:hAnsi="Times New Roman" w:cs="Times New Roman"/>
        </w:rPr>
        <w:t>dos</w:t>
      </w:r>
      <w:r>
        <w:rPr>
          <w:rFonts w:ascii="Times New Roman" w:hAnsi="Times New Roman" w:cs="Times New Roman"/>
        </w:rPr>
        <w:t xml:space="preserve"> do Pleistoceno permitiram o </w:t>
      </w:r>
      <w:r w:rsidRPr="00066C07">
        <w:rPr>
          <w:rFonts w:ascii="Times New Roman" w:hAnsi="Times New Roman" w:cs="Times New Roman"/>
        </w:rPr>
        <w:t>alargamento dos vales por processos de pedimentação, o</w:t>
      </w:r>
      <w:r>
        <w:rPr>
          <w:rFonts w:ascii="Times New Roman" w:hAnsi="Times New Roman" w:cs="Times New Roman"/>
        </w:rPr>
        <w:t xml:space="preserve">riginando assim a superfície de </w:t>
      </w:r>
      <w:r w:rsidRPr="00066C07">
        <w:rPr>
          <w:rFonts w:ascii="Times New Roman" w:hAnsi="Times New Roman" w:cs="Times New Roman"/>
        </w:rPr>
        <w:t>aplainamento pleistocênica que caracteriza as grande</w:t>
      </w:r>
      <w:r>
        <w:rPr>
          <w:rFonts w:ascii="Times New Roman" w:hAnsi="Times New Roman" w:cs="Times New Roman"/>
        </w:rPr>
        <w:t xml:space="preserve">s depressões brasileiras </w:t>
      </w:r>
      <w:r w:rsidRPr="004C55A4">
        <w:rPr>
          <w:rFonts w:ascii="Times New Roman" w:hAnsi="Times New Roman" w:cs="Times New Roman"/>
        </w:rPr>
        <w:t>(</w:t>
      </w:r>
      <w:r>
        <w:rPr>
          <w:rFonts w:ascii="Times New Roman" w:hAnsi="Times New Roman" w:cs="Times New Roman"/>
        </w:rPr>
        <w:t xml:space="preserve">RADAMBRASIL, 1987 e PIRH, 2010). </w:t>
      </w:r>
    </w:p>
    <w:p w:rsidR="00AD48E4" w:rsidRDefault="00AD48E4" w:rsidP="00AB05F0">
      <w:pPr>
        <w:pStyle w:val="CM72"/>
        <w:spacing w:line="360" w:lineRule="auto"/>
        <w:ind w:firstLine="709"/>
        <w:jc w:val="both"/>
        <w:rPr>
          <w:rFonts w:ascii="Times New Roman" w:hAnsi="Times New Roman" w:cs="Times New Roman"/>
        </w:rPr>
      </w:pPr>
      <w:r w:rsidRPr="00767B27">
        <w:rPr>
          <w:rFonts w:ascii="Times New Roman" w:hAnsi="Times New Roman" w:cs="Times New Roman"/>
        </w:rPr>
        <w:t>A segunda etapa de dissecação do relevo co</w:t>
      </w:r>
      <w:r>
        <w:rPr>
          <w:rFonts w:ascii="Times New Roman" w:hAnsi="Times New Roman" w:cs="Times New Roman"/>
        </w:rPr>
        <w:t xml:space="preserve">rresponde ao aprofundamento dos </w:t>
      </w:r>
      <w:r w:rsidRPr="00767B27">
        <w:rPr>
          <w:rFonts w:ascii="Times New Roman" w:hAnsi="Times New Roman" w:cs="Times New Roman"/>
        </w:rPr>
        <w:t>cursos de água e ao recuo de cabeceiras ocorridos no in</w:t>
      </w:r>
      <w:r>
        <w:rPr>
          <w:rFonts w:ascii="Times New Roman" w:hAnsi="Times New Roman" w:cs="Times New Roman"/>
        </w:rPr>
        <w:t xml:space="preserve">terior da Depressão do rio Doce </w:t>
      </w:r>
      <w:r w:rsidRPr="00767B27">
        <w:rPr>
          <w:rFonts w:ascii="Times New Roman" w:hAnsi="Times New Roman" w:cs="Times New Roman"/>
        </w:rPr>
        <w:t>durante o Quaternário Superior. As colinas e vales encaixados ou</w:t>
      </w:r>
      <w:r>
        <w:rPr>
          <w:rFonts w:ascii="Times New Roman" w:hAnsi="Times New Roman" w:cs="Times New Roman"/>
        </w:rPr>
        <w:t xml:space="preserve"> </w:t>
      </w:r>
      <w:r w:rsidRPr="00767B27">
        <w:rPr>
          <w:rFonts w:ascii="Times New Roman" w:hAnsi="Times New Roman" w:cs="Times New Roman"/>
        </w:rPr>
        <w:t>de fundo chato, cristas e pontões são as formas d</w:t>
      </w:r>
      <w:r>
        <w:rPr>
          <w:rFonts w:ascii="Times New Roman" w:hAnsi="Times New Roman" w:cs="Times New Roman"/>
        </w:rPr>
        <w:t xml:space="preserve">e relevo mais frequentes na área do município de Aimorés </w:t>
      </w:r>
      <w:r w:rsidRPr="00314E17">
        <w:rPr>
          <w:rFonts w:ascii="Times New Roman" w:hAnsi="Times New Roman" w:cs="Times New Roman"/>
        </w:rPr>
        <w:t>(Figura 1</w:t>
      </w:r>
      <w:r w:rsidR="00A64C12">
        <w:rPr>
          <w:rFonts w:ascii="Times New Roman" w:hAnsi="Times New Roman" w:cs="Times New Roman"/>
        </w:rPr>
        <w:t>2</w:t>
      </w:r>
      <w:r w:rsidRPr="00314E17">
        <w:rPr>
          <w:rFonts w:ascii="Times New Roman" w:hAnsi="Times New Roman" w:cs="Times New Roman"/>
        </w:rPr>
        <w:t>) (RADAMBRASIL, 1987 e PIRH, 2010).</w:t>
      </w:r>
    </w:p>
    <w:p w:rsidR="001D2F23" w:rsidRDefault="001D2F23" w:rsidP="001D2F23">
      <w:pPr>
        <w:pStyle w:val="Default"/>
      </w:pPr>
    </w:p>
    <w:p w:rsidR="001D2F23" w:rsidRDefault="001D2F23" w:rsidP="001D2F23">
      <w:pPr>
        <w:pStyle w:val="Default"/>
      </w:pPr>
    </w:p>
    <w:p w:rsidR="001D2F23" w:rsidRPr="001D2F23" w:rsidRDefault="001D2F23" w:rsidP="001D2F23">
      <w:pPr>
        <w:pStyle w:val="Default"/>
      </w:pPr>
    </w:p>
    <w:p w:rsidR="00AD48E4" w:rsidRDefault="002847A2" w:rsidP="002847A2">
      <w:pPr>
        <w:pStyle w:val="Legenda"/>
      </w:pPr>
      <w:bookmarkStart w:id="61" w:name="_Toc372740095"/>
      <w:r>
        <w:t xml:space="preserve">Figura </w:t>
      </w:r>
      <w:fldSimple w:instr=" SEQ Figura \* ARABIC ">
        <w:r w:rsidR="004F77E2">
          <w:rPr>
            <w:noProof/>
          </w:rPr>
          <w:t>12</w:t>
        </w:r>
      </w:fldSimple>
      <w:r>
        <w:t xml:space="preserve">- </w:t>
      </w:r>
      <w:r w:rsidRPr="00640458">
        <w:rPr>
          <w:noProof/>
        </w:rPr>
        <w:t>Processos Morfodinâmicos e Formas de Relevo no Município de Aimorés</w:t>
      </w:r>
      <w:bookmarkEnd w:id="61"/>
      <w:r w:rsidR="001D2F23">
        <w:rPr>
          <w:noProof/>
        </w:rPr>
        <w:t>.</w:t>
      </w:r>
    </w:p>
    <w:p w:rsidR="00AD48E4" w:rsidRDefault="00AD48E4" w:rsidP="00AD48E4">
      <w:pPr>
        <w:spacing w:before="120" w:after="120" w:line="240" w:lineRule="auto"/>
        <w:jc w:val="center"/>
        <w:rPr>
          <w:rFonts w:cs="Times New Roman"/>
        </w:rPr>
      </w:pPr>
      <w:r>
        <w:rPr>
          <w:rFonts w:cs="Times New Roman"/>
          <w:noProof/>
          <w:lang w:eastAsia="pt-BR"/>
        </w:rPr>
        <w:lastRenderedPageBreak/>
        <w:drawing>
          <wp:inline distT="0" distB="0" distL="0" distR="0" wp14:anchorId="3311E905" wp14:editId="5125318B">
            <wp:extent cx="5400040" cy="3275100"/>
            <wp:effectExtent l="0" t="0" r="0" b="1905"/>
            <wp:docPr id="20" name="Imagem 20" descr="C:\Users\KLEBER\Desktop\Geomorfologia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LEBER\Desktop\Geomorfologia 0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0040" cy="3275100"/>
                    </a:xfrm>
                    <a:prstGeom prst="rect">
                      <a:avLst/>
                    </a:prstGeom>
                    <a:noFill/>
                    <a:ln>
                      <a:noFill/>
                    </a:ln>
                  </pic:spPr>
                </pic:pic>
              </a:graphicData>
            </a:graphic>
          </wp:inline>
        </w:drawing>
      </w:r>
    </w:p>
    <w:p w:rsidR="00AD48E4" w:rsidRPr="0026310B" w:rsidRDefault="00AD48E4" w:rsidP="001D2F23">
      <w:pPr>
        <w:spacing w:before="120" w:after="120" w:line="240" w:lineRule="auto"/>
        <w:ind w:left="142"/>
        <w:rPr>
          <w:rFonts w:cs="Times New Roman"/>
        </w:rPr>
      </w:pPr>
      <w:r w:rsidRPr="00B32877">
        <w:rPr>
          <w:rFonts w:cs="Times New Roman"/>
          <w:sz w:val="20"/>
        </w:rPr>
        <w:t>Fonte: Fundação Educacional de Caratinga – FUNEC, 2013</w:t>
      </w:r>
    </w:p>
    <w:p w:rsidR="00AD48E4" w:rsidRDefault="00AD48E4" w:rsidP="00AB05F0">
      <w:pPr>
        <w:pStyle w:val="CM72"/>
        <w:spacing w:before="240" w:line="360" w:lineRule="auto"/>
        <w:ind w:firstLine="709"/>
        <w:jc w:val="both"/>
        <w:rPr>
          <w:rFonts w:ascii="Times New Roman" w:hAnsi="Times New Roman" w:cs="Times New Roman"/>
        </w:rPr>
      </w:pPr>
      <w:r w:rsidRPr="00767B27">
        <w:rPr>
          <w:rFonts w:ascii="Times New Roman" w:hAnsi="Times New Roman" w:cs="Times New Roman"/>
        </w:rPr>
        <w:t>As f</w:t>
      </w:r>
      <w:r>
        <w:rPr>
          <w:rFonts w:ascii="Times New Roman" w:hAnsi="Times New Roman" w:cs="Times New Roman"/>
        </w:rPr>
        <w:t xml:space="preserve">ormas de acumulação abrangem as </w:t>
      </w:r>
      <w:r w:rsidRPr="00767B27">
        <w:rPr>
          <w:rFonts w:ascii="Times New Roman" w:hAnsi="Times New Roman" w:cs="Times New Roman"/>
        </w:rPr>
        <w:t>áreas de depósitos dedríticos não consolidados ao longo dos rios, constituindo as várzeas e</w:t>
      </w:r>
      <w:r>
        <w:rPr>
          <w:rFonts w:ascii="Times New Roman" w:hAnsi="Times New Roman" w:cs="Times New Roman"/>
        </w:rPr>
        <w:t xml:space="preserve"> </w:t>
      </w:r>
      <w:r w:rsidRPr="00767B27">
        <w:rPr>
          <w:rFonts w:ascii="Times New Roman" w:hAnsi="Times New Roman" w:cs="Times New Roman"/>
        </w:rPr>
        <w:t xml:space="preserve">os terraços e os vales colmatados por cones coluviais e rampas de colúvio. </w:t>
      </w:r>
    </w:p>
    <w:p w:rsidR="00CE6EAD" w:rsidRPr="00CE6EAD" w:rsidRDefault="00AD48E4" w:rsidP="00CE6EAD">
      <w:pPr>
        <w:pStyle w:val="CM72"/>
        <w:spacing w:line="360" w:lineRule="auto"/>
        <w:ind w:firstLine="708"/>
        <w:jc w:val="both"/>
        <w:rPr>
          <w:rFonts w:ascii="Times New Roman" w:hAnsi="Times New Roman" w:cs="Times New Roman"/>
        </w:rPr>
      </w:pPr>
      <w:r w:rsidRPr="00A70B67">
        <w:rPr>
          <w:rFonts w:ascii="Times New Roman" w:hAnsi="Times New Roman" w:cs="Times New Roman"/>
        </w:rPr>
        <w:t>A influência tectônica na conformação do relevo é mais significativa n</w:t>
      </w:r>
      <w:r>
        <w:rPr>
          <w:rFonts w:ascii="Times New Roman" w:hAnsi="Times New Roman" w:cs="Times New Roman"/>
        </w:rPr>
        <w:t xml:space="preserve">o distrito de Alto Capim, na porção Sul do município de Aimorés. </w:t>
      </w:r>
      <w:r w:rsidRPr="00A70B67">
        <w:rPr>
          <w:rFonts w:ascii="Times New Roman" w:hAnsi="Times New Roman" w:cs="Times New Roman"/>
        </w:rPr>
        <w:t>A drenagem constituída pelos afluentes da margem di</w:t>
      </w:r>
      <w:r>
        <w:rPr>
          <w:rFonts w:ascii="Times New Roman" w:hAnsi="Times New Roman" w:cs="Times New Roman"/>
        </w:rPr>
        <w:t xml:space="preserve">reita do rio Doce (alto </w:t>
      </w:r>
      <w:r w:rsidRPr="00A70B67">
        <w:rPr>
          <w:rFonts w:ascii="Times New Roman" w:hAnsi="Times New Roman" w:cs="Times New Roman"/>
        </w:rPr>
        <w:t>curso do Rio Capim) é encaixada e apresenta um controle estrutural em parte de seus cursos. A instabilidade das vertentes é um fenômeno c</w:t>
      </w:r>
      <w:r>
        <w:rPr>
          <w:rFonts w:ascii="Times New Roman" w:hAnsi="Times New Roman" w:cs="Times New Roman"/>
        </w:rPr>
        <w:t xml:space="preserve">omumente observado na zona rural e Aimorés </w:t>
      </w:r>
      <w:r w:rsidRPr="00B62B2D">
        <w:rPr>
          <w:rFonts w:ascii="Times New Roman" w:hAnsi="Times New Roman" w:cs="Times New Roman"/>
        </w:rPr>
        <w:t>(Figuras 1</w:t>
      </w:r>
      <w:r w:rsidR="00A64C12">
        <w:rPr>
          <w:rFonts w:ascii="Times New Roman" w:hAnsi="Times New Roman" w:cs="Times New Roman"/>
        </w:rPr>
        <w:t>3</w:t>
      </w:r>
      <w:r w:rsidRPr="00B62B2D">
        <w:rPr>
          <w:rFonts w:ascii="Times New Roman" w:hAnsi="Times New Roman" w:cs="Times New Roman"/>
        </w:rPr>
        <w:t xml:space="preserve"> e </w:t>
      </w:r>
      <w:r>
        <w:rPr>
          <w:rFonts w:ascii="Times New Roman" w:hAnsi="Times New Roman" w:cs="Times New Roman"/>
        </w:rPr>
        <w:t>1</w:t>
      </w:r>
      <w:r w:rsidR="00A64C12">
        <w:rPr>
          <w:rFonts w:ascii="Times New Roman" w:hAnsi="Times New Roman" w:cs="Times New Roman"/>
        </w:rPr>
        <w:t>4</w:t>
      </w:r>
      <w:r w:rsidRPr="00B62B2D">
        <w:rPr>
          <w:rFonts w:ascii="Times New Roman" w:hAnsi="Times New Roman" w:cs="Times New Roman"/>
        </w:rPr>
        <w:t>)</w:t>
      </w:r>
      <w:r w:rsidRPr="00A70B67">
        <w:rPr>
          <w:rFonts w:ascii="Times New Roman" w:hAnsi="Times New Roman" w:cs="Times New Roman"/>
        </w:rPr>
        <w:t>, mais especificamente na zona dos pontões com a ocorrência generalizada de f</w:t>
      </w:r>
      <w:r>
        <w:rPr>
          <w:rFonts w:ascii="Times New Roman" w:hAnsi="Times New Roman" w:cs="Times New Roman"/>
        </w:rPr>
        <w:t xml:space="preserve">ormas de erosão acelerada, originando a descida de material (colúvio) e escorregamentos </w:t>
      </w:r>
      <w:r w:rsidRPr="004C55A4">
        <w:rPr>
          <w:rFonts w:ascii="Times New Roman" w:hAnsi="Times New Roman" w:cs="Times New Roman"/>
        </w:rPr>
        <w:t>(RADAMBRASIL, 1987 e PIRH, 2010).</w:t>
      </w:r>
    </w:p>
    <w:p w:rsidR="004B6B35" w:rsidRDefault="004B6B35">
      <w:pPr>
        <w:spacing w:after="200" w:line="276" w:lineRule="auto"/>
        <w:rPr>
          <w:rFonts w:eastAsia="Times New Roman" w:cs="Tahoma"/>
          <w:b/>
          <w:bCs/>
          <w:szCs w:val="20"/>
          <w:lang w:eastAsia="pt-BR"/>
        </w:rPr>
      </w:pPr>
      <w:bookmarkStart w:id="62" w:name="_Toc372740096"/>
      <w:r>
        <w:br w:type="page"/>
      </w:r>
    </w:p>
    <w:p w:rsidR="00AD48E4" w:rsidRPr="00B32877" w:rsidRDefault="002847A2" w:rsidP="002847A2">
      <w:pPr>
        <w:pStyle w:val="Legenda"/>
        <w:rPr>
          <w:b w:val="0"/>
        </w:rPr>
      </w:pPr>
      <w:r>
        <w:lastRenderedPageBreak/>
        <w:t xml:space="preserve">Figura </w:t>
      </w:r>
      <w:fldSimple w:instr=" SEQ Figura \* ARABIC ">
        <w:r w:rsidR="004F77E2">
          <w:rPr>
            <w:noProof/>
          </w:rPr>
          <w:t>13</w:t>
        </w:r>
      </w:fldSimple>
      <w:r>
        <w:t xml:space="preserve">- </w:t>
      </w:r>
      <w:r w:rsidRPr="00914EAE">
        <w:rPr>
          <w:noProof/>
        </w:rPr>
        <w:t>Material resultante (colúvio) de grandes deslizamentos no Distrito de Alto Capim.</w:t>
      </w:r>
      <w:bookmarkEnd w:id="62"/>
    </w:p>
    <w:p w:rsidR="00AD48E4" w:rsidRDefault="00AD48E4" w:rsidP="00AD48E4">
      <w:pPr>
        <w:spacing w:line="360" w:lineRule="auto"/>
        <w:jc w:val="center"/>
        <w:rPr>
          <w:rFonts w:cs="Times New Roman"/>
        </w:rPr>
      </w:pPr>
      <w:r>
        <w:rPr>
          <w:rFonts w:cs="Times New Roman"/>
          <w:noProof/>
          <w:lang w:eastAsia="pt-BR"/>
        </w:rPr>
        <w:drawing>
          <wp:inline distT="0" distB="0" distL="0" distR="0" wp14:anchorId="1AEA7B56" wp14:editId="308A63EA">
            <wp:extent cx="5481700" cy="4111142"/>
            <wp:effectExtent l="0" t="0" r="5080" b="3810"/>
            <wp:docPr id="24" name="Imagem 24" descr="C:\Users\KLEBER\Desktop\Nova pasta\TELA_COMPUTADOR\aimores_TABAUNA_ALTO_CAPIM\DSCF4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LEBER\Desktop\Nova pasta\TELA_COMPUTADOR\aimores_TABAUNA_ALTO_CAPIM\DSCF450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97912" cy="4123301"/>
                    </a:xfrm>
                    <a:prstGeom prst="rect">
                      <a:avLst/>
                    </a:prstGeom>
                    <a:noFill/>
                    <a:ln>
                      <a:noFill/>
                    </a:ln>
                  </pic:spPr>
                </pic:pic>
              </a:graphicData>
            </a:graphic>
          </wp:inline>
        </w:drawing>
      </w:r>
    </w:p>
    <w:p w:rsidR="00AD48E4" w:rsidRPr="0026310B" w:rsidRDefault="00AD48E4" w:rsidP="001D2F23">
      <w:pPr>
        <w:rPr>
          <w:rFonts w:cs="Times New Roman"/>
        </w:rPr>
      </w:pPr>
      <w:r w:rsidRPr="00B32877">
        <w:rPr>
          <w:rFonts w:cs="Times New Roman"/>
          <w:sz w:val="20"/>
        </w:rPr>
        <w:t>Fonte: Fundação Educacional de Caratinga – FUNEC, 2013</w:t>
      </w:r>
    </w:p>
    <w:p w:rsidR="00A64C12" w:rsidRDefault="00A64C12" w:rsidP="00A64C12">
      <w:pPr>
        <w:pStyle w:val="CM72"/>
        <w:spacing w:before="120" w:line="360" w:lineRule="auto"/>
        <w:ind w:firstLine="709"/>
        <w:jc w:val="both"/>
        <w:rPr>
          <w:rFonts w:ascii="Times New Roman" w:hAnsi="Times New Roman" w:cs="Times New Roman"/>
        </w:rPr>
      </w:pPr>
      <w:r w:rsidRPr="00A70B67">
        <w:rPr>
          <w:rFonts w:ascii="Times New Roman" w:hAnsi="Times New Roman" w:cs="Times New Roman"/>
        </w:rPr>
        <w:t>Na p</w:t>
      </w:r>
      <w:r>
        <w:rPr>
          <w:rFonts w:ascii="Times New Roman" w:hAnsi="Times New Roman" w:cs="Times New Roman"/>
        </w:rPr>
        <w:t>orção das</w:t>
      </w:r>
      <w:r w:rsidRPr="00A70B67">
        <w:rPr>
          <w:rFonts w:ascii="Times New Roman" w:hAnsi="Times New Roman" w:cs="Times New Roman"/>
        </w:rPr>
        <w:t xml:space="preserve"> colinas, observa-se uma predominân</w:t>
      </w:r>
      <w:r>
        <w:rPr>
          <w:rFonts w:ascii="Times New Roman" w:hAnsi="Times New Roman" w:cs="Times New Roman"/>
        </w:rPr>
        <w:t xml:space="preserve">cia das colinas concavo-convexas </w:t>
      </w:r>
      <w:r w:rsidRPr="00A70B67">
        <w:rPr>
          <w:rFonts w:ascii="Times New Roman" w:hAnsi="Times New Roman" w:cs="Times New Roman"/>
        </w:rPr>
        <w:t>com vales em V, vertentes ravinadas e cristas geralmente associadas às colinas. Encontram</w:t>
      </w:r>
      <w:r>
        <w:rPr>
          <w:rFonts w:ascii="Times New Roman" w:hAnsi="Times New Roman" w:cs="Times New Roman"/>
        </w:rPr>
        <w:t>-</w:t>
      </w:r>
      <w:r w:rsidRPr="00A70B67">
        <w:rPr>
          <w:rFonts w:ascii="Times New Roman" w:hAnsi="Times New Roman" w:cs="Times New Roman"/>
        </w:rPr>
        <w:t>se</w:t>
      </w:r>
      <w:r>
        <w:rPr>
          <w:rFonts w:ascii="Times New Roman" w:hAnsi="Times New Roman" w:cs="Times New Roman"/>
        </w:rPr>
        <w:t xml:space="preserve"> </w:t>
      </w:r>
      <w:r w:rsidRPr="00A70B67">
        <w:rPr>
          <w:rFonts w:ascii="Times New Roman" w:hAnsi="Times New Roman" w:cs="Times New Roman"/>
        </w:rPr>
        <w:t>alguns interflúvios tabulares, testemunhos de antig</w:t>
      </w:r>
      <w:r>
        <w:rPr>
          <w:rFonts w:ascii="Times New Roman" w:hAnsi="Times New Roman" w:cs="Times New Roman"/>
        </w:rPr>
        <w:t xml:space="preserve">as superfícies de aplainamento, </w:t>
      </w:r>
      <w:r w:rsidRPr="00A70B67">
        <w:rPr>
          <w:rFonts w:ascii="Times New Roman" w:hAnsi="Times New Roman" w:cs="Times New Roman"/>
        </w:rPr>
        <w:t>recobertos por depósitos de</w:t>
      </w:r>
      <w:r>
        <w:rPr>
          <w:rFonts w:ascii="Times New Roman" w:hAnsi="Times New Roman" w:cs="Times New Roman"/>
        </w:rPr>
        <w:t>n</w:t>
      </w:r>
      <w:r w:rsidRPr="00A70B67">
        <w:rPr>
          <w:rFonts w:ascii="Times New Roman" w:hAnsi="Times New Roman" w:cs="Times New Roman"/>
        </w:rPr>
        <w:t>dríticos argilosos.</w:t>
      </w:r>
      <w:r>
        <w:rPr>
          <w:rFonts w:ascii="Times New Roman" w:hAnsi="Times New Roman" w:cs="Times New Roman"/>
        </w:rPr>
        <w:t xml:space="preserve"> </w:t>
      </w:r>
      <w:r w:rsidRPr="00A70B67">
        <w:rPr>
          <w:rFonts w:ascii="Times New Roman" w:hAnsi="Times New Roman" w:cs="Times New Roman"/>
        </w:rPr>
        <w:t>As rochas pre</w:t>
      </w:r>
      <w:r>
        <w:rPr>
          <w:rFonts w:ascii="Times New Roman" w:hAnsi="Times New Roman" w:cs="Times New Roman"/>
        </w:rPr>
        <w:t xml:space="preserve">dominantes são biotita-gnaisses </w:t>
      </w:r>
      <w:r w:rsidRPr="00A70B67">
        <w:rPr>
          <w:rFonts w:ascii="Times New Roman" w:hAnsi="Times New Roman" w:cs="Times New Roman"/>
        </w:rPr>
        <w:t xml:space="preserve">e granito-gnaisses. </w:t>
      </w:r>
    </w:p>
    <w:p w:rsidR="00A64C12" w:rsidRDefault="00A64C12" w:rsidP="00A64C12">
      <w:pPr>
        <w:pStyle w:val="CM72"/>
        <w:spacing w:line="360" w:lineRule="auto"/>
        <w:ind w:firstLine="709"/>
        <w:jc w:val="both"/>
        <w:rPr>
          <w:rFonts w:ascii="Times New Roman" w:hAnsi="Times New Roman" w:cs="Times New Roman"/>
        </w:rPr>
      </w:pPr>
      <w:r>
        <w:rPr>
          <w:rFonts w:ascii="Times New Roman" w:hAnsi="Times New Roman" w:cs="Times New Roman"/>
        </w:rPr>
        <w:t>Na d</w:t>
      </w:r>
      <w:r w:rsidRPr="00A70B67">
        <w:rPr>
          <w:rFonts w:ascii="Times New Roman" w:hAnsi="Times New Roman" w:cs="Times New Roman"/>
        </w:rPr>
        <w:t>epressão do rio Doce instalada ao longo do r</w:t>
      </w:r>
      <w:r>
        <w:rPr>
          <w:rFonts w:ascii="Times New Roman" w:hAnsi="Times New Roman" w:cs="Times New Roman"/>
        </w:rPr>
        <w:t xml:space="preserve">io e seus afluentes, é uma zona </w:t>
      </w:r>
      <w:r w:rsidRPr="00A70B67">
        <w:rPr>
          <w:rFonts w:ascii="Times New Roman" w:hAnsi="Times New Roman" w:cs="Times New Roman"/>
        </w:rPr>
        <w:t>rebaixada com altitudes variando de 250 a 500m, con</w:t>
      </w:r>
      <w:r>
        <w:rPr>
          <w:rFonts w:ascii="Times New Roman" w:hAnsi="Times New Roman" w:cs="Times New Roman"/>
        </w:rPr>
        <w:t xml:space="preserve">figurando-se como uma depressão </w:t>
      </w:r>
      <w:r w:rsidRPr="00A70B67">
        <w:rPr>
          <w:rFonts w:ascii="Times New Roman" w:hAnsi="Times New Roman" w:cs="Times New Roman"/>
        </w:rPr>
        <w:t>interplanáltica. O contato com as formas de relevo dos planaltos circundantes é muito bem</w:t>
      </w:r>
      <w:r>
        <w:rPr>
          <w:rFonts w:ascii="Times New Roman" w:hAnsi="Times New Roman" w:cs="Times New Roman"/>
        </w:rPr>
        <w:t xml:space="preserve"> </w:t>
      </w:r>
      <w:r w:rsidRPr="00A70B67">
        <w:rPr>
          <w:rFonts w:ascii="Times New Roman" w:hAnsi="Times New Roman" w:cs="Times New Roman"/>
        </w:rPr>
        <w:t>marcado por d</w:t>
      </w:r>
      <w:r>
        <w:rPr>
          <w:rFonts w:ascii="Times New Roman" w:hAnsi="Times New Roman" w:cs="Times New Roman"/>
        </w:rPr>
        <w:t>esníveis altimétricos abruptos.</w:t>
      </w:r>
    </w:p>
    <w:p w:rsidR="00AD48E4" w:rsidRDefault="00AD48E4" w:rsidP="00AD48E4">
      <w:pPr>
        <w:spacing w:after="200" w:line="276" w:lineRule="auto"/>
        <w:rPr>
          <w:rFonts w:eastAsiaTheme="minorEastAsia" w:cs="Times New Roman"/>
          <w:bCs/>
          <w:szCs w:val="24"/>
          <w:lang w:eastAsia="pt-BR"/>
        </w:rPr>
      </w:pPr>
      <w:r>
        <w:br w:type="page"/>
      </w:r>
    </w:p>
    <w:p w:rsidR="00AD48E4" w:rsidRPr="00B32877" w:rsidRDefault="00AD48E4" w:rsidP="002847A2">
      <w:pPr>
        <w:pStyle w:val="Legenda"/>
        <w:rPr>
          <w:b w:val="0"/>
        </w:rPr>
      </w:pPr>
      <w:r w:rsidRPr="00B32877">
        <w:rPr>
          <w:b w:val="0"/>
        </w:rPr>
        <w:lastRenderedPageBreak/>
        <w:t xml:space="preserve"> </w:t>
      </w:r>
      <w:bookmarkStart w:id="63" w:name="_Toc372740097"/>
      <w:r w:rsidR="002847A2">
        <w:t xml:space="preserve">Figura </w:t>
      </w:r>
      <w:fldSimple w:instr=" SEQ Figura \* ARABIC ">
        <w:r w:rsidR="004F77E2">
          <w:rPr>
            <w:noProof/>
          </w:rPr>
          <w:t>14</w:t>
        </w:r>
      </w:fldSimple>
      <w:r w:rsidR="0083363A">
        <w:rPr>
          <w:noProof/>
        </w:rPr>
        <w:t xml:space="preserve"> </w:t>
      </w:r>
      <w:r w:rsidR="002847A2">
        <w:t xml:space="preserve">- </w:t>
      </w:r>
      <w:r w:rsidR="002847A2" w:rsidRPr="00234AE8">
        <w:rPr>
          <w:noProof/>
        </w:rPr>
        <w:t>Degrau oriundo de um deslizamento no Distrito de Tabaúna.</w:t>
      </w:r>
      <w:bookmarkEnd w:id="63"/>
    </w:p>
    <w:p w:rsidR="00AD48E4" w:rsidRDefault="00986205" w:rsidP="00AD48E4">
      <w:pPr>
        <w:spacing w:before="120" w:after="120" w:line="240" w:lineRule="auto"/>
        <w:jc w:val="center"/>
        <w:rPr>
          <w:rFonts w:cs="Times New Roman"/>
        </w:rPr>
      </w:pPr>
      <w:r>
        <w:rPr>
          <w:rFonts w:asciiTheme="minorHAnsi" w:hAnsiTheme="minorHAnsi"/>
          <w:noProof/>
          <w:lang w:eastAsia="pt-BR"/>
        </w:rPr>
        <mc:AlternateContent>
          <mc:Choice Requires="wps">
            <w:drawing>
              <wp:anchor distT="0" distB="0" distL="114300" distR="114300" simplePos="0" relativeHeight="251682816" behindDoc="0" locked="0" layoutInCell="1" allowOverlap="1" wp14:anchorId="4827E166" wp14:editId="3CFED448">
                <wp:simplePos x="0" y="0"/>
                <wp:positionH relativeFrom="column">
                  <wp:posOffset>3190875</wp:posOffset>
                </wp:positionH>
                <wp:positionV relativeFrom="paragraph">
                  <wp:posOffset>1377950</wp:posOffset>
                </wp:positionV>
                <wp:extent cx="636270" cy="675640"/>
                <wp:effectExtent l="38100" t="19050" r="30480" b="48260"/>
                <wp:wrapNone/>
                <wp:docPr id="49" name="Conector de seta reta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6270" cy="675640"/>
                        </a:xfrm>
                        <a:prstGeom prst="straightConnector1">
                          <a:avLst/>
                        </a:prstGeom>
                        <a:ln w="28575">
                          <a:solidFill>
                            <a:srgbClr val="FFFF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01C77AA7" id="_x0000_t32" coordsize="21600,21600" o:spt="32" o:oned="t" path="m,l21600,21600e" filled="f">
                <v:path arrowok="t" fillok="f" o:connecttype="none"/>
                <o:lock v:ext="edit" shapetype="t"/>
              </v:shapetype>
              <v:shape id="Conector de seta reta 11" o:spid="_x0000_s1026" type="#_x0000_t32" style="position:absolute;margin-left:251.25pt;margin-top:108.5pt;width:50.1pt;height:53.2pt;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" strokecolor="yellow" strokeweight="2.25pt">
                <v:stroke endarrow="open"/>
                <o:lock v:ext="edit" shapetype="f"/>
              </v:shape>
            </w:pict>
          </mc:Fallback>
        </mc:AlternateContent>
      </w:r>
      <w:r w:rsidR="00AD48E4">
        <w:rPr>
          <w:rFonts w:cs="Times New Roman"/>
          <w:noProof/>
          <w:lang w:eastAsia="pt-BR"/>
        </w:rPr>
        <w:drawing>
          <wp:inline distT="0" distB="0" distL="0" distR="0" wp14:anchorId="172299E9" wp14:editId="25774BA0">
            <wp:extent cx="5306125" cy="3979468"/>
            <wp:effectExtent l="0" t="0" r="0" b="2540"/>
            <wp:docPr id="27" name="Imagem 27" descr="C:\Users\KLEBER\Desktop\Nova pasta\TELA_COMPUTADOR\aimores_TABAUNA_ALTO_CAPIM\DSCF4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LEBER\Desktop\Nova pasta\TELA_COMPUTADOR\aimores_TABAUNA_ALTO_CAPIM\DSCF483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25731" cy="3994172"/>
                    </a:xfrm>
                    <a:prstGeom prst="rect">
                      <a:avLst/>
                    </a:prstGeom>
                    <a:noFill/>
                    <a:ln>
                      <a:noFill/>
                    </a:ln>
                  </pic:spPr>
                </pic:pic>
              </a:graphicData>
            </a:graphic>
          </wp:inline>
        </w:drawing>
      </w:r>
    </w:p>
    <w:p w:rsidR="00AD48E4" w:rsidRPr="0026310B" w:rsidRDefault="00AD48E4" w:rsidP="00A64C12">
      <w:pPr>
        <w:spacing w:before="120" w:after="120" w:line="240" w:lineRule="auto"/>
        <w:ind w:left="142"/>
        <w:rPr>
          <w:rFonts w:cs="Times New Roman"/>
        </w:rPr>
      </w:pPr>
      <w:r w:rsidRPr="00B32877">
        <w:rPr>
          <w:rFonts w:cs="Times New Roman"/>
          <w:sz w:val="20"/>
        </w:rPr>
        <w:t>Fonte: Fundação Educacional de Caratinga – FUNEC, 2013</w:t>
      </w:r>
    </w:p>
    <w:p w:rsidR="00AD48E4" w:rsidRDefault="00AD48E4" w:rsidP="00AB05F0">
      <w:pPr>
        <w:pStyle w:val="CM72"/>
        <w:spacing w:line="360" w:lineRule="auto"/>
        <w:ind w:firstLine="709"/>
        <w:jc w:val="both"/>
        <w:rPr>
          <w:rFonts w:ascii="Times New Roman" w:hAnsi="Times New Roman" w:cs="Times New Roman"/>
        </w:rPr>
      </w:pPr>
      <w:r w:rsidRPr="00621D1F">
        <w:rPr>
          <w:rFonts w:ascii="Times New Roman" w:hAnsi="Times New Roman" w:cs="Times New Roman"/>
        </w:rPr>
        <w:t>A Depressão se caracteriza pela presença de</w:t>
      </w:r>
      <w:r>
        <w:rPr>
          <w:rFonts w:ascii="Times New Roman" w:hAnsi="Times New Roman" w:cs="Times New Roman"/>
        </w:rPr>
        <w:t xml:space="preserve"> colinas com declividade média, </w:t>
      </w:r>
      <w:r w:rsidRPr="00621D1F">
        <w:rPr>
          <w:rFonts w:ascii="Times New Roman" w:hAnsi="Times New Roman" w:cs="Times New Roman"/>
        </w:rPr>
        <w:t>planícies fluviais colmatadas, rampas de colúvio e lagos de barragem natural. Predominam</w:t>
      </w:r>
      <w:r>
        <w:rPr>
          <w:rFonts w:ascii="Times New Roman" w:hAnsi="Times New Roman" w:cs="Times New Roman"/>
        </w:rPr>
        <w:t xml:space="preserve"> </w:t>
      </w:r>
      <w:r w:rsidRPr="00621D1F">
        <w:rPr>
          <w:rFonts w:ascii="Times New Roman" w:hAnsi="Times New Roman" w:cs="Times New Roman"/>
        </w:rPr>
        <w:t>as associações de colinas de topo plano e vales de fundo chato (cf). Os topos das colinas e</w:t>
      </w:r>
      <w:r>
        <w:rPr>
          <w:rFonts w:ascii="Times New Roman" w:hAnsi="Times New Roman" w:cs="Times New Roman"/>
        </w:rPr>
        <w:t xml:space="preserve"> </w:t>
      </w:r>
      <w:r w:rsidRPr="00621D1F">
        <w:rPr>
          <w:rFonts w:ascii="Times New Roman" w:hAnsi="Times New Roman" w:cs="Times New Roman"/>
        </w:rPr>
        <w:t>dos interflúvios tabulares correlacionam-se com a superfície de aplainamento pleistocênica,</w:t>
      </w:r>
      <w:r>
        <w:rPr>
          <w:rFonts w:ascii="Times New Roman" w:hAnsi="Times New Roman" w:cs="Times New Roman"/>
        </w:rPr>
        <w:t xml:space="preserve"> </w:t>
      </w:r>
      <w:r w:rsidRPr="00621D1F">
        <w:rPr>
          <w:rFonts w:ascii="Times New Roman" w:hAnsi="Times New Roman" w:cs="Times New Roman"/>
        </w:rPr>
        <w:t>responsável pela configuração das depressões evoluída</w:t>
      </w:r>
      <w:r>
        <w:rPr>
          <w:rFonts w:ascii="Times New Roman" w:hAnsi="Times New Roman" w:cs="Times New Roman"/>
        </w:rPr>
        <w:t xml:space="preserve">s ao longo da </w:t>
      </w:r>
      <w:r w:rsidRPr="00CB64EA">
        <w:rPr>
          <w:rFonts w:ascii="Times New Roman" w:hAnsi="Times New Roman" w:cs="Times New Roman"/>
        </w:rPr>
        <w:t>drenagem (Projeto RADAR-MG 1977</w:t>
      </w:r>
      <w:r>
        <w:rPr>
          <w:rFonts w:ascii="Times New Roman" w:hAnsi="Times New Roman" w:cs="Times New Roman"/>
        </w:rPr>
        <w:t>)</w:t>
      </w:r>
      <w:r w:rsidRPr="00621D1F">
        <w:rPr>
          <w:rFonts w:ascii="Times New Roman" w:hAnsi="Times New Roman" w:cs="Times New Roman"/>
        </w:rPr>
        <w:t>. Predominam os processos de</w:t>
      </w:r>
      <w:r>
        <w:rPr>
          <w:rFonts w:ascii="Times New Roman" w:hAnsi="Times New Roman" w:cs="Times New Roman"/>
        </w:rPr>
        <w:t xml:space="preserve"> </w:t>
      </w:r>
      <w:r w:rsidRPr="00621D1F">
        <w:rPr>
          <w:rFonts w:ascii="Times New Roman" w:hAnsi="Times New Roman" w:cs="Times New Roman"/>
        </w:rPr>
        <w:t>dissecação fluvial e acumulação, que promovera</w:t>
      </w:r>
      <w:r>
        <w:rPr>
          <w:rFonts w:ascii="Times New Roman" w:hAnsi="Times New Roman" w:cs="Times New Roman"/>
        </w:rPr>
        <w:t xml:space="preserve">m a degradação da superfície de </w:t>
      </w:r>
      <w:r w:rsidRPr="00621D1F">
        <w:rPr>
          <w:rFonts w:ascii="Times New Roman" w:hAnsi="Times New Roman" w:cs="Times New Roman"/>
        </w:rPr>
        <w:t>aplainamento. Remanescentes desta superfície são encontrados na parte leste desta unidade,</w:t>
      </w:r>
      <w:r>
        <w:rPr>
          <w:rFonts w:ascii="Times New Roman" w:hAnsi="Times New Roman" w:cs="Times New Roman"/>
        </w:rPr>
        <w:t xml:space="preserve"> em interflúvios</w:t>
      </w:r>
      <w:r w:rsidRPr="00621D1F">
        <w:rPr>
          <w:rFonts w:ascii="Times New Roman" w:hAnsi="Times New Roman" w:cs="Times New Roman"/>
        </w:rPr>
        <w:t xml:space="preserve"> tabulares (t), que apresentam uma cobertura de</w:t>
      </w:r>
      <w:r w:rsidR="00885F7E">
        <w:rPr>
          <w:rFonts w:ascii="Times New Roman" w:hAnsi="Times New Roman" w:cs="Times New Roman"/>
        </w:rPr>
        <w:t>n</w:t>
      </w:r>
      <w:r w:rsidRPr="00621D1F">
        <w:rPr>
          <w:rFonts w:ascii="Times New Roman" w:hAnsi="Times New Roman" w:cs="Times New Roman"/>
        </w:rPr>
        <w:t>drítica areno-argilosa geralmente</w:t>
      </w:r>
      <w:r>
        <w:rPr>
          <w:rFonts w:ascii="Times New Roman" w:hAnsi="Times New Roman" w:cs="Times New Roman"/>
        </w:rPr>
        <w:t xml:space="preserve"> lateritizada (</w:t>
      </w:r>
      <w:r w:rsidRPr="004C55A4">
        <w:rPr>
          <w:rFonts w:ascii="Times New Roman" w:hAnsi="Times New Roman" w:cs="Times New Roman"/>
        </w:rPr>
        <w:t>RADAMBRASIL, 1987 e PIRH, 2010).</w:t>
      </w:r>
    </w:p>
    <w:p w:rsidR="00AD48E4" w:rsidRDefault="00AD48E4" w:rsidP="00AB05F0">
      <w:pPr>
        <w:pStyle w:val="CM72"/>
        <w:spacing w:line="360" w:lineRule="auto"/>
        <w:ind w:firstLine="709"/>
        <w:jc w:val="both"/>
        <w:rPr>
          <w:rFonts w:ascii="Times New Roman" w:hAnsi="Times New Roman" w:cs="Times New Roman"/>
        </w:rPr>
      </w:pPr>
      <w:r w:rsidRPr="00621D1F">
        <w:rPr>
          <w:rFonts w:ascii="Times New Roman" w:hAnsi="Times New Roman" w:cs="Times New Roman"/>
        </w:rPr>
        <w:t>As planícies fluviomarinhas são constituídas por p</w:t>
      </w:r>
      <w:r>
        <w:rPr>
          <w:rFonts w:ascii="Times New Roman" w:hAnsi="Times New Roman" w:cs="Times New Roman"/>
        </w:rPr>
        <w:t xml:space="preserve">lanícies fluviais e terraços de </w:t>
      </w:r>
      <w:r w:rsidRPr="00621D1F">
        <w:rPr>
          <w:rFonts w:ascii="Times New Roman" w:hAnsi="Times New Roman" w:cs="Times New Roman"/>
        </w:rPr>
        <w:t>origem marinha e fluvio-marinha, englobando os sedimentos aluvi</w:t>
      </w:r>
      <w:r>
        <w:rPr>
          <w:rFonts w:ascii="Times New Roman" w:hAnsi="Times New Roman" w:cs="Times New Roman"/>
        </w:rPr>
        <w:t xml:space="preserve">ais e marinhos </w:t>
      </w:r>
      <w:r w:rsidRPr="00621D1F">
        <w:rPr>
          <w:rFonts w:ascii="Times New Roman" w:hAnsi="Times New Roman" w:cs="Times New Roman"/>
        </w:rPr>
        <w:t>depositados durante o Pleistoceno e Holoceno, ao longo d</w:t>
      </w:r>
      <w:r>
        <w:rPr>
          <w:rFonts w:ascii="Times New Roman" w:hAnsi="Times New Roman" w:cs="Times New Roman"/>
        </w:rPr>
        <w:t xml:space="preserve">o rio Doce até a sua foz. Essas </w:t>
      </w:r>
      <w:r w:rsidRPr="00621D1F">
        <w:rPr>
          <w:rFonts w:ascii="Times New Roman" w:hAnsi="Times New Roman" w:cs="Times New Roman"/>
        </w:rPr>
        <w:lastRenderedPageBreak/>
        <w:t>planícies apresentam ambiente diversificado e complex</w:t>
      </w:r>
      <w:r>
        <w:rPr>
          <w:rFonts w:ascii="Times New Roman" w:hAnsi="Times New Roman" w:cs="Times New Roman"/>
        </w:rPr>
        <w:t xml:space="preserve">o, influenciados por oscilações </w:t>
      </w:r>
      <w:r w:rsidRPr="00621D1F">
        <w:rPr>
          <w:rFonts w:ascii="Times New Roman" w:hAnsi="Times New Roman" w:cs="Times New Roman"/>
        </w:rPr>
        <w:t>eustáticas e climáticas e pelo controle do tectonismo regional. Compreendem um conjunto</w:t>
      </w:r>
      <w:r>
        <w:rPr>
          <w:rFonts w:ascii="Times New Roman" w:hAnsi="Times New Roman" w:cs="Times New Roman"/>
        </w:rPr>
        <w:t xml:space="preserve"> </w:t>
      </w:r>
      <w:r w:rsidRPr="00621D1F">
        <w:rPr>
          <w:rFonts w:ascii="Times New Roman" w:hAnsi="Times New Roman" w:cs="Times New Roman"/>
        </w:rPr>
        <w:t>de formas de relevo de agradação geradas durante o Pleistoceno Superior e o Holoceno por</w:t>
      </w:r>
      <w:r>
        <w:rPr>
          <w:rFonts w:ascii="Times New Roman" w:hAnsi="Times New Roman" w:cs="Times New Roman"/>
        </w:rPr>
        <w:t xml:space="preserve"> </w:t>
      </w:r>
      <w:r w:rsidRPr="00621D1F">
        <w:rPr>
          <w:rFonts w:ascii="Times New Roman" w:hAnsi="Times New Roman" w:cs="Times New Roman"/>
        </w:rPr>
        <w:t>interação dos processos fluviais, lagunares e mar</w:t>
      </w:r>
      <w:r>
        <w:rPr>
          <w:rFonts w:ascii="Times New Roman" w:hAnsi="Times New Roman" w:cs="Times New Roman"/>
        </w:rPr>
        <w:t xml:space="preserve">inhos determinados pelos ciclos </w:t>
      </w:r>
      <w:r w:rsidRPr="00621D1F">
        <w:rPr>
          <w:rFonts w:ascii="Times New Roman" w:hAnsi="Times New Roman" w:cs="Times New Roman"/>
        </w:rPr>
        <w:t>transgressivos-regressivos atua</w:t>
      </w:r>
      <w:r>
        <w:rPr>
          <w:rFonts w:ascii="Times New Roman" w:hAnsi="Times New Roman" w:cs="Times New Roman"/>
        </w:rPr>
        <w:t xml:space="preserve">ntes na costa leste brasileira </w:t>
      </w:r>
      <w:r w:rsidRPr="004C55A4">
        <w:rPr>
          <w:rFonts w:ascii="Times New Roman" w:hAnsi="Times New Roman" w:cs="Times New Roman"/>
        </w:rPr>
        <w:t>(RADAMBRASIL, 1987 e PIRH, 2010).</w:t>
      </w:r>
      <w:r>
        <w:rPr>
          <w:rFonts w:ascii="Times New Roman" w:hAnsi="Times New Roman" w:cs="Times New Roman"/>
        </w:rPr>
        <w:t xml:space="preserve"> </w:t>
      </w:r>
    </w:p>
    <w:p w:rsidR="00AD48E4" w:rsidRDefault="00AD48E4" w:rsidP="00AB05F0">
      <w:pPr>
        <w:pStyle w:val="CM72"/>
        <w:spacing w:line="360" w:lineRule="auto"/>
        <w:ind w:firstLine="709"/>
        <w:jc w:val="both"/>
        <w:rPr>
          <w:rFonts w:ascii="Times New Roman" w:hAnsi="Times New Roman" w:cs="Times New Roman"/>
        </w:rPr>
      </w:pPr>
      <w:r w:rsidRPr="00621D1F">
        <w:rPr>
          <w:rFonts w:ascii="Times New Roman" w:hAnsi="Times New Roman" w:cs="Times New Roman"/>
        </w:rPr>
        <w:t>A planície</w:t>
      </w:r>
      <w:r>
        <w:rPr>
          <w:rFonts w:ascii="Times New Roman" w:hAnsi="Times New Roman" w:cs="Times New Roman"/>
        </w:rPr>
        <w:t xml:space="preserve"> apresenta relevo plano a suave </w:t>
      </w:r>
      <w:r w:rsidRPr="00621D1F">
        <w:rPr>
          <w:rFonts w:ascii="Times New Roman" w:hAnsi="Times New Roman" w:cs="Times New Roman"/>
        </w:rPr>
        <w:t xml:space="preserve">ondulado, sendo constituída de material acumulativo, </w:t>
      </w:r>
      <w:r>
        <w:rPr>
          <w:rFonts w:ascii="Times New Roman" w:hAnsi="Times New Roman" w:cs="Times New Roman"/>
        </w:rPr>
        <w:t xml:space="preserve">do tipo aluvial e coluvial, com </w:t>
      </w:r>
      <w:r w:rsidRPr="00621D1F">
        <w:rPr>
          <w:rFonts w:ascii="Times New Roman" w:hAnsi="Times New Roman" w:cs="Times New Roman"/>
        </w:rPr>
        <w:t xml:space="preserve">larguras e extensões variadas. A proximidade com o litoral é </w:t>
      </w:r>
      <w:r>
        <w:rPr>
          <w:rFonts w:ascii="Times New Roman" w:hAnsi="Times New Roman" w:cs="Times New Roman"/>
        </w:rPr>
        <w:t xml:space="preserve">marcada pela influência </w:t>
      </w:r>
      <w:r w:rsidRPr="00621D1F">
        <w:rPr>
          <w:rFonts w:ascii="Times New Roman" w:hAnsi="Times New Roman" w:cs="Times New Roman"/>
        </w:rPr>
        <w:t>marinha na formação de mangues.</w:t>
      </w:r>
    </w:p>
    <w:p w:rsidR="00AD48E4" w:rsidRDefault="00AD48E4" w:rsidP="00AB05F0">
      <w:pPr>
        <w:pStyle w:val="CM72"/>
        <w:spacing w:line="360" w:lineRule="auto"/>
        <w:ind w:firstLine="709"/>
        <w:jc w:val="both"/>
        <w:rPr>
          <w:rFonts w:ascii="Times New Roman" w:hAnsi="Times New Roman" w:cs="Times New Roman"/>
        </w:rPr>
      </w:pPr>
      <w:r>
        <w:rPr>
          <w:rFonts w:ascii="Times New Roman" w:hAnsi="Times New Roman" w:cs="Times New Roman"/>
        </w:rPr>
        <w:t>O</w:t>
      </w:r>
      <w:r w:rsidRPr="00621D1F">
        <w:rPr>
          <w:rFonts w:ascii="Times New Roman" w:hAnsi="Times New Roman" w:cs="Times New Roman"/>
        </w:rPr>
        <w:t>s depósitos coluviais encontram-se normalmente mais</w:t>
      </w:r>
      <w:r>
        <w:rPr>
          <w:rFonts w:ascii="Times New Roman" w:hAnsi="Times New Roman" w:cs="Times New Roman"/>
        </w:rPr>
        <w:t xml:space="preserve"> </w:t>
      </w:r>
      <w:r w:rsidRPr="00621D1F">
        <w:rPr>
          <w:rFonts w:ascii="Times New Roman" w:hAnsi="Times New Roman" w:cs="Times New Roman"/>
        </w:rPr>
        <w:t>próximos das encostas.</w:t>
      </w:r>
      <w:r>
        <w:rPr>
          <w:rFonts w:ascii="Times New Roman" w:hAnsi="Times New Roman" w:cs="Times New Roman"/>
        </w:rPr>
        <w:t xml:space="preserve"> </w:t>
      </w:r>
    </w:p>
    <w:p w:rsidR="00AD48E4" w:rsidRPr="0044076B" w:rsidRDefault="00AD48E4" w:rsidP="00AB05F0">
      <w:pPr>
        <w:pStyle w:val="CM72"/>
        <w:spacing w:line="360" w:lineRule="auto"/>
        <w:ind w:firstLine="709"/>
        <w:jc w:val="both"/>
        <w:rPr>
          <w:rFonts w:ascii="Times New Roman" w:hAnsi="Times New Roman" w:cs="Times New Roman"/>
          <w:spacing w:val="-6"/>
        </w:rPr>
      </w:pPr>
      <w:r w:rsidRPr="0044076B">
        <w:rPr>
          <w:rFonts w:ascii="Times New Roman" w:hAnsi="Times New Roman" w:cs="Times New Roman"/>
          <w:spacing w:val="-6"/>
        </w:rPr>
        <w:t>As superfícies aplainadas caracterizam-se por extensas áreas planas e um conjunto de interflúvios tabulares (t) elaborados sobre sedimentos terciários do Grupo Barreiras, predominantemente arenitos feldspáticos e arcósios (RADAMBRASIL, 1987 e PIRH, 2010).</w:t>
      </w:r>
    </w:p>
    <w:p w:rsidR="00AD48E4" w:rsidRDefault="00AD48E4" w:rsidP="00AB05F0">
      <w:pPr>
        <w:pStyle w:val="CM72"/>
        <w:spacing w:line="360" w:lineRule="auto"/>
        <w:ind w:firstLine="709"/>
        <w:jc w:val="both"/>
        <w:rPr>
          <w:rFonts w:ascii="Times New Roman" w:hAnsi="Times New Roman" w:cs="Times New Roman"/>
        </w:rPr>
      </w:pPr>
      <w:r>
        <w:rPr>
          <w:rFonts w:ascii="Times New Roman" w:hAnsi="Times New Roman" w:cs="Times New Roman"/>
        </w:rPr>
        <w:t xml:space="preserve">A constituição litológica formada por </w:t>
      </w:r>
      <w:r w:rsidRPr="00621D1F">
        <w:rPr>
          <w:rFonts w:ascii="Times New Roman" w:hAnsi="Times New Roman" w:cs="Times New Roman"/>
        </w:rPr>
        <w:t>biotita xistos, migmat</w:t>
      </w:r>
      <w:r>
        <w:rPr>
          <w:rFonts w:ascii="Times New Roman" w:hAnsi="Times New Roman" w:cs="Times New Roman"/>
        </w:rPr>
        <w:t xml:space="preserve">itos, granitos e anfibolitos – </w:t>
      </w:r>
      <w:r w:rsidRPr="00621D1F">
        <w:rPr>
          <w:rFonts w:ascii="Times New Roman" w:hAnsi="Times New Roman" w:cs="Times New Roman"/>
        </w:rPr>
        <w:t>influenciada pelas oscilações climáticas contribu</w:t>
      </w:r>
      <w:r>
        <w:rPr>
          <w:rFonts w:ascii="Times New Roman" w:hAnsi="Times New Roman" w:cs="Times New Roman"/>
        </w:rPr>
        <w:t>em</w:t>
      </w:r>
      <w:r w:rsidRPr="00621D1F">
        <w:rPr>
          <w:rFonts w:ascii="Times New Roman" w:hAnsi="Times New Roman" w:cs="Times New Roman"/>
        </w:rPr>
        <w:t xml:space="preserve"> para a formação de espessos mantos de</w:t>
      </w:r>
      <w:r>
        <w:rPr>
          <w:rFonts w:ascii="Times New Roman" w:hAnsi="Times New Roman" w:cs="Times New Roman"/>
        </w:rPr>
        <w:t xml:space="preserve"> </w:t>
      </w:r>
      <w:r w:rsidRPr="00621D1F">
        <w:rPr>
          <w:rFonts w:ascii="Times New Roman" w:hAnsi="Times New Roman" w:cs="Times New Roman"/>
        </w:rPr>
        <w:t>intemperismo, permitindo o desenvolvimento de solo</w:t>
      </w:r>
      <w:r>
        <w:rPr>
          <w:rFonts w:ascii="Times New Roman" w:hAnsi="Times New Roman" w:cs="Times New Roman"/>
        </w:rPr>
        <w:t xml:space="preserve">s profundos em vários locais. A </w:t>
      </w:r>
      <w:r w:rsidRPr="00621D1F">
        <w:rPr>
          <w:rFonts w:ascii="Times New Roman" w:hAnsi="Times New Roman" w:cs="Times New Roman"/>
        </w:rPr>
        <w:t>retirada da cobertura vegetal contribui para a remoção desses solos pela aceleração dos</w:t>
      </w:r>
      <w:r>
        <w:rPr>
          <w:rFonts w:ascii="Times New Roman" w:hAnsi="Times New Roman" w:cs="Times New Roman"/>
        </w:rPr>
        <w:t xml:space="preserve"> </w:t>
      </w:r>
      <w:r w:rsidRPr="00621D1F">
        <w:rPr>
          <w:rFonts w:ascii="Times New Roman" w:hAnsi="Times New Roman" w:cs="Times New Roman"/>
        </w:rPr>
        <w:t>processos morfodinâmicos indicados por ravinas e sulc</w:t>
      </w:r>
      <w:r>
        <w:rPr>
          <w:rFonts w:ascii="Times New Roman" w:hAnsi="Times New Roman" w:cs="Times New Roman"/>
        </w:rPr>
        <w:t xml:space="preserve">os. A remobilização de material </w:t>
      </w:r>
      <w:r w:rsidRPr="00621D1F">
        <w:rPr>
          <w:rFonts w:ascii="Times New Roman" w:hAnsi="Times New Roman" w:cs="Times New Roman"/>
        </w:rPr>
        <w:t xml:space="preserve">alterado possibilita a </w:t>
      </w:r>
      <w:r>
        <w:rPr>
          <w:rFonts w:ascii="Times New Roman" w:hAnsi="Times New Roman" w:cs="Times New Roman"/>
        </w:rPr>
        <w:t xml:space="preserve">formação de depósitos coluviais </w:t>
      </w:r>
      <w:r w:rsidRPr="004C55A4">
        <w:rPr>
          <w:rFonts w:ascii="Times New Roman" w:hAnsi="Times New Roman" w:cs="Times New Roman"/>
        </w:rPr>
        <w:t>(RADAMBRASIL, 1987 e PIRH, 2010).</w:t>
      </w:r>
    </w:p>
    <w:p w:rsidR="00AD48E4" w:rsidRDefault="00B462CA" w:rsidP="00971B37">
      <w:pPr>
        <w:pStyle w:val="Titulo"/>
      </w:pPr>
      <w:bookmarkStart w:id="64" w:name="_Toc372559039"/>
      <w:bookmarkStart w:id="65" w:name="_Toc372789486"/>
      <w:r>
        <w:t xml:space="preserve">7.4 </w:t>
      </w:r>
      <w:r w:rsidRPr="003D43F0">
        <w:t>Pedologia</w:t>
      </w:r>
      <w:r>
        <w:t>.</w:t>
      </w:r>
      <w:bookmarkEnd w:id="64"/>
      <w:bookmarkEnd w:id="65"/>
    </w:p>
    <w:p w:rsidR="00AD48E4" w:rsidRPr="003D43F0" w:rsidRDefault="00B462CA" w:rsidP="00971B37">
      <w:pPr>
        <w:pStyle w:val="Titulo"/>
      </w:pPr>
      <w:bookmarkStart w:id="66" w:name="_Toc372559040"/>
      <w:bookmarkStart w:id="67" w:name="_Toc372789487"/>
      <w:r>
        <w:t xml:space="preserve">7.4.1 </w:t>
      </w:r>
      <w:r w:rsidR="00AD48E4">
        <w:t>Classes de Solos que abrangem o Município de Aimorés</w:t>
      </w:r>
      <w:bookmarkEnd w:id="66"/>
      <w:bookmarkEnd w:id="67"/>
    </w:p>
    <w:p w:rsidR="00AD48E4" w:rsidRDefault="00AD48E4" w:rsidP="00AB05F0">
      <w:pPr>
        <w:pStyle w:val="CM72"/>
        <w:spacing w:line="360" w:lineRule="auto"/>
        <w:ind w:firstLine="709"/>
        <w:jc w:val="both"/>
        <w:rPr>
          <w:rFonts w:ascii="Times New Roman" w:hAnsi="Times New Roman" w:cs="Times New Roman"/>
        </w:rPr>
      </w:pPr>
      <w:r w:rsidRPr="000A2A3C">
        <w:rPr>
          <w:rFonts w:ascii="Times New Roman" w:hAnsi="Times New Roman" w:cs="Times New Roman"/>
        </w:rPr>
        <w:t>As classes de solos identificados no município de Aimorés</w:t>
      </w:r>
      <w:r>
        <w:rPr>
          <w:rFonts w:ascii="Times New Roman" w:hAnsi="Times New Roman" w:cs="Times New Roman"/>
        </w:rPr>
        <w:t xml:space="preserve"> são os apresentados </w:t>
      </w:r>
      <w:r w:rsidRPr="006D491A">
        <w:rPr>
          <w:rFonts w:ascii="Times New Roman" w:hAnsi="Times New Roman" w:cs="Times New Roman"/>
        </w:rPr>
        <w:t>na Figura 1</w:t>
      </w:r>
      <w:r w:rsidR="00B462CA">
        <w:rPr>
          <w:rFonts w:ascii="Times New Roman" w:hAnsi="Times New Roman" w:cs="Times New Roman"/>
        </w:rPr>
        <w:t>5</w:t>
      </w:r>
      <w:r w:rsidRPr="006D491A">
        <w:rPr>
          <w:rFonts w:ascii="Times New Roman" w:hAnsi="Times New Roman" w:cs="Times New Roman"/>
        </w:rPr>
        <w:t>.</w:t>
      </w:r>
    </w:p>
    <w:p w:rsidR="000820A8" w:rsidRDefault="000820A8">
      <w:pPr>
        <w:spacing w:after="200" w:line="276" w:lineRule="auto"/>
        <w:rPr>
          <w:rFonts w:eastAsiaTheme="minorEastAsia" w:cs="Times New Roman"/>
          <w:b/>
          <w:bCs/>
          <w:szCs w:val="24"/>
          <w:lang w:eastAsia="pt-BR"/>
        </w:rPr>
      </w:pPr>
      <w:r>
        <w:rPr>
          <w:b/>
        </w:rPr>
        <w:br w:type="page"/>
      </w:r>
    </w:p>
    <w:p w:rsidR="00AD48E4" w:rsidRPr="006D491A" w:rsidRDefault="002847A2" w:rsidP="002847A2">
      <w:pPr>
        <w:pStyle w:val="Legenda"/>
        <w:rPr>
          <w:b w:val="0"/>
        </w:rPr>
      </w:pPr>
      <w:bookmarkStart w:id="68" w:name="_Toc372740098"/>
      <w:r>
        <w:lastRenderedPageBreak/>
        <w:t xml:space="preserve">Figura </w:t>
      </w:r>
      <w:fldSimple w:instr=" SEQ Figura \* ARABIC ">
        <w:r w:rsidR="004F77E2">
          <w:rPr>
            <w:noProof/>
          </w:rPr>
          <w:t>15</w:t>
        </w:r>
      </w:fldSimple>
      <w:r>
        <w:t xml:space="preserve">- </w:t>
      </w:r>
      <w:r w:rsidRPr="00CF7D9F">
        <w:t>Classes de solos identificadas no município de Aimorés.</w:t>
      </w:r>
      <w:bookmarkEnd w:id="68"/>
    </w:p>
    <w:p w:rsidR="00AD48E4" w:rsidRDefault="00AD48E4" w:rsidP="00AD48E4">
      <w:pPr>
        <w:spacing w:after="0" w:line="360" w:lineRule="auto"/>
        <w:jc w:val="both"/>
        <w:rPr>
          <w:rFonts w:cs="Times New Roman"/>
        </w:rPr>
      </w:pPr>
      <w:r>
        <w:rPr>
          <w:rFonts w:cs="Times New Roman"/>
          <w:noProof/>
          <w:lang w:eastAsia="pt-BR"/>
        </w:rPr>
        <w:drawing>
          <wp:inline distT="0" distB="0" distL="0" distR="0" wp14:anchorId="6C9CF3A4" wp14:editId="5C3BD576">
            <wp:extent cx="5536194" cy="3357677"/>
            <wp:effectExtent l="0" t="0" r="7620" b="0"/>
            <wp:docPr id="29" name="Imagem 29" descr="C:\Users\KLEBER\Desktop\Solos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LEBER\Desktop\Solos 0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39777" cy="3359850"/>
                    </a:xfrm>
                    <a:prstGeom prst="rect">
                      <a:avLst/>
                    </a:prstGeom>
                    <a:noFill/>
                    <a:ln>
                      <a:noFill/>
                    </a:ln>
                  </pic:spPr>
                </pic:pic>
              </a:graphicData>
            </a:graphic>
          </wp:inline>
        </w:drawing>
      </w:r>
    </w:p>
    <w:p w:rsidR="00AD48E4" w:rsidRPr="0026310B" w:rsidRDefault="00AD48E4" w:rsidP="00AD48E4">
      <w:pPr>
        <w:spacing w:after="0" w:line="360" w:lineRule="auto"/>
        <w:rPr>
          <w:rFonts w:cs="Times New Roman"/>
        </w:rPr>
      </w:pPr>
      <w:r w:rsidRPr="00B32877">
        <w:rPr>
          <w:rFonts w:cs="Times New Roman"/>
          <w:sz w:val="20"/>
        </w:rPr>
        <w:t>Fonte: Fundação Educacional de Caratinga – FUNEC, 2013</w:t>
      </w:r>
    </w:p>
    <w:p w:rsidR="00AD48E4" w:rsidRDefault="00AD48E4" w:rsidP="00A04754">
      <w:pPr>
        <w:pStyle w:val="Subtitulo"/>
      </w:pPr>
      <w:bookmarkStart w:id="69" w:name="_Toc372559041"/>
      <w:r w:rsidRPr="0031562B">
        <w:t>Latossolos</w:t>
      </w:r>
      <w:r>
        <w:t>:</w:t>
      </w:r>
      <w:bookmarkEnd w:id="69"/>
    </w:p>
    <w:p w:rsidR="00AD48E4" w:rsidRDefault="00AD48E4" w:rsidP="00AB05F0">
      <w:pPr>
        <w:pStyle w:val="CM72"/>
        <w:spacing w:line="360" w:lineRule="auto"/>
        <w:ind w:firstLine="709"/>
        <w:jc w:val="both"/>
        <w:rPr>
          <w:rFonts w:ascii="Times New Roman" w:hAnsi="Times New Roman" w:cs="Times New Roman"/>
        </w:rPr>
      </w:pPr>
      <w:r w:rsidRPr="009B3621">
        <w:rPr>
          <w:rFonts w:ascii="Times New Roman" w:hAnsi="Times New Roman" w:cs="Times New Roman"/>
        </w:rPr>
        <w:t>São solos maduros, profundos, não hidromórficos, geralmente distróficos, com acidez elevada e baixos teores de cálcio, magnésio e potássio. Possuem argilas do tipo caulinita, cujas partículas são revestidas por baixos teores de óxido de ferro e ausência de gibbsita, indicando que sofreram um processo de pedogênese de menor intensidade do que Latossolos de outras regiões</w:t>
      </w:r>
      <w:r>
        <w:rPr>
          <w:rFonts w:ascii="Times New Roman" w:hAnsi="Times New Roman" w:cs="Times New Roman"/>
        </w:rPr>
        <w:t xml:space="preserve"> </w:t>
      </w:r>
      <w:r w:rsidRPr="004C55A4">
        <w:rPr>
          <w:rFonts w:ascii="Times New Roman" w:hAnsi="Times New Roman" w:cs="Times New Roman"/>
        </w:rPr>
        <w:t>(SBICS, 2006 e IBGE, 2007).</w:t>
      </w:r>
    </w:p>
    <w:p w:rsidR="00AD48E4" w:rsidRDefault="00AD48E4" w:rsidP="000820A8">
      <w:pPr>
        <w:pStyle w:val="CM72"/>
        <w:spacing w:line="360" w:lineRule="auto"/>
        <w:ind w:firstLine="709"/>
        <w:jc w:val="both"/>
        <w:rPr>
          <w:rFonts w:ascii="Times New Roman" w:hAnsi="Times New Roman" w:cs="Times New Roman"/>
        </w:rPr>
      </w:pPr>
      <w:r w:rsidRPr="009B3621">
        <w:rPr>
          <w:rFonts w:ascii="Times New Roman" w:hAnsi="Times New Roman" w:cs="Times New Roman"/>
        </w:rPr>
        <w:t xml:space="preserve">Os Latossolos geralmente ocorrem em áreas de relevo plano a suave ondulado, com altitudes médias de 141 a 251m, </w:t>
      </w:r>
      <w:r>
        <w:rPr>
          <w:rFonts w:ascii="Times New Roman" w:hAnsi="Times New Roman" w:cs="Times New Roman"/>
        </w:rPr>
        <w:t xml:space="preserve">em </w:t>
      </w:r>
      <w:r w:rsidRPr="009B3621">
        <w:rPr>
          <w:rFonts w:ascii="Times New Roman" w:hAnsi="Times New Roman" w:cs="Times New Roman"/>
        </w:rPr>
        <w:t>rede</w:t>
      </w:r>
      <w:r>
        <w:rPr>
          <w:rFonts w:ascii="Times New Roman" w:hAnsi="Times New Roman" w:cs="Times New Roman"/>
        </w:rPr>
        <w:t>s</w:t>
      </w:r>
      <w:r w:rsidRPr="009B3621">
        <w:rPr>
          <w:rFonts w:ascii="Times New Roman" w:hAnsi="Times New Roman" w:cs="Times New Roman"/>
        </w:rPr>
        <w:t xml:space="preserve"> de drenage</w:t>
      </w:r>
      <w:r>
        <w:rPr>
          <w:rFonts w:ascii="Times New Roman" w:hAnsi="Times New Roman" w:cs="Times New Roman"/>
        </w:rPr>
        <w:t>ns</w:t>
      </w:r>
      <w:r w:rsidRPr="009B3621">
        <w:rPr>
          <w:rFonts w:ascii="Times New Roman" w:hAnsi="Times New Roman" w:cs="Times New Roman"/>
        </w:rPr>
        <w:t xml:space="preserve"> bem </w:t>
      </w:r>
      <w:r w:rsidRPr="006D491A">
        <w:rPr>
          <w:rFonts w:ascii="Times New Roman" w:hAnsi="Times New Roman" w:cs="Times New Roman"/>
        </w:rPr>
        <w:t>estabelecida</w:t>
      </w:r>
      <w:r>
        <w:rPr>
          <w:rFonts w:ascii="Times New Roman" w:hAnsi="Times New Roman" w:cs="Times New Roman"/>
        </w:rPr>
        <w:t>s</w:t>
      </w:r>
      <w:r w:rsidRPr="006D491A">
        <w:rPr>
          <w:rFonts w:ascii="Times New Roman" w:hAnsi="Times New Roman" w:cs="Times New Roman"/>
        </w:rPr>
        <w:t xml:space="preserve"> (Figura 1</w:t>
      </w:r>
      <w:r w:rsidR="000820A8">
        <w:rPr>
          <w:rFonts w:ascii="Times New Roman" w:hAnsi="Times New Roman" w:cs="Times New Roman"/>
        </w:rPr>
        <w:t>6</w:t>
      </w:r>
      <w:r w:rsidRPr="006D491A">
        <w:rPr>
          <w:rFonts w:ascii="Times New Roman" w:hAnsi="Times New Roman" w:cs="Times New Roman"/>
        </w:rPr>
        <w:t>).</w:t>
      </w:r>
    </w:p>
    <w:p w:rsidR="000820A8" w:rsidRDefault="000820A8" w:rsidP="000820A8">
      <w:pPr>
        <w:pStyle w:val="CM72"/>
        <w:spacing w:line="360" w:lineRule="auto"/>
        <w:ind w:firstLine="709"/>
        <w:jc w:val="both"/>
        <w:rPr>
          <w:rFonts w:ascii="Times New Roman" w:hAnsi="Times New Roman" w:cs="Times New Roman"/>
        </w:rPr>
      </w:pPr>
      <w:r w:rsidRPr="009B3621">
        <w:rPr>
          <w:rFonts w:ascii="Times New Roman" w:hAnsi="Times New Roman" w:cs="Times New Roman"/>
        </w:rPr>
        <w:t xml:space="preserve">A transição entre os horizontes é gradual </w:t>
      </w:r>
      <w:r>
        <w:rPr>
          <w:rFonts w:ascii="Times New Roman" w:hAnsi="Times New Roman" w:cs="Times New Roman"/>
        </w:rPr>
        <w:t>e</w:t>
      </w:r>
      <w:r w:rsidRPr="009B3621">
        <w:rPr>
          <w:rFonts w:ascii="Times New Roman" w:hAnsi="Times New Roman" w:cs="Times New Roman"/>
        </w:rPr>
        <w:t xml:space="preserve"> difusa, e quase sempre a única diferença do perfil é um escurecimento do horizonte A, ocasionado pelo acumulo de húmus advindo de uma intensa decomposição de restos vegetais. A textura também é uniforme no horizonte B a textura é composta de agregados com formatos arredondados e pequeno</w:t>
      </w:r>
      <w:r>
        <w:rPr>
          <w:rFonts w:ascii="Times New Roman" w:hAnsi="Times New Roman" w:cs="Times New Roman"/>
        </w:rPr>
        <w:t>s</w:t>
      </w:r>
      <w:r w:rsidRPr="009B3621">
        <w:rPr>
          <w:rFonts w:ascii="Times New Roman" w:hAnsi="Times New Roman" w:cs="Times New Roman"/>
        </w:rPr>
        <w:t xml:space="preserve"> tamanho acomodados de tal forma que deixaram macro poros entre eles, o que proporciona uma alta permeabilidade à água, mesmo </w:t>
      </w:r>
      <w:r>
        <w:rPr>
          <w:rFonts w:ascii="Times New Roman" w:hAnsi="Times New Roman" w:cs="Times New Roman"/>
        </w:rPr>
        <w:t xml:space="preserve">com elevados teores de argila. </w:t>
      </w:r>
      <w:r w:rsidRPr="009B3621">
        <w:rPr>
          <w:rFonts w:ascii="Times New Roman" w:hAnsi="Times New Roman" w:cs="Times New Roman"/>
        </w:rPr>
        <w:t xml:space="preserve">Quanto ao horizonte B latossólico é constituído essencialmente por minerais altamente intemperizados e por fração </w:t>
      </w:r>
      <w:r w:rsidRPr="009B3621">
        <w:rPr>
          <w:rFonts w:ascii="Times New Roman" w:hAnsi="Times New Roman" w:cs="Times New Roman"/>
        </w:rPr>
        <w:lastRenderedPageBreak/>
        <w:t>de argila de baixa atividade</w:t>
      </w:r>
      <w:r>
        <w:rPr>
          <w:rFonts w:ascii="Times New Roman" w:hAnsi="Times New Roman" w:cs="Times New Roman"/>
        </w:rPr>
        <w:t xml:space="preserve"> (SBICS, 2006 e IBGE, 2007)</w:t>
      </w:r>
      <w:r w:rsidRPr="009B3621">
        <w:rPr>
          <w:rFonts w:ascii="Times New Roman" w:hAnsi="Times New Roman" w:cs="Times New Roman"/>
        </w:rPr>
        <w:t>.</w:t>
      </w:r>
    </w:p>
    <w:p w:rsidR="00AD48E4" w:rsidRPr="00B32877" w:rsidRDefault="002847A2" w:rsidP="002847A2">
      <w:pPr>
        <w:pStyle w:val="Legenda"/>
        <w:rPr>
          <w:b w:val="0"/>
        </w:rPr>
      </w:pPr>
      <w:bookmarkStart w:id="70" w:name="_Toc372740099"/>
      <w:r>
        <w:t xml:space="preserve">Figura </w:t>
      </w:r>
      <w:fldSimple w:instr=" SEQ Figura \* ARABIC ">
        <w:r w:rsidR="004F77E2">
          <w:rPr>
            <w:noProof/>
          </w:rPr>
          <w:t>16</w:t>
        </w:r>
      </w:fldSimple>
      <w:r>
        <w:t xml:space="preserve"> </w:t>
      </w:r>
      <w:r w:rsidRPr="00417FA3">
        <w:rPr>
          <w:noProof/>
        </w:rPr>
        <w:t>– Setas indicando a área de ocorrência de Latossolos no Município de Aimorés</w:t>
      </w:r>
      <w:bookmarkEnd w:id="70"/>
      <w:r w:rsidR="001D2F23">
        <w:rPr>
          <w:noProof/>
        </w:rPr>
        <w:t>.</w:t>
      </w:r>
    </w:p>
    <w:p w:rsidR="00AD48E4" w:rsidRDefault="00986205" w:rsidP="000820A8">
      <w:pPr>
        <w:spacing w:after="0" w:line="360" w:lineRule="auto"/>
        <w:jc w:val="center"/>
        <w:rPr>
          <w:rFonts w:cs="Times New Roman"/>
        </w:rPr>
      </w:pPr>
      <w:r>
        <w:rPr>
          <w:rFonts w:asciiTheme="minorHAnsi" w:hAnsiTheme="minorHAnsi"/>
          <w:noProof/>
          <w:lang w:eastAsia="pt-BR"/>
        </w:rPr>
        <mc:AlternateContent>
          <mc:Choice Requires="wps">
            <w:drawing>
              <wp:anchor distT="0" distB="0" distL="114300" distR="114300" simplePos="0" relativeHeight="251688960" behindDoc="0" locked="0" layoutInCell="1" allowOverlap="1" wp14:anchorId="7E78E582" wp14:editId="7F099DAA">
                <wp:simplePos x="0" y="0"/>
                <wp:positionH relativeFrom="column">
                  <wp:posOffset>2686050</wp:posOffset>
                </wp:positionH>
                <wp:positionV relativeFrom="paragraph">
                  <wp:posOffset>949960</wp:posOffset>
                </wp:positionV>
                <wp:extent cx="540385" cy="500380"/>
                <wp:effectExtent l="38100" t="0" r="31115" b="52070"/>
                <wp:wrapNone/>
                <wp:docPr id="48" name="Conector de seta reta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40385" cy="500380"/>
                        </a:xfrm>
                        <a:prstGeom prst="straightConnector1">
                          <a:avLst/>
                        </a:prstGeom>
                        <a:noFill/>
                        <a:ln w="1905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AB6A005" id="Conector de seta reta 23" o:spid="_x0000_s1026" type="#_x0000_t32" style="position:absolute;margin-left:211.5pt;margin-top:74.8pt;width:42.55pt;height:39.4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" strokecolor="red" strokeweight="1.5pt">
                <v:stroke endarrow="open"/>
                <o:lock v:ext="edit" shapetype="f"/>
              </v:shape>
            </w:pict>
          </mc:Fallback>
        </mc:AlternateContent>
      </w:r>
      <w:r>
        <w:rPr>
          <w:rFonts w:asciiTheme="minorHAnsi" w:hAnsiTheme="minorHAnsi"/>
          <w:noProof/>
          <w:lang w:eastAsia="pt-BR"/>
        </w:rPr>
        <mc:AlternateContent>
          <mc:Choice Requires="wps">
            <w:drawing>
              <wp:anchor distT="0" distB="0" distL="114300" distR="114300" simplePos="0" relativeHeight="251687936" behindDoc="0" locked="0" layoutInCell="1" allowOverlap="1" wp14:anchorId="2EF28343" wp14:editId="28A26899">
                <wp:simplePos x="0" y="0"/>
                <wp:positionH relativeFrom="column">
                  <wp:posOffset>3646805</wp:posOffset>
                </wp:positionH>
                <wp:positionV relativeFrom="paragraph">
                  <wp:posOffset>1161415</wp:posOffset>
                </wp:positionV>
                <wp:extent cx="540385" cy="500380"/>
                <wp:effectExtent l="38100" t="0" r="31115" b="52070"/>
                <wp:wrapNone/>
                <wp:docPr id="47" name="Conector de seta reta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40385" cy="500380"/>
                        </a:xfrm>
                        <a:prstGeom prst="straightConnector1">
                          <a:avLst/>
                        </a:prstGeom>
                        <a:ln w="19050">
                          <a:solidFill>
                            <a:srgbClr val="FF0000"/>
                          </a:solidFill>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80EEAE" id="Conector de seta reta 22" o:spid="_x0000_s1026" type="#_x0000_t32" style="position:absolute;margin-left:287.15pt;margin-top:91.45pt;width:42.55pt;height:39.4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" strokecolor="red" strokeweight="1.5pt">
                <v:stroke endarrow="open"/>
                <o:lock v:ext="edit" shapetype="f"/>
              </v:shape>
            </w:pict>
          </mc:Fallback>
        </mc:AlternateContent>
      </w:r>
      <w:r w:rsidR="00AD48E4">
        <w:rPr>
          <w:rFonts w:cs="Times New Roman"/>
          <w:noProof/>
          <w:lang w:eastAsia="pt-BR"/>
        </w:rPr>
        <w:drawing>
          <wp:inline distT="0" distB="0" distL="0" distR="0" wp14:anchorId="79938574" wp14:editId="2B73A51C">
            <wp:extent cx="5363655" cy="4023360"/>
            <wp:effectExtent l="0" t="0" r="8890" b="0"/>
            <wp:docPr id="30" name="Imagem 30" descr="C:\Users\KLEBER\Desktop\FOTO_RIO_CAPIM\DSC00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LEBER\Desktop\FOTO_RIO_CAPIM\DSC0037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79962" cy="4035592"/>
                    </a:xfrm>
                    <a:prstGeom prst="rect">
                      <a:avLst/>
                    </a:prstGeom>
                    <a:noFill/>
                    <a:ln>
                      <a:noFill/>
                    </a:ln>
                  </pic:spPr>
                </pic:pic>
              </a:graphicData>
            </a:graphic>
          </wp:inline>
        </w:drawing>
      </w:r>
    </w:p>
    <w:p w:rsidR="00AD48E4" w:rsidRPr="0026310B" w:rsidRDefault="00AD48E4" w:rsidP="00AB05F0">
      <w:pPr>
        <w:spacing w:after="0" w:line="360" w:lineRule="auto"/>
        <w:ind w:left="1276"/>
        <w:rPr>
          <w:rFonts w:cs="Times New Roman"/>
        </w:rPr>
      </w:pPr>
      <w:r w:rsidRPr="00B32877">
        <w:rPr>
          <w:rFonts w:cs="Times New Roman"/>
          <w:sz w:val="20"/>
        </w:rPr>
        <w:t>Fonte: Fundação Educacional de Caratinga – FUNEC, 2013</w:t>
      </w:r>
    </w:p>
    <w:p w:rsidR="00AD48E4" w:rsidRDefault="00AD48E4" w:rsidP="00AB05F0">
      <w:pPr>
        <w:pStyle w:val="CM72"/>
        <w:spacing w:line="360" w:lineRule="auto"/>
        <w:ind w:firstLine="709"/>
        <w:jc w:val="both"/>
        <w:rPr>
          <w:rFonts w:ascii="Times New Roman" w:hAnsi="Times New Roman" w:cs="Times New Roman"/>
        </w:rPr>
      </w:pPr>
      <w:r w:rsidRPr="009B3621">
        <w:rPr>
          <w:rFonts w:ascii="Times New Roman" w:hAnsi="Times New Roman" w:cs="Times New Roman"/>
        </w:rPr>
        <w:t xml:space="preserve">Devido ao forte intemperismo, os materiais são muito decomposto e pobres em nutrientes vegetais, apresentando coloração vermelha, alaranjada e amarela que são decorrentes dos teores de óxido de ferro e de alumínio. Nos Latossolos, há uma redução na fertilidade natural com a mudança na coloração do horizonte B. A maior parte dos Latossolos eram, até pouco tempo atrás, considerados como “solos problemáticos” para a agricultura, devido </w:t>
      </w:r>
      <w:r>
        <w:rPr>
          <w:rFonts w:ascii="Times New Roman" w:hAnsi="Times New Roman" w:cs="Times New Roman"/>
        </w:rPr>
        <w:t>a sua</w:t>
      </w:r>
      <w:r w:rsidRPr="009B3621">
        <w:rPr>
          <w:rFonts w:ascii="Times New Roman" w:hAnsi="Times New Roman" w:cs="Times New Roman"/>
        </w:rPr>
        <w:t xml:space="preserve"> baixa fertilidade natural, contudo hoje através de pesquisas agrícolas e avanços tecnológicos que utilizam o emprego adequado de corretivo da acidez do solo e a adição adequada de fertilizantes, estes solos vem sendo largamente utilizado em atividades agrícolas</w:t>
      </w:r>
      <w:r>
        <w:rPr>
          <w:rFonts w:ascii="Times New Roman" w:hAnsi="Times New Roman" w:cs="Times New Roman"/>
        </w:rPr>
        <w:t xml:space="preserve"> (IBGE, 2007)</w:t>
      </w:r>
      <w:r w:rsidRPr="009B3621">
        <w:rPr>
          <w:rFonts w:ascii="Times New Roman" w:hAnsi="Times New Roman" w:cs="Times New Roman"/>
        </w:rPr>
        <w:t>.</w:t>
      </w:r>
    </w:p>
    <w:p w:rsidR="00AD48E4" w:rsidRDefault="00AD48E4" w:rsidP="00AB05F0">
      <w:pPr>
        <w:pStyle w:val="CM72"/>
        <w:spacing w:line="360" w:lineRule="auto"/>
        <w:ind w:firstLine="709"/>
        <w:jc w:val="both"/>
        <w:rPr>
          <w:rFonts w:ascii="Times New Roman" w:hAnsi="Times New Roman" w:cs="Times New Roman"/>
        </w:rPr>
      </w:pPr>
      <w:r w:rsidRPr="009B3621">
        <w:rPr>
          <w:rFonts w:ascii="Times New Roman" w:hAnsi="Times New Roman" w:cs="Times New Roman"/>
        </w:rPr>
        <w:t xml:space="preserve">Em relação à erosão, em condições naturais ou quando bem manejados, são bastante resistentes, devido sua boa permeabilidade e porosidade. Quando submetido a cultivos </w:t>
      </w:r>
      <w:r w:rsidRPr="009B3621">
        <w:rPr>
          <w:rFonts w:ascii="Times New Roman" w:hAnsi="Times New Roman" w:cs="Times New Roman"/>
        </w:rPr>
        <w:lastRenderedPageBreak/>
        <w:t>intensos com uso de máquinas pesadas, sofrem compactação interna, conhecido como “pé</w:t>
      </w:r>
      <w:r>
        <w:rPr>
          <w:rFonts w:ascii="Times New Roman" w:hAnsi="Times New Roman" w:cs="Times New Roman"/>
        </w:rPr>
        <w:t>-</w:t>
      </w:r>
      <w:r w:rsidRPr="009B3621">
        <w:rPr>
          <w:rFonts w:ascii="Times New Roman" w:hAnsi="Times New Roman" w:cs="Times New Roman"/>
        </w:rPr>
        <w:t>de</w:t>
      </w:r>
      <w:r>
        <w:rPr>
          <w:rFonts w:ascii="Times New Roman" w:hAnsi="Times New Roman" w:cs="Times New Roman"/>
        </w:rPr>
        <w:t>-</w:t>
      </w:r>
      <w:r w:rsidRPr="009B3621">
        <w:rPr>
          <w:rFonts w:ascii="Times New Roman" w:hAnsi="Times New Roman" w:cs="Times New Roman"/>
        </w:rPr>
        <w:t>grade”, que aumenta consideravelmente a susceptibilidade à erosão e diminui a produtividade. Em condição de usos inadequados e ausência de técnicas adequadas de conservação de solos, desenvolvem facilmen</w:t>
      </w:r>
      <w:r>
        <w:rPr>
          <w:rFonts w:ascii="Times New Roman" w:hAnsi="Times New Roman" w:cs="Times New Roman"/>
        </w:rPr>
        <w:t xml:space="preserve">te ravinas e pequenas voçorocas </w:t>
      </w:r>
      <w:r w:rsidRPr="004C55A4">
        <w:rPr>
          <w:rFonts w:ascii="Times New Roman" w:hAnsi="Times New Roman" w:cs="Times New Roman"/>
        </w:rPr>
        <w:t>(SBICS, 2006 e IBGE, 2007).</w:t>
      </w:r>
    </w:p>
    <w:p w:rsidR="00AD48E4" w:rsidRPr="00166C63" w:rsidRDefault="00AD48E4" w:rsidP="00166C63">
      <w:pPr>
        <w:ind w:firstLine="284"/>
        <w:rPr>
          <w:b/>
        </w:rPr>
      </w:pPr>
      <w:bookmarkStart w:id="71" w:name="_Toc372559042"/>
      <w:r w:rsidRPr="00166C63">
        <w:rPr>
          <w:b/>
        </w:rPr>
        <w:t>Argissolos</w:t>
      </w:r>
      <w:bookmarkEnd w:id="71"/>
    </w:p>
    <w:p w:rsidR="00AD48E4" w:rsidRDefault="00AD48E4" w:rsidP="00AB05F0">
      <w:pPr>
        <w:pStyle w:val="CM72"/>
        <w:spacing w:line="360" w:lineRule="auto"/>
        <w:ind w:firstLine="709"/>
        <w:jc w:val="both"/>
        <w:rPr>
          <w:rFonts w:ascii="Times New Roman" w:hAnsi="Times New Roman" w:cs="Times New Roman"/>
        </w:rPr>
      </w:pPr>
      <w:r w:rsidRPr="00A142CA">
        <w:rPr>
          <w:rFonts w:ascii="Times New Roman" w:hAnsi="Times New Roman" w:cs="Times New Roman"/>
        </w:rPr>
        <w:t>Os Argissolos são constituídos por material mineral, apresentando horizonte B textural imediatamente abaixo do A ou E, com argila de atividade baixa ou com argila de atividade alta conjugada com saturação por bases baixa e/ou caráter alítico na maior parte do horizonte B. O horizonte B é então denominado horizonte B textural (Bt), geralmente acompanhado de boa diferenciação nas cores e variabilidades na composição granulométrica, que varia sua textura de média até muito argilosa. Os teores de silte podem ser altos, evidenciando que há um gradiente evolutivo nos Argissolos que apresentam desde perfis mais evoluído pedogeneticamente, associados aos Latossolos profundos e com textura argilosa, até perfis com menor profundidade e textura mais siltosa, gradando para Luvissolos e Cambissolos. As cores do horizonte Bt variam de acinzentadas a avermelhadas e as do horizonte A, são</w:t>
      </w:r>
      <w:r>
        <w:rPr>
          <w:rFonts w:ascii="Times New Roman" w:hAnsi="Times New Roman" w:cs="Times New Roman"/>
        </w:rPr>
        <w:t xml:space="preserve"> sempre mais escurecidas </w:t>
      </w:r>
      <w:r w:rsidRPr="004C55A4">
        <w:rPr>
          <w:rFonts w:ascii="Times New Roman" w:hAnsi="Times New Roman" w:cs="Times New Roman"/>
        </w:rPr>
        <w:t>(SBICS, 2006 e IBGE, 2007).</w:t>
      </w:r>
    </w:p>
    <w:p w:rsidR="00AD48E4" w:rsidRPr="00A142CA" w:rsidRDefault="00AD48E4" w:rsidP="00AB05F0">
      <w:pPr>
        <w:pStyle w:val="CM72"/>
        <w:spacing w:line="360" w:lineRule="auto"/>
        <w:ind w:firstLine="709"/>
        <w:jc w:val="both"/>
        <w:rPr>
          <w:rFonts w:ascii="Times New Roman" w:hAnsi="Times New Roman" w:cs="Times New Roman"/>
        </w:rPr>
      </w:pPr>
      <w:r w:rsidRPr="00A142CA">
        <w:rPr>
          <w:rFonts w:ascii="Times New Roman" w:hAnsi="Times New Roman" w:cs="Times New Roman"/>
        </w:rPr>
        <w:t>No ambiente dos Argissolos há maior variabilidade nas características topográficas, o que reflete uma maior variabilidade nas características físicas, químicas e morfológicas dos perfis. Em muitos casos, são solos profundos que apresentam drenagem moderada e baixa ou média fertilidade natural, em razão do predomínio de minerais de argila de baixa atividade. Os Argissolos podem também est</w:t>
      </w:r>
      <w:r>
        <w:rPr>
          <w:rFonts w:ascii="Times New Roman" w:hAnsi="Times New Roman" w:cs="Times New Roman"/>
        </w:rPr>
        <w:t>arem</w:t>
      </w:r>
      <w:r w:rsidRPr="00A142CA">
        <w:rPr>
          <w:rFonts w:ascii="Times New Roman" w:hAnsi="Times New Roman" w:cs="Times New Roman"/>
        </w:rPr>
        <w:t xml:space="preserve"> associado</w:t>
      </w:r>
      <w:r>
        <w:rPr>
          <w:rFonts w:ascii="Times New Roman" w:hAnsi="Times New Roman" w:cs="Times New Roman"/>
        </w:rPr>
        <w:t>s</w:t>
      </w:r>
      <w:r w:rsidRPr="00A142CA">
        <w:rPr>
          <w:rFonts w:ascii="Times New Roman" w:hAnsi="Times New Roman" w:cs="Times New Roman"/>
        </w:rPr>
        <w:t xml:space="preserve"> aos Plintossolos, que ocupam os fundos de vale, no terço inferior das encostas,</w:t>
      </w:r>
      <w:r>
        <w:rPr>
          <w:rFonts w:ascii="Times New Roman" w:hAnsi="Times New Roman" w:cs="Times New Roman"/>
        </w:rPr>
        <w:t xml:space="preserve"> adquirindo um caráter plíntico </w:t>
      </w:r>
      <w:r w:rsidRPr="004C55A4">
        <w:rPr>
          <w:rFonts w:ascii="Times New Roman" w:hAnsi="Times New Roman" w:cs="Times New Roman"/>
        </w:rPr>
        <w:t>(SBICS, 2006 e IBGE, 2007).</w:t>
      </w:r>
    </w:p>
    <w:p w:rsidR="00AD48E4" w:rsidRDefault="00AD48E4" w:rsidP="00AB05F0">
      <w:pPr>
        <w:pStyle w:val="CM72"/>
        <w:spacing w:line="360" w:lineRule="auto"/>
        <w:ind w:firstLine="709"/>
        <w:jc w:val="both"/>
        <w:rPr>
          <w:rFonts w:ascii="Times New Roman" w:hAnsi="Times New Roman" w:cs="Times New Roman"/>
        </w:rPr>
      </w:pPr>
      <w:r w:rsidRPr="00A142CA">
        <w:rPr>
          <w:rFonts w:ascii="Times New Roman" w:hAnsi="Times New Roman" w:cs="Times New Roman"/>
        </w:rPr>
        <w:t>Por estarem muitas vezes associados às condições de relevo mais movimentado, são també</w:t>
      </w:r>
      <w:r>
        <w:rPr>
          <w:rFonts w:ascii="Times New Roman" w:hAnsi="Times New Roman" w:cs="Times New Roman"/>
        </w:rPr>
        <w:t xml:space="preserve">m bastante suscetíveis à erosão </w:t>
      </w:r>
      <w:r w:rsidRPr="00B65927">
        <w:rPr>
          <w:rFonts w:ascii="Times New Roman" w:hAnsi="Times New Roman" w:cs="Times New Roman"/>
        </w:rPr>
        <w:t>(Figura 1</w:t>
      </w:r>
      <w:r w:rsidR="0034273A">
        <w:rPr>
          <w:rFonts w:ascii="Times New Roman" w:hAnsi="Times New Roman" w:cs="Times New Roman"/>
        </w:rPr>
        <w:t>7</w:t>
      </w:r>
      <w:r w:rsidRPr="00B65927">
        <w:rPr>
          <w:rFonts w:ascii="Times New Roman" w:hAnsi="Times New Roman" w:cs="Times New Roman"/>
        </w:rPr>
        <w:t>)</w:t>
      </w:r>
      <w:r w:rsidRPr="00B70139">
        <w:rPr>
          <w:rFonts w:ascii="Times New Roman" w:hAnsi="Times New Roman" w:cs="Times New Roman"/>
        </w:rPr>
        <w:t>.</w:t>
      </w:r>
    </w:p>
    <w:p w:rsidR="0034273A" w:rsidRDefault="0034273A">
      <w:pPr>
        <w:spacing w:after="200" w:line="276" w:lineRule="auto"/>
        <w:rPr>
          <w:rFonts w:eastAsiaTheme="minorEastAsia" w:cs="Times New Roman"/>
          <w:b/>
          <w:bCs/>
          <w:szCs w:val="24"/>
          <w:lang w:eastAsia="pt-BR"/>
        </w:rPr>
      </w:pPr>
      <w:r>
        <w:rPr>
          <w:b/>
        </w:rPr>
        <w:br w:type="page"/>
      </w:r>
    </w:p>
    <w:p w:rsidR="00AD48E4" w:rsidRPr="00B32877" w:rsidRDefault="00CB07F3" w:rsidP="00CB07F3">
      <w:pPr>
        <w:pStyle w:val="Legenda"/>
        <w:rPr>
          <w:b w:val="0"/>
        </w:rPr>
      </w:pPr>
      <w:bookmarkStart w:id="72" w:name="_Toc372740100"/>
      <w:r>
        <w:lastRenderedPageBreak/>
        <w:t xml:space="preserve">Figura </w:t>
      </w:r>
      <w:fldSimple w:instr=" SEQ Figura \* ARABIC ">
        <w:r w:rsidR="004F77E2">
          <w:rPr>
            <w:noProof/>
          </w:rPr>
          <w:t>17</w:t>
        </w:r>
      </w:fldSimple>
      <w:r>
        <w:t xml:space="preserve"> - </w:t>
      </w:r>
      <w:r w:rsidRPr="00D15837">
        <w:t>Argissolos – Processos er</w:t>
      </w:r>
      <w:r>
        <w:t xml:space="preserve">osivos em área de ocorrência de </w:t>
      </w:r>
      <w:r w:rsidRPr="00D15837">
        <w:t>Argissolos no município de Aimorés.</w:t>
      </w:r>
      <w:bookmarkEnd w:id="72"/>
    </w:p>
    <w:p w:rsidR="00AD48E4" w:rsidRDefault="00986205" w:rsidP="00AD48E4">
      <w:pPr>
        <w:rPr>
          <w:rFonts w:cs="Times New Roman"/>
        </w:rPr>
      </w:pPr>
      <w:r>
        <w:rPr>
          <w:rFonts w:asciiTheme="minorHAnsi" w:hAnsiTheme="minorHAnsi"/>
          <w:noProof/>
          <w:lang w:eastAsia="pt-BR"/>
        </w:rPr>
        <mc:AlternateContent>
          <mc:Choice Requires="wps">
            <w:drawing>
              <wp:anchor distT="0" distB="0" distL="114300" distR="114300" simplePos="0" relativeHeight="251689984" behindDoc="0" locked="0" layoutInCell="1" allowOverlap="1" wp14:anchorId="0E91E14A" wp14:editId="0D7C9D9E">
                <wp:simplePos x="0" y="0"/>
                <wp:positionH relativeFrom="column">
                  <wp:posOffset>2693035</wp:posOffset>
                </wp:positionH>
                <wp:positionV relativeFrom="paragraph">
                  <wp:posOffset>937895</wp:posOffset>
                </wp:positionV>
                <wp:extent cx="1256030" cy="850900"/>
                <wp:effectExtent l="50165" t="6985" r="32385" b="51435"/>
                <wp:wrapNone/>
                <wp:docPr id="46" name="Conector de seta reta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256030" cy="850900"/>
                        </a:xfrm>
                        <a:prstGeom prst="bentConnector3">
                          <a:avLst>
                            <a:gd name="adj1" fmla="val 50000"/>
                          </a:avLst>
                        </a:prstGeom>
                        <a:noFill/>
                        <a:ln w="19050">
                          <a:solidFill>
                            <a:srgbClr val="FFFF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32C30DBE" id="_x0000_t34" coordsize="21600,21600" o:spt="34" o:oned="t" adj="10800" path="m,l@0,0@0,21600,21600,21600e" filled="f">
                <v:stroke joinstyle="miter"/>
                <v:formulas>
                  <v:f eqn="val #0"/>
                </v:formulas>
                <v:path arrowok="t" fillok="f" o:connecttype="none"/>
                <v:handles>
                  <v:h position="#0,center"/>
                </v:handles>
                <o:lock v:ext="edit" shapetype="t"/>
              </v:shapetype>
              <v:shape id="Conector de seta reta 25" o:spid="_x0000_s1026" type="#_x0000_t34" style="position:absolute;margin-left:212.05pt;margin-top:73.85pt;width:98.9pt;height:67pt;rotation:9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" strokecolor="yellow" strokeweight="1.5pt">
                <v:stroke endarrow="open"/>
              </v:shape>
            </w:pict>
          </mc:Fallback>
        </mc:AlternateContent>
      </w:r>
      <w:r>
        <w:rPr>
          <w:rFonts w:asciiTheme="minorHAnsi" w:hAnsiTheme="minorHAnsi"/>
          <w:noProof/>
          <w:lang w:eastAsia="pt-BR"/>
        </w:rPr>
        <mc:AlternateContent>
          <mc:Choice Requires="wps">
            <w:drawing>
              <wp:anchor distT="0" distB="0" distL="114300" distR="114300" simplePos="0" relativeHeight="251691008" behindDoc="0" locked="0" layoutInCell="1" allowOverlap="1" wp14:anchorId="00B75FB0" wp14:editId="15DE99A3">
                <wp:simplePos x="0" y="0"/>
                <wp:positionH relativeFrom="column">
                  <wp:posOffset>2990850</wp:posOffset>
                </wp:positionH>
                <wp:positionV relativeFrom="paragraph">
                  <wp:posOffset>264795</wp:posOffset>
                </wp:positionV>
                <wp:extent cx="1804670" cy="524510"/>
                <wp:effectExtent l="0" t="0" r="24130" b="27940"/>
                <wp:wrapNone/>
                <wp:docPr id="45" name="Retângulo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4670" cy="5245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F77E2" w:rsidRPr="002E0E0D" w:rsidRDefault="004F77E2" w:rsidP="00AD48E4">
                            <w:pPr>
                              <w:jc w:val="center"/>
                            </w:pPr>
                            <w:r>
                              <w:t>Processos erosivos em área de Ar</w:t>
                            </w:r>
                            <w:r w:rsidRPr="002E0E0D">
                              <w:t>gissolos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B75FB0" id="Retângulo 26" o:spid="_x0000_s1026" style="position:absolute;margin-left:235.5pt;margin-top:20.85pt;width:142.1pt;height:41.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" fillcolor="#4f81bd [3204]" strokecolor="#243f60 [1604]" strokeweight="2pt">
                <v:path arrowok="t"/>
                <v:textbox>
                  <w:txbxContent>
                    <w:p w:rsidR="004F77E2" w:rsidRPr="002E0E0D" w:rsidRDefault="004F77E2" w:rsidP="00AD48E4">
                      <w:pPr>
                        <w:jc w:val="center"/>
                      </w:pPr>
                      <w:r>
                        <w:t>Processos erosivos em área de Ar</w:t>
                      </w:r>
                      <w:r w:rsidRPr="002E0E0D">
                        <w:t>gissolos</w:t>
                      </w:r>
                    </w:p>
                  </w:txbxContent>
                </v:textbox>
              </v:rect>
            </w:pict>
          </mc:Fallback>
        </mc:AlternateContent>
      </w:r>
      <w:r w:rsidR="00AD48E4" w:rsidRPr="0044076B">
        <w:rPr>
          <w:rFonts w:cs="Times New Roman"/>
          <w:noProof/>
          <w:lang w:eastAsia="pt-BR"/>
        </w:rPr>
        <w:drawing>
          <wp:inline distT="0" distB="0" distL="0" distR="0" wp14:anchorId="17B8CC9F" wp14:editId="278EBCE7">
            <wp:extent cx="5105843" cy="3829971"/>
            <wp:effectExtent l="19050" t="0" r="0" b="0"/>
            <wp:docPr id="235" name="Imagem 31" descr="C:\Users\KLEBER\Desktop\FOTO_RIO_CAPIM\DSC00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LEBER\Desktop\FOTO_RIO_CAPIM\DSC00393.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05401" cy="3829639"/>
                    </a:xfrm>
                    <a:prstGeom prst="rect">
                      <a:avLst/>
                    </a:prstGeom>
                    <a:noFill/>
                    <a:ln>
                      <a:noFill/>
                    </a:ln>
                  </pic:spPr>
                </pic:pic>
              </a:graphicData>
            </a:graphic>
          </wp:inline>
        </w:drawing>
      </w:r>
    </w:p>
    <w:p w:rsidR="00AD48E4" w:rsidRPr="0026310B" w:rsidRDefault="00AD48E4" w:rsidP="00AD48E4">
      <w:pPr>
        <w:rPr>
          <w:rFonts w:cs="Times New Roman"/>
        </w:rPr>
      </w:pPr>
      <w:r w:rsidRPr="00B32877">
        <w:rPr>
          <w:rFonts w:cs="Times New Roman"/>
          <w:sz w:val="20"/>
        </w:rPr>
        <w:t>Fonte: Fundação Educacional de Caratinga – FUNEC, 2013</w:t>
      </w:r>
    </w:p>
    <w:p w:rsidR="00AD48E4" w:rsidRDefault="00AD48E4" w:rsidP="00AB05F0">
      <w:pPr>
        <w:pStyle w:val="CM72"/>
        <w:spacing w:line="360" w:lineRule="auto"/>
        <w:ind w:firstLine="709"/>
        <w:jc w:val="both"/>
        <w:rPr>
          <w:rFonts w:ascii="Times New Roman" w:hAnsi="Times New Roman" w:cs="Times New Roman"/>
        </w:rPr>
      </w:pPr>
      <w:r w:rsidRPr="00A142CA">
        <w:rPr>
          <w:rFonts w:ascii="Times New Roman" w:hAnsi="Times New Roman" w:cs="Times New Roman"/>
        </w:rPr>
        <w:t xml:space="preserve">Nesses solos, é relevante uma avaliação no gradiente textural entre o horizonte A e o horizonte Bt, se o gradiente for elevado, aumentarão os problemas de drenagens, mas caso, o horizonte A seja mais espesso ou a estrutura mais desenvolvida normalmente serão mais aptos ao uso agrícola. Os Argissolos requerem um manejo mais delicado em função do relevo </w:t>
      </w:r>
      <w:r>
        <w:rPr>
          <w:rFonts w:ascii="Times New Roman" w:hAnsi="Times New Roman" w:cs="Times New Roman"/>
        </w:rPr>
        <w:t xml:space="preserve">ao qual </w:t>
      </w:r>
      <w:r w:rsidRPr="00A142CA">
        <w:rPr>
          <w:rFonts w:ascii="Times New Roman" w:hAnsi="Times New Roman" w:cs="Times New Roman"/>
        </w:rPr>
        <w:t>estão associados e ao ganho de argila em profundidade.</w:t>
      </w:r>
    </w:p>
    <w:p w:rsidR="00AD48E4" w:rsidRPr="00166C63" w:rsidRDefault="00AD48E4" w:rsidP="00166C63">
      <w:pPr>
        <w:ind w:firstLine="284"/>
        <w:rPr>
          <w:b/>
        </w:rPr>
      </w:pPr>
      <w:bookmarkStart w:id="73" w:name="_Toc372559043"/>
      <w:r w:rsidRPr="00166C63">
        <w:rPr>
          <w:b/>
        </w:rPr>
        <w:t>Cambissolos</w:t>
      </w:r>
      <w:bookmarkEnd w:id="73"/>
    </w:p>
    <w:p w:rsidR="00AD48E4" w:rsidRDefault="00AD48E4" w:rsidP="00AB05F0">
      <w:pPr>
        <w:pStyle w:val="CM72"/>
        <w:spacing w:line="360" w:lineRule="auto"/>
        <w:ind w:firstLine="709"/>
        <w:jc w:val="both"/>
        <w:rPr>
          <w:rFonts w:ascii="Times New Roman" w:hAnsi="Times New Roman" w:cs="Times New Roman"/>
        </w:rPr>
      </w:pPr>
      <w:r w:rsidRPr="009673C9">
        <w:rPr>
          <w:rFonts w:ascii="Times New Roman" w:hAnsi="Times New Roman" w:cs="Times New Roman"/>
        </w:rPr>
        <w:t>Solos constituídos por material mineral com horizonte B incipiente</w:t>
      </w:r>
      <w:r>
        <w:rPr>
          <w:rFonts w:ascii="Times New Roman" w:hAnsi="Times New Roman" w:cs="Times New Roman"/>
        </w:rPr>
        <w:t xml:space="preserve"> </w:t>
      </w:r>
      <w:r w:rsidRPr="009673C9">
        <w:rPr>
          <w:rFonts w:ascii="Times New Roman" w:hAnsi="Times New Roman" w:cs="Times New Roman"/>
        </w:rPr>
        <w:t>subjacente a qualquer tipo de horizonte superf</w:t>
      </w:r>
      <w:r>
        <w:rPr>
          <w:rFonts w:ascii="Times New Roman" w:hAnsi="Times New Roman" w:cs="Times New Roman"/>
        </w:rPr>
        <w:t xml:space="preserve">icial, exceto hístico com 40 cm </w:t>
      </w:r>
      <w:r w:rsidRPr="009673C9">
        <w:rPr>
          <w:rFonts w:ascii="Times New Roman" w:hAnsi="Times New Roman" w:cs="Times New Roman"/>
        </w:rPr>
        <w:t>ou mais de espessura, ou horizonte A cher</w:t>
      </w:r>
      <w:r>
        <w:rPr>
          <w:rFonts w:ascii="Times New Roman" w:hAnsi="Times New Roman" w:cs="Times New Roman"/>
        </w:rPr>
        <w:t xml:space="preserve">nozêmico, quando o B for incipiente, </w:t>
      </w:r>
      <w:r w:rsidRPr="009673C9">
        <w:rPr>
          <w:rFonts w:ascii="Times New Roman" w:hAnsi="Times New Roman" w:cs="Times New Roman"/>
        </w:rPr>
        <w:t>apresentar argila de atividade alta e saturação por b</w:t>
      </w:r>
      <w:r>
        <w:rPr>
          <w:rFonts w:ascii="Times New Roman" w:hAnsi="Times New Roman" w:cs="Times New Roman"/>
        </w:rPr>
        <w:t xml:space="preserve">ases alta. Plintita e </w:t>
      </w:r>
      <w:r w:rsidRPr="009673C9">
        <w:rPr>
          <w:rFonts w:ascii="Times New Roman" w:hAnsi="Times New Roman" w:cs="Times New Roman"/>
        </w:rPr>
        <w:t>petroplintita, horizonte glei e horizonte vértic</w:t>
      </w:r>
      <w:r>
        <w:rPr>
          <w:rFonts w:ascii="Times New Roman" w:hAnsi="Times New Roman" w:cs="Times New Roman"/>
        </w:rPr>
        <w:t xml:space="preserve">o, se presentes, não satisfazem </w:t>
      </w:r>
      <w:r w:rsidRPr="009673C9">
        <w:rPr>
          <w:rFonts w:ascii="Times New Roman" w:hAnsi="Times New Roman" w:cs="Times New Roman"/>
        </w:rPr>
        <w:t>os requisitos para Plintossolos, Gleissolos</w:t>
      </w:r>
      <w:r>
        <w:rPr>
          <w:rFonts w:ascii="Times New Roman" w:hAnsi="Times New Roman" w:cs="Times New Roman"/>
        </w:rPr>
        <w:t xml:space="preserve"> e Vertissolos, respectivamente </w:t>
      </w:r>
      <w:r w:rsidRPr="000B2EF2">
        <w:rPr>
          <w:rFonts w:ascii="Times New Roman" w:hAnsi="Times New Roman" w:cs="Times New Roman"/>
        </w:rPr>
        <w:t>(SBICS, 2006 e IBGE, 2007).</w:t>
      </w:r>
    </w:p>
    <w:p w:rsidR="00AD48E4" w:rsidRDefault="00AD48E4" w:rsidP="00AB05F0">
      <w:pPr>
        <w:pStyle w:val="CM72"/>
        <w:spacing w:line="360" w:lineRule="auto"/>
        <w:ind w:firstLine="709"/>
        <w:jc w:val="both"/>
        <w:rPr>
          <w:rFonts w:ascii="Times New Roman" w:hAnsi="Times New Roman" w:cs="Times New Roman"/>
        </w:rPr>
      </w:pPr>
      <w:r w:rsidRPr="002D3C1C">
        <w:rPr>
          <w:rFonts w:ascii="Times New Roman" w:hAnsi="Times New Roman" w:cs="Times New Roman"/>
        </w:rPr>
        <w:t xml:space="preserve">Os Cambissolos estão associados a relevo ondulado ou montanhoso, com uma </w:t>
      </w:r>
      <w:r w:rsidRPr="002D3C1C">
        <w:rPr>
          <w:rFonts w:ascii="Times New Roman" w:hAnsi="Times New Roman" w:cs="Times New Roman"/>
        </w:rPr>
        <w:lastRenderedPageBreak/>
        <w:t xml:space="preserve">altitude média de 381±150 m, estando associados </w:t>
      </w:r>
      <w:r w:rsidR="00885F7E" w:rsidRPr="002D3C1C">
        <w:rPr>
          <w:rFonts w:ascii="Times New Roman" w:hAnsi="Times New Roman" w:cs="Times New Roman"/>
        </w:rPr>
        <w:t>à</w:t>
      </w:r>
      <w:r w:rsidRPr="002D3C1C">
        <w:rPr>
          <w:rFonts w:ascii="Times New Roman" w:hAnsi="Times New Roman" w:cs="Times New Roman"/>
        </w:rPr>
        <w:t xml:space="preserve"> ocorrência de Vertissolos nas depressões, Plintossolos no terço inferior dos vales e os Gleissolos </w:t>
      </w:r>
      <w:r>
        <w:rPr>
          <w:rFonts w:ascii="Times New Roman" w:hAnsi="Times New Roman" w:cs="Times New Roman"/>
        </w:rPr>
        <w:t xml:space="preserve">nas depressões de fundo de vale </w:t>
      </w:r>
      <w:r w:rsidRPr="000B2EF2">
        <w:rPr>
          <w:rFonts w:ascii="Times New Roman" w:hAnsi="Times New Roman" w:cs="Times New Roman"/>
        </w:rPr>
        <w:t>(SBICS, 2006 e IBGE, 2007).</w:t>
      </w:r>
    </w:p>
    <w:p w:rsidR="00AD48E4" w:rsidRDefault="00AD48E4" w:rsidP="00AB05F0">
      <w:pPr>
        <w:pStyle w:val="CM72"/>
        <w:spacing w:line="360" w:lineRule="auto"/>
        <w:ind w:firstLine="709"/>
        <w:jc w:val="both"/>
        <w:rPr>
          <w:rFonts w:ascii="Times New Roman" w:hAnsi="Times New Roman" w:cs="Times New Roman"/>
        </w:rPr>
      </w:pPr>
      <w:r w:rsidRPr="002D3C1C">
        <w:rPr>
          <w:rFonts w:ascii="Times New Roman" w:hAnsi="Times New Roman" w:cs="Times New Roman"/>
        </w:rPr>
        <w:t>São solos poucos profundos a rasos, com pequena diferenciação de horizontes (</w:t>
      </w:r>
      <w:r w:rsidR="00885F7E" w:rsidRPr="002D3C1C">
        <w:rPr>
          <w:rFonts w:ascii="Times New Roman" w:hAnsi="Times New Roman" w:cs="Times New Roman"/>
        </w:rPr>
        <w:t>sequência</w:t>
      </w:r>
      <w:r w:rsidRPr="002D3C1C">
        <w:rPr>
          <w:rFonts w:ascii="Times New Roman" w:hAnsi="Times New Roman" w:cs="Times New Roman"/>
        </w:rPr>
        <w:t xml:space="preserve"> de horizonte A, Bi e C.), geralmente com cores amarelada. Devido </w:t>
      </w:r>
      <w:r>
        <w:rPr>
          <w:rFonts w:ascii="Times New Roman" w:hAnsi="Times New Roman" w:cs="Times New Roman"/>
        </w:rPr>
        <w:t xml:space="preserve">a </w:t>
      </w:r>
      <w:r w:rsidRPr="002D3C1C">
        <w:rPr>
          <w:rFonts w:ascii="Times New Roman" w:hAnsi="Times New Roman" w:cs="Times New Roman"/>
        </w:rPr>
        <w:t>sua posição na paisagem e relação com o material de origem ser de alta variabilidade, têm composição granulométrica variável, desde perfis com textura</w:t>
      </w:r>
      <w:r>
        <w:rPr>
          <w:rFonts w:ascii="Times New Roman" w:hAnsi="Times New Roman" w:cs="Times New Roman"/>
        </w:rPr>
        <w:t xml:space="preserve"> arenosa até argilosa e siltosa </w:t>
      </w:r>
      <w:r w:rsidRPr="000B2EF2">
        <w:rPr>
          <w:rFonts w:ascii="Times New Roman" w:hAnsi="Times New Roman" w:cs="Times New Roman"/>
        </w:rPr>
        <w:t>(SBICS, 2006 e IBGE, 2007).</w:t>
      </w:r>
    </w:p>
    <w:p w:rsidR="00AD48E4" w:rsidRDefault="00AD48E4" w:rsidP="00AB05F0">
      <w:pPr>
        <w:pStyle w:val="CM72"/>
        <w:spacing w:line="360" w:lineRule="auto"/>
        <w:ind w:firstLine="709"/>
        <w:jc w:val="both"/>
        <w:rPr>
          <w:rFonts w:ascii="Times New Roman" w:hAnsi="Times New Roman" w:cs="Times New Roman"/>
        </w:rPr>
      </w:pPr>
      <w:r w:rsidRPr="002D3C1C">
        <w:rPr>
          <w:rFonts w:ascii="Times New Roman" w:hAnsi="Times New Roman" w:cs="Times New Roman"/>
        </w:rPr>
        <w:t>Apresentam restrição de drenagem, principalmente em razão da presença de minerais de argila expansíveis. Em razão desta característica, o solo expande quando umedecido e contrai quando seco, ocasionando, assim o surgimento de fendas que podem vir a danificar o sistema radicular de plantas.</w:t>
      </w:r>
    </w:p>
    <w:p w:rsidR="00AD48E4" w:rsidRPr="00166C63" w:rsidRDefault="00AD48E4" w:rsidP="00166C63">
      <w:pPr>
        <w:ind w:firstLine="284"/>
        <w:rPr>
          <w:b/>
        </w:rPr>
      </w:pPr>
      <w:bookmarkStart w:id="74" w:name="_Toc372559044"/>
      <w:r w:rsidRPr="00166C63">
        <w:rPr>
          <w:b/>
        </w:rPr>
        <w:t>Neossolo Litolico</w:t>
      </w:r>
      <w:bookmarkEnd w:id="74"/>
    </w:p>
    <w:p w:rsidR="00AD48E4" w:rsidRPr="0044076B" w:rsidRDefault="00AD48E4" w:rsidP="00AB05F0">
      <w:pPr>
        <w:pStyle w:val="CM72"/>
        <w:spacing w:line="360" w:lineRule="auto"/>
        <w:ind w:firstLine="708"/>
        <w:jc w:val="both"/>
        <w:rPr>
          <w:rFonts w:ascii="Times New Roman" w:hAnsi="Times New Roman" w:cs="Times New Roman"/>
          <w:spacing w:val="-6"/>
        </w:rPr>
      </w:pPr>
      <w:r w:rsidRPr="0044076B">
        <w:rPr>
          <w:rFonts w:ascii="Times New Roman" w:hAnsi="Times New Roman" w:cs="Times New Roman"/>
          <w:spacing w:val="-6"/>
        </w:rPr>
        <w:t>Solos com horizonte A ou hístico</w:t>
      </w:r>
      <w:r>
        <w:rPr>
          <w:rFonts w:ascii="Times New Roman" w:hAnsi="Times New Roman" w:cs="Times New Roman"/>
          <w:spacing w:val="-6"/>
        </w:rPr>
        <w:t xml:space="preserve"> ausentes</w:t>
      </w:r>
      <w:r w:rsidRPr="0044076B">
        <w:rPr>
          <w:rFonts w:ascii="Times New Roman" w:hAnsi="Times New Roman" w:cs="Times New Roman"/>
          <w:spacing w:val="-6"/>
        </w:rPr>
        <w:t xml:space="preserve">, </w:t>
      </w:r>
      <w:r>
        <w:rPr>
          <w:rFonts w:ascii="Times New Roman" w:hAnsi="Times New Roman" w:cs="Times New Roman"/>
          <w:spacing w:val="-6"/>
        </w:rPr>
        <w:t xml:space="preserve">posicionado </w:t>
      </w:r>
      <w:r w:rsidRPr="0044076B">
        <w:rPr>
          <w:rFonts w:ascii="Times New Roman" w:hAnsi="Times New Roman" w:cs="Times New Roman"/>
          <w:spacing w:val="-6"/>
        </w:rPr>
        <w:t>diretamente sobre a rocha ou sobre um horizonte C ou Cr ou sobre material com 90% (por volume), ou mais de sua massa constituída por fragmentos de rocha com diâmetro maior que 2</w:t>
      </w:r>
      <w:r>
        <w:rPr>
          <w:rFonts w:ascii="Times New Roman" w:hAnsi="Times New Roman" w:cs="Times New Roman"/>
          <w:spacing w:val="-6"/>
        </w:rPr>
        <w:t xml:space="preserve"> </w:t>
      </w:r>
      <w:r w:rsidR="00885F7E" w:rsidRPr="0044076B">
        <w:rPr>
          <w:rFonts w:ascii="Times New Roman" w:hAnsi="Times New Roman" w:cs="Times New Roman"/>
          <w:spacing w:val="-6"/>
        </w:rPr>
        <w:t>mm</w:t>
      </w:r>
      <w:r w:rsidRPr="0044076B">
        <w:rPr>
          <w:rFonts w:ascii="Times New Roman" w:hAnsi="Times New Roman" w:cs="Times New Roman"/>
          <w:spacing w:val="-6"/>
        </w:rPr>
        <w:t xml:space="preserve"> (cascalhos, calhaus e matacões) e que apresentam um contato lítico típico ou fragmentário dentro de 50cm da superfície do solo. Admite um horizonte B em início de formação, cuja espessura não satisfaz a qualquer tipo de horizonte B diagnóstico </w:t>
      </w:r>
      <w:r w:rsidRPr="00631C1A">
        <w:rPr>
          <w:rFonts w:ascii="Times New Roman" w:hAnsi="Times New Roman" w:cs="Times New Roman"/>
          <w:spacing w:val="-6"/>
        </w:rPr>
        <w:t>(Figura 1</w:t>
      </w:r>
      <w:r w:rsidR="0034273A">
        <w:rPr>
          <w:rFonts w:ascii="Times New Roman" w:hAnsi="Times New Roman" w:cs="Times New Roman"/>
          <w:spacing w:val="-6"/>
        </w:rPr>
        <w:t>8</w:t>
      </w:r>
      <w:r w:rsidRPr="00631C1A">
        <w:rPr>
          <w:rFonts w:ascii="Times New Roman" w:hAnsi="Times New Roman" w:cs="Times New Roman"/>
          <w:spacing w:val="-6"/>
        </w:rPr>
        <w:t>).</w:t>
      </w:r>
      <w:r w:rsidRPr="0044076B">
        <w:rPr>
          <w:rFonts w:ascii="Times New Roman" w:hAnsi="Times New Roman" w:cs="Times New Roman"/>
          <w:spacing w:val="-6"/>
        </w:rPr>
        <w:t xml:space="preserve"> (SBICS, 2006 e IBGE, 2007).</w:t>
      </w:r>
    </w:p>
    <w:p w:rsidR="00AD48E4" w:rsidRDefault="00AD48E4" w:rsidP="00AB05F0">
      <w:pPr>
        <w:pStyle w:val="TituloFiguras"/>
        <w:spacing w:line="360" w:lineRule="auto"/>
      </w:pPr>
    </w:p>
    <w:p w:rsidR="00AD48E4" w:rsidRDefault="00AD48E4" w:rsidP="00AD48E4">
      <w:pPr>
        <w:pStyle w:val="TituloFiguras"/>
      </w:pPr>
    </w:p>
    <w:p w:rsidR="00AD48E4" w:rsidRDefault="00AD48E4" w:rsidP="00AD48E4">
      <w:pPr>
        <w:spacing w:after="200" w:line="276" w:lineRule="auto"/>
        <w:rPr>
          <w:rFonts w:eastAsiaTheme="minorEastAsia" w:cs="Times New Roman"/>
          <w:bCs/>
          <w:szCs w:val="24"/>
          <w:lang w:eastAsia="pt-BR"/>
        </w:rPr>
      </w:pPr>
      <w:r>
        <w:br w:type="page"/>
      </w:r>
    </w:p>
    <w:p w:rsidR="00AD48E4" w:rsidRDefault="00CB07F3" w:rsidP="00CB07F3">
      <w:pPr>
        <w:pStyle w:val="Legenda"/>
      </w:pPr>
      <w:bookmarkStart w:id="75" w:name="_Toc372740101"/>
      <w:r>
        <w:lastRenderedPageBreak/>
        <w:t xml:space="preserve">Figura </w:t>
      </w:r>
      <w:fldSimple w:instr=" SEQ Figura \* ARABIC ">
        <w:r w:rsidR="004F77E2">
          <w:rPr>
            <w:noProof/>
          </w:rPr>
          <w:t>18</w:t>
        </w:r>
      </w:fldSimple>
      <w:r>
        <w:t xml:space="preserve"> </w:t>
      </w:r>
      <w:r w:rsidRPr="00F120B8">
        <w:t>– Processos erosivos em área de ocorrência de Neossolos Litólicos no Distrito de Tabaúna – Aimorés.</w:t>
      </w:r>
      <w:bookmarkEnd w:id="75"/>
    </w:p>
    <w:p w:rsidR="00AD48E4" w:rsidRDefault="00986205" w:rsidP="00AD48E4">
      <w:pPr>
        <w:spacing w:after="0" w:line="360" w:lineRule="auto"/>
        <w:rPr>
          <w:rFonts w:cs="Times New Roman"/>
        </w:rPr>
      </w:pPr>
      <w:r>
        <w:rPr>
          <w:rFonts w:asciiTheme="minorHAnsi" w:hAnsiTheme="minorHAnsi"/>
          <w:noProof/>
          <w:lang w:eastAsia="pt-BR"/>
        </w:rPr>
        <mc:AlternateContent>
          <mc:Choice Requires="wps">
            <w:drawing>
              <wp:anchor distT="0" distB="0" distL="114300" distR="114300" simplePos="0" relativeHeight="251686912" behindDoc="0" locked="0" layoutInCell="1" allowOverlap="1" wp14:anchorId="29F1B08A" wp14:editId="380E6C52">
                <wp:simplePos x="0" y="0"/>
                <wp:positionH relativeFrom="column">
                  <wp:posOffset>3919855</wp:posOffset>
                </wp:positionH>
                <wp:positionV relativeFrom="paragraph">
                  <wp:posOffset>2835275</wp:posOffset>
                </wp:positionV>
                <wp:extent cx="516890" cy="342265"/>
                <wp:effectExtent l="38100" t="0" r="16510" b="57785"/>
                <wp:wrapNone/>
                <wp:docPr id="44" name="Conector de seta reta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16890" cy="342265"/>
                        </a:xfrm>
                        <a:prstGeom prst="straightConnector1">
                          <a:avLst/>
                        </a:prstGeom>
                        <a:ln w="19050">
                          <a:solidFill>
                            <a:srgbClr val="FFFF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1973AD1" id="Conector de seta reta 21" o:spid="_x0000_s1026" type="#_x0000_t32" style="position:absolute;margin-left:308.65pt;margin-top:223.25pt;width:40.7pt;height:26.95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" strokecolor="yellow" strokeweight="1.5pt">
                <v:stroke endarrow="open"/>
                <o:lock v:ext="edit" shapetype="f"/>
              </v:shape>
            </w:pict>
          </mc:Fallback>
        </mc:AlternateContent>
      </w:r>
      <w:r>
        <w:rPr>
          <w:rFonts w:asciiTheme="minorHAnsi" w:hAnsiTheme="minorHAnsi"/>
          <w:noProof/>
          <w:lang w:eastAsia="pt-BR"/>
        </w:rPr>
        <mc:AlternateContent>
          <mc:Choice Requires="wps">
            <w:drawing>
              <wp:anchor distT="0" distB="0" distL="114300" distR="114300" simplePos="0" relativeHeight="251685888" behindDoc="0" locked="0" layoutInCell="1" allowOverlap="1" wp14:anchorId="1C5E613E" wp14:editId="6BC5426A">
                <wp:simplePos x="0" y="0"/>
                <wp:positionH relativeFrom="column">
                  <wp:posOffset>4078605</wp:posOffset>
                </wp:positionH>
                <wp:positionV relativeFrom="paragraph">
                  <wp:posOffset>2159635</wp:posOffset>
                </wp:positionV>
                <wp:extent cx="1311910" cy="675640"/>
                <wp:effectExtent l="0" t="0" r="21590" b="10160"/>
                <wp:wrapNone/>
                <wp:docPr id="43" name="Retângulo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11910" cy="6756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F77E2" w:rsidRPr="00300F78" w:rsidRDefault="004F77E2" w:rsidP="00AD48E4">
                            <w:pPr>
                              <w:jc w:val="center"/>
                              <w:rPr>
                                <w:lang w:val="en-US"/>
                              </w:rPr>
                            </w:pPr>
                            <w:r>
                              <w:rPr>
                                <w:lang w:val="en-US"/>
                              </w:rPr>
                              <w:t>Neossolo Litólico Horizontes 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5E613E" id="Retângulo 19" o:spid="_x0000_s1027" style="position:absolute;margin-left:321.15pt;margin-top:170.05pt;width:103.3pt;height:53.2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" fillcolor="#4f81bd [3204]" strokecolor="#243f60 [1604]" strokeweight="2pt">
                <v:path arrowok="t"/>
                <v:textbox>
                  <w:txbxContent>
                    <w:p w:rsidR="004F77E2" w:rsidRPr="00300F78" w:rsidRDefault="004F77E2" w:rsidP="00AD48E4">
                      <w:pPr>
                        <w:jc w:val="center"/>
                        <w:rPr>
                          <w:lang w:val="en-US"/>
                        </w:rPr>
                      </w:pPr>
                      <w:r>
                        <w:rPr>
                          <w:lang w:val="en-US"/>
                        </w:rPr>
                        <w:t>Neossolo Litólico Horizontes A/R</w:t>
                      </w:r>
                    </w:p>
                  </w:txbxContent>
                </v:textbox>
              </v:rect>
            </w:pict>
          </mc:Fallback>
        </mc:AlternateContent>
      </w:r>
      <w:r w:rsidR="00AD48E4" w:rsidRPr="0044076B">
        <w:rPr>
          <w:rFonts w:cs="Times New Roman"/>
          <w:noProof/>
          <w:lang w:eastAsia="pt-BR"/>
        </w:rPr>
        <w:drawing>
          <wp:inline distT="0" distB="0" distL="0" distR="0" wp14:anchorId="0991D3DF" wp14:editId="3A79D320">
            <wp:extent cx="5400040" cy="4049898"/>
            <wp:effectExtent l="19050" t="0" r="0" b="0"/>
            <wp:docPr id="236" name="Imagem 32" descr="C:\Users\KLEBER\Desktop\FOTO_RIO_CAPIM\DSCF4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LEBER\Desktop\FOTO_RIO_CAPIM\DSCF480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00040" cy="4049898"/>
                    </a:xfrm>
                    <a:prstGeom prst="rect">
                      <a:avLst/>
                    </a:prstGeom>
                    <a:noFill/>
                    <a:ln>
                      <a:noFill/>
                    </a:ln>
                  </pic:spPr>
                </pic:pic>
              </a:graphicData>
            </a:graphic>
          </wp:inline>
        </w:drawing>
      </w:r>
    </w:p>
    <w:p w:rsidR="00AD48E4" w:rsidRPr="0026310B" w:rsidRDefault="00AD48E4" w:rsidP="00AD48E4">
      <w:pPr>
        <w:spacing w:after="0" w:line="360" w:lineRule="auto"/>
        <w:rPr>
          <w:rFonts w:cs="Times New Roman"/>
        </w:rPr>
      </w:pPr>
      <w:r w:rsidRPr="00B32877">
        <w:rPr>
          <w:rFonts w:cs="Times New Roman"/>
          <w:sz w:val="20"/>
        </w:rPr>
        <w:t>Fonte: Fundação Educacional de Caratinga – FUNEC, 2013</w:t>
      </w:r>
    </w:p>
    <w:p w:rsidR="00AD48E4" w:rsidRPr="00166C63" w:rsidRDefault="00AD48E4" w:rsidP="00166C63">
      <w:pPr>
        <w:ind w:firstLine="284"/>
        <w:rPr>
          <w:b/>
        </w:rPr>
      </w:pPr>
      <w:bookmarkStart w:id="76" w:name="_Toc372559045"/>
      <w:r w:rsidRPr="00166C63">
        <w:rPr>
          <w:b/>
        </w:rPr>
        <w:t>Neossolos Flúvicos</w:t>
      </w:r>
      <w:bookmarkEnd w:id="76"/>
    </w:p>
    <w:p w:rsidR="00AD48E4" w:rsidRDefault="00AD48E4" w:rsidP="00AB05F0">
      <w:pPr>
        <w:pStyle w:val="CM72"/>
        <w:spacing w:line="360" w:lineRule="auto"/>
        <w:ind w:firstLine="708"/>
        <w:jc w:val="both"/>
        <w:rPr>
          <w:rFonts w:ascii="Times New Roman" w:hAnsi="Times New Roman" w:cs="Times New Roman"/>
        </w:rPr>
      </w:pPr>
      <w:r>
        <w:rPr>
          <w:rFonts w:ascii="Times New Roman" w:hAnsi="Times New Roman" w:cs="Times New Roman"/>
        </w:rPr>
        <w:t>São s</w:t>
      </w:r>
      <w:r w:rsidRPr="002369FA">
        <w:rPr>
          <w:rFonts w:ascii="Times New Roman" w:hAnsi="Times New Roman" w:cs="Times New Roman"/>
        </w:rPr>
        <w:t>olos derivados de sedimentos aluviais com horizonte A a</w:t>
      </w:r>
      <w:r>
        <w:rPr>
          <w:rFonts w:ascii="Times New Roman" w:hAnsi="Times New Roman" w:cs="Times New Roman"/>
        </w:rPr>
        <w:t>u</w:t>
      </w:r>
      <w:r w:rsidRPr="002369FA">
        <w:rPr>
          <w:rFonts w:ascii="Times New Roman" w:hAnsi="Times New Roman" w:cs="Times New Roman"/>
        </w:rPr>
        <w:t>sente</w:t>
      </w:r>
      <w:r>
        <w:rPr>
          <w:rFonts w:ascii="Times New Roman" w:hAnsi="Times New Roman" w:cs="Times New Roman"/>
        </w:rPr>
        <w:t xml:space="preserve"> </w:t>
      </w:r>
      <w:r w:rsidRPr="002369FA">
        <w:rPr>
          <w:rFonts w:ascii="Times New Roman" w:hAnsi="Times New Roman" w:cs="Times New Roman"/>
        </w:rPr>
        <w:t>sobre horizonte C constituído</w:t>
      </w:r>
      <w:r>
        <w:rPr>
          <w:rFonts w:ascii="Times New Roman" w:hAnsi="Times New Roman" w:cs="Times New Roman"/>
        </w:rPr>
        <w:t xml:space="preserve"> de camadas estratificadas, sem </w:t>
      </w:r>
      <w:r w:rsidRPr="002369FA">
        <w:rPr>
          <w:rFonts w:ascii="Times New Roman" w:hAnsi="Times New Roman" w:cs="Times New Roman"/>
        </w:rPr>
        <w:t>relação pedogenética entre si,</w:t>
      </w:r>
      <w:r>
        <w:rPr>
          <w:rFonts w:ascii="Times New Roman" w:hAnsi="Times New Roman" w:cs="Times New Roman"/>
        </w:rPr>
        <w:t xml:space="preserve"> apresentando pelo menos um dos seguintes requisitos citados abaixo: </w:t>
      </w:r>
      <w:r w:rsidRPr="00631C1A">
        <w:rPr>
          <w:rFonts w:ascii="Times New Roman" w:hAnsi="Times New Roman" w:cs="Times New Roman"/>
        </w:rPr>
        <w:t>(Figura 1</w:t>
      </w:r>
      <w:r w:rsidR="0034273A">
        <w:rPr>
          <w:rFonts w:ascii="Times New Roman" w:hAnsi="Times New Roman" w:cs="Times New Roman"/>
        </w:rPr>
        <w:t>9</w:t>
      </w:r>
      <w:r w:rsidRPr="00631C1A">
        <w:rPr>
          <w:rFonts w:ascii="Times New Roman" w:hAnsi="Times New Roman" w:cs="Times New Roman"/>
        </w:rPr>
        <w:t>).</w:t>
      </w:r>
      <w:r>
        <w:rPr>
          <w:rFonts w:ascii="Times New Roman" w:hAnsi="Times New Roman" w:cs="Times New Roman"/>
        </w:rPr>
        <w:t xml:space="preserve"> </w:t>
      </w:r>
      <w:r w:rsidRPr="000B2EF2">
        <w:rPr>
          <w:rFonts w:ascii="Times New Roman" w:hAnsi="Times New Roman" w:cs="Times New Roman"/>
        </w:rPr>
        <w:t>(SBICS, 2006 e IBGE, 2007).</w:t>
      </w:r>
    </w:p>
    <w:p w:rsidR="00AD48E4" w:rsidRDefault="00AD48E4" w:rsidP="0053477A">
      <w:pPr>
        <w:pStyle w:val="CM72"/>
        <w:numPr>
          <w:ilvl w:val="0"/>
          <w:numId w:val="11"/>
        </w:numPr>
        <w:spacing w:line="360" w:lineRule="auto"/>
        <w:ind w:left="851" w:hanging="425"/>
        <w:jc w:val="both"/>
        <w:rPr>
          <w:rFonts w:ascii="Times New Roman" w:hAnsi="Times New Roman" w:cs="Times New Roman"/>
        </w:rPr>
      </w:pPr>
      <w:r>
        <w:rPr>
          <w:rFonts w:ascii="Times New Roman" w:hAnsi="Times New Roman" w:cs="Times New Roman"/>
        </w:rPr>
        <w:t>D</w:t>
      </w:r>
      <w:r w:rsidRPr="002369FA">
        <w:rPr>
          <w:rFonts w:ascii="Times New Roman" w:hAnsi="Times New Roman" w:cs="Times New Roman"/>
        </w:rPr>
        <w:t xml:space="preserve">istribuição irregular do </w:t>
      </w:r>
      <w:r>
        <w:rPr>
          <w:rFonts w:ascii="Times New Roman" w:hAnsi="Times New Roman" w:cs="Times New Roman"/>
        </w:rPr>
        <w:t xml:space="preserve">conteúdo de carbono orgânico em profundidade, dentro de </w:t>
      </w:r>
      <w:r w:rsidRPr="002369FA">
        <w:rPr>
          <w:rFonts w:ascii="Times New Roman" w:hAnsi="Times New Roman" w:cs="Times New Roman"/>
        </w:rPr>
        <w:t>150</w:t>
      </w:r>
      <w:r>
        <w:rPr>
          <w:rFonts w:ascii="Times New Roman" w:hAnsi="Times New Roman" w:cs="Times New Roman"/>
        </w:rPr>
        <w:t xml:space="preserve"> </w:t>
      </w:r>
      <w:r w:rsidRPr="002369FA">
        <w:rPr>
          <w:rFonts w:ascii="Times New Roman" w:hAnsi="Times New Roman" w:cs="Times New Roman"/>
        </w:rPr>
        <w:t>cm da superfície do solo; e/ou</w:t>
      </w:r>
    </w:p>
    <w:p w:rsidR="00AD48E4" w:rsidRDefault="00AD48E4" w:rsidP="0053477A">
      <w:pPr>
        <w:pStyle w:val="CM72"/>
        <w:numPr>
          <w:ilvl w:val="0"/>
          <w:numId w:val="11"/>
        </w:numPr>
        <w:spacing w:line="360" w:lineRule="auto"/>
        <w:ind w:left="850" w:hanging="425"/>
        <w:jc w:val="both"/>
        <w:rPr>
          <w:rFonts w:ascii="Times New Roman" w:hAnsi="Times New Roman" w:cs="Times New Roman"/>
        </w:rPr>
      </w:pPr>
      <w:r>
        <w:rPr>
          <w:rFonts w:ascii="Times New Roman" w:hAnsi="Times New Roman" w:cs="Times New Roman"/>
        </w:rPr>
        <w:t>C</w:t>
      </w:r>
      <w:r w:rsidRPr="002369FA">
        <w:rPr>
          <w:rFonts w:ascii="Times New Roman" w:hAnsi="Times New Roman" w:cs="Times New Roman"/>
        </w:rPr>
        <w:t>amadas estratificadas em</w:t>
      </w:r>
      <w:r>
        <w:rPr>
          <w:rFonts w:ascii="Times New Roman" w:hAnsi="Times New Roman" w:cs="Times New Roman"/>
        </w:rPr>
        <w:t xml:space="preserve"> 25 % ou mais do volume do solo, </w:t>
      </w:r>
      <w:r w:rsidRPr="002369FA">
        <w:rPr>
          <w:rFonts w:ascii="Times New Roman" w:hAnsi="Times New Roman" w:cs="Times New Roman"/>
        </w:rPr>
        <w:t>dentro de 150</w:t>
      </w:r>
      <w:r>
        <w:rPr>
          <w:rFonts w:ascii="Times New Roman" w:hAnsi="Times New Roman" w:cs="Times New Roman"/>
        </w:rPr>
        <w:t xml:space="preserve"> </w:t>
      </w:r>
      <w:r w:rsidRPr="002369FA">
        <w:rPr>
          <w:rFonts w:ascii="Times New Roman" w:hAnsi="Times New Roman" w:cs="Times New Roman"/>
        </w:rPr>
        <w:t>cm</w:t>
      </w:r>
      <w:r>
        <w:rPr>
          <w:rFonts w:ascii="Times New Roman" w:hAnsi="Times New Roman" w:cs="Times New Roman"/>
        </w:rPr>
        <w:t>.</w:t>
      </w:r>
      <w:r w:rsidRPr="002369FA">
        <w:rPr>
          <w:rFonts w:ascii="Times New Roman" w:hAnsi="Times New Roman" w:cs="Times New Roman"/>
        </w:rPr>
        <w:t xml:space="preserve"> da superfície do solo.</w:t>
      </w:r>
    </w:p>
    <w:p w:rsidR="0034273A" w:rsidRDefault="0034273A">
      <w:pPr>
        <w:spacing w:after="200" w:line="276" w:lineRule="auto"/>
        <w:rPr>
          <w:rFonts w:eastAsiaTheme="minorEastAsia" w:cs="Times New Roman"/>
          <w:b/>
          <w:bCs/>
          <w:szCs w:val="24"/>
          <w:lang w:eastAsia="pt-BR"/>
        </w:rPr>
      </w:pPr>
      <w:r>
        <w:rPr>
          <w:b/>
        </w:rPr>
        <w:br w:type="page"/>
      </w:r>
    </w:p>
    <w:p w:rsidR="00AD48E4" w:rsidRPr="002369FA" w:rsidRDefault="00CB07F3" w:rsidP="00CB07F3">
      <w:pPr>
        <w:pStyle w:val="Legenda"/>
      </w:pPr>
      <w:bookmarkStart w:id="77" w:name="_Toc372740102"/>
      <w:r>
        <w:lastRenderedPageBreak/>
        <w:t xml:space="preserve">Figura </w:t>
      </w:r>
      <w:fldSimple w:instr=" SEQ Figura \* ARABIC ">
        <w:r w:rsidR="004F77E2">
          <w:rPr>
            <w:noProof/>
          </w:rPr>
          <w:t>19</w:t>
        </w:r>
      </w:fldSimple>
      <w:r>
        <w:t xml:space="preserve"> </w:t>
      </w:r>
      <w:r w:rsidRPr="004D254C">
        <w:t>– Área de ocorrência de Neossolo Flúvico (Rio Capim).</w:t>
      </w:r>
      <w:bookmarkEnd w:id="77"/>
    </w:p>
    <w:p w:rsidR="00AD48E4" w:rsidRDefault="00986205" w:rsidP="00AD48E4">
      <w:pPr>
        <w:spacing w:after="0" w:line="360" w:lineRule="auto"/>
        <w:jc w:val="center"/>
        <w:rPr>
          <w:rFonts w:cs="Times New Roman"/>
          <w:b/>
        </w:rPr>
      </w:pPr>
      <w:r>
        <w:rPr>
          <w:rFonts w:asciiTheme="minorHAnsi" w:hAnsiTheme="minorHAnsi"/>
          <w:noProof/>
          <w:lang w:eastAsia="pt-BR"/>
        </w:rPr>
        <mc:AlternateContent>
          <mc:Choice Requires="wps">
            <w:drawing>
              <wp:anchor distT="0" distB="0" distL="114300" distR="114300" simplePos="0" relativeHeight="251683840" behindDoc="0" locked="0" layoutInCell="1" allowOverlap="1" wp14:anchorId="6EA5468B" wp14:editId="55902D1E">
                <wp:simplePos x="0" y="0"/>
                <wp:positionH relativeFrom="column">
                  <wp:posOffset>3645535</wp:posOffset>
                </wp:positionH>
                <wp:positionV relativeFrom="paragraph">
                  <wp:posOffset>323215</wp:posOffset>
                </wp:positionV>
                <wp:extent cx="1351915" cy="278130"/>
                <wp:effectExtent l="0" t="0" r="19685" b="26670"/>
                <wp:wrapNone/>
                <wp:docPr id="53" name="Retângulo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51915" cy="27813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F77E2" w:rsidRDefault="004F77E2" w:rsidP="00AD48E4">
                            <w:pPr>
                              <w:spacing w:line="240" w:lineRule="auto"/>
                            </w:pPr>
                            <w:r>
                              <w:t>Neossolo Flúvico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A5468B" id="Retângulo 12" o:spid="_x0000_s1028" style="position:absolute;left:0;text-align:left;margin-left:287.05pt;margin-top:25.45pt;width:106.45pt;height:21.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" fillcolor="#4f81bd [3204]" strokecolor="#243f60 [1604]" strokeweight="2pt">
                <v:path arrowok="t"/>
                <v:textbox>
                  <w:txbxContent>
                    <w:p w:rsidR="004F77E2" w:rsidRDefault="004F77E2" w:rsidP="00AD48E4">
                      <w:pPr>
                        <w:spacing w:line="240" w:lineRule="auto"/>
                      </w:pPr>
                      <w:r>
                        <w:t>Neossolo Flúvico</w:t>
                      </w:r>
                    </w:p>
                  </w:txbxContent>
                </v:textbox>
              </v:rect>
            </w:pict>
          </mc:Fallback>
        </mc:AlternateContent>
      </w:r>
      <w:r>
        <w:rPr>
          <w:rFonts w:asciiTheme="minorHAnsi" w:hAnsiTheme="minorHAnsi"/>
          <w:noProof/>
          <w:lang w:eastAsia="pt-BR"/>
        </w:rPr>
        <mc:AlternateContent>
          <mc:Choice Requires="wps">
            <w:drawing>
              <wp:anchor distT="0" distB="0" distL="114300" distR="114300" simplePos="0" relativeHeight="251684864" behindDoc="0" locked="0" layoutInCell="1" allowOverlap="1" wp14:anchorId="171FC406" wp14:editId="38AFD1C7">
                <wp:simplePos x="0" y="0"/>
                <wp:positionH relativeFrom="column">
                  <wp:posOffset>3905250</wp:posOffset>
                </wp:positionH>
                <wp:positionV relativeFrom="paragraph">
                  <wp:posOffset>682625</wp:posOffset>
                </wp:positionV>
                <wp:extent cx="466725" cy="334010"/>
                <wp:effectExtent l="104458" t="0" r="18732" b="75883"/>
                <wp:wrapNone/>
                <wp:docPr id="52" name="Conector de seta reta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466725" cy="334010"/>
                        </a:xfrm>
                        <a:prstGeom prst="bentConnector3">
                          <a:avLst>
                            <a:gd name="adj1" fmla="val 49931"/>
                          </a:avLst>
                        </a:prstGeom>
                        <a:noFill/>
                        <a:ln w="12700">
                          <a:solidFill>
                            <a:srgbClr val="FFFF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B1FA61" id="Conector de seta reta 13" o:spid="_x0000_s1026" type="#_x0000_t34" style="position:absolute;margin-left:307.5pt;margin-top:53.75pt;width:36.75pt;height:26.3pt;rotation:9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" adj="10785" strokecolor="yellow" strokeweight="1pt">
                <v:stroke endarrow="open"/>
              </v:shape>
            </w:pict>
          </mc:Fallback>
        </mc:AlternateContent>
      </w:r>
      <w:r w:rsidR="00AD48E4">
        <w:rPr>
          <w:rFonts w:cs="Times New Roman"/>
          <w:b/>
          <w:noProof/>
          <w:lang w:eastAsia="pt-BR"/>
        </w:rPr>
        <w:drawing>
          <wp:inline distT="0" distB="0" distL="0" distR="0" wp14:anchorId="4C0F9097" wp14:editId="0C2ACDC5">
            <wp:extent cx="5451422" cy="4089197"/>
            <wp:effectExtent l="0" t="0" r="0" b="6985"/>
            <wp:docPr id="33" name="Imagem 33" descr="F:\FOTO_RIO_CAPIM\DSC00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FOTO_RIO_CAPIM\DSC0037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53712" cy="4090915"/>
                    </a:xfrm>
                    <a:prstGeom prst="rect">
                      <a:avLst/>
                    </a:prstGeom>
                    <a:noFill/>
                    <a:ln>
                      <a:noFill/>
                    </a:ln>
                  </pic:spPr>
                </pic:pic>
              </a:graphicData>
            </a:graphic>
          </wp:inline>
        </w:drawing>
      </w:r>
    </w:p>
    <w:p w:rsidR="00AD48E4" w:rsidRPr="0026310B" w:rsidRDefault="00AD48E4" w:rsidP="00AD48E4">
      <w:pPr>
        <w:spacing w:after="0" w:line="360" w:lineRule="auto"/>
        <w:rPr>
          <w:rFonts w:cs="Times New Roman"/>
        </w:rPr>
      </w:pPr>
      <w:r w:rsidRPr="00B32877">
        <w:rPr>
          <w:rFonts w:cs="Times New Roman"/>
          <w:sz w:val="20"/>
        </w:rPr>
        <w:t>Fonte: Fundação Educacional de Caratinga – FUNEC, 2013</w:t>
      </w:r>
    </w:p>
    <w:p w:rsidR="006A31EB" w:rsidRPr="00166C63" w:rsidRDefault="00AB05F0" w:rsidP="00166C63">
      <w:pPr>
        <w:ind w:firstLine="284"/>
        <w:rPr>
          <w:b/>
        </w:rPr>
      </w:pPr>
      <w:bookmarkStart w:id="78" w:name="_Toc372559046"/>
      <w:r w:rsidRPr="00166C63">
        <w:rPr>
          <w:b/>
        </w:rPr>
        <w:t>Gleissolos</w:t>
      </w:r>
      <w:bookmarkEnd w:id="78"/>
    </w:p>
    <w:p w:rsidR="006A31EB" w:rsidRDefault="006A31EB" w:rsidP="00AB05F0">
      <w:pPr>
        <w:pStyle w:val="CM72"/>
        <w:spacing w:line="360" w:lineRule="auto"/>
        <w:ind w:firstLine="709"/>
        <w:jc w:val="both"/>
        <w:rPr>
          <w:rFonts w:ascii="Times New Roman" w:hAnsi="Times New Roman" w:cs="Times New Roman"/>
        </w:rPr>
      </w:pPr>
      <w:r w:rsidRPr="002369FA">
        <w:rPr>
          <w:rFonts w:ascii="Times New Roman" w:hAnsi="Times New Roman" w:cs="Times New Roman"/>
        </w:rPr>
        <w:t>São solos característicos de regiões alagadas ou sujeitas ao alagamento como margens de rios, ilhas, grandes planícies, etc. com altitudes médias de 180</w:t>
      </w:r>
      <w:r w:rsidR="00AB05F0">
        <w:rPr>
          <w:rFonts w:ascii="Times New Roman" w:hAnsi="Times New Roman" w:cs="Times New Roman"/>
        </w:rPr>
        <w:t xml:space="preserve">,3 </w:t>
      </w:r>
      <w:r w:rsidRPr="002369FA">
        <w:rPr>
          <w:rFonts w:ascii="Times New Roman" w:hAnsi="Times New Roman" w:cs="Times New Roman"/>
        </w:rPr>
        <w:t>m. Apresentam cores acinzentadas, azuladas ou esverdeadas, com profundidade variando 30 cm a 170 cm e textura predominantemente argilosa, com alguns perfis de textura média. Caracterizam-se pela forte gleização, em decorrência do regime de umidade redutor, que se processa em meio anaeróbico, com muita deficiência ou mesmo ausência de oxigênio, devido ao encharcamento do solo por longo p</w:t>
      </w:r>
      <w:r>
        <w:rPr>
          <w:rFonts w:ascii="Times New Roman" w:hAnsi="Times New Roman" w:cs="Times New Roman"/>
        </w:rPr>
        <w:t xml:space="preserve">eríodo ou durante o ano inteiro </w:t>
      </w:r>
      <w:r w:rsidRPr="001A3C41">
        <w:rPr>
          <w:rFonts w:ascii="Times New Roman" w:hAnsi="Times New Roman" w:cs="Times New Roman"/>
        </w:rPr>
        <w:t xml:space="preserve">(Figura </w:t>
      </w:r>
      <w:r w:rsidR="0034273A">
        <w:rPr>
          <w:rFonts w:ascii="Times New Roman" w:hAnsi="Times New Roman" w:cs="Times New Roman"/>
        </w:rPr>
        <w:t>20</w:t>
      </w:r>
      <w:r w:rsidRPr="001A3C41">
        <w:rPr>
          <w:rFonts w:ascii="Times New Roman" w:hAnsi="Times New Roman" w:cs="Times New Roman"/>
        </w:rPr>
        <w:t>).</w:t>
      </w:r>
      <w:r>
        <w:rPr>
          <w:rFonts w:ascii="Times New Roman" w:hAnsi="Times New Roman" w:cs="Times New Roman"/>
        </w:rPr>
        <w:t xml:space="preserve"> </w:t>
      </w:r>
      <w:r w:rsidRPr="000B2EF2">
        <w:rPr>
          <w:rFonts w:ascii="Times New Roman" w:hAnsi="Times New Roman" w:cs="Times New Roman"/>
        </w:rPr>
        <w:t>(SBICS, 2006 e IBGE, 2007).</w:t>
      </w:r>
    </w:p>
    <w:p w:rsidR="0044076B" w:rsidRDefault="0044076B" w:rsidP="006A31EB">
      <w:pPr>
        <w:spacing w:line="360" w:lineRule="auto"/>
        <w:ind w:firstLine="708"/>
        <w:jc w:val="both"/>
        <w:rPr>
          <w:rFonts w:cs="Times New Roman"/>
        </w:rPr>
      </w:pPr>
    </w:p>
    <w:p w:rsidR="0044076B" w:rsidRDefault="0044076B">
      <w:pPr>
        <w:spacing w:after="200" w:line="276" w:lineRule="auto"/>
        <w:rPr>
          <w:rFonts w:eastAsiaTheme="minorEastAsia" w:cs="Times New Roman"/>
          <w:bCs/>
          <w:szCs w:val="24"/>
          <w:lang w:eastAsia="pt-BR"/>
        </w:rPr>
      </w:pPr>
      <w:r>
        <w:br w:type="page"/>
      </w:r>
    </w:p>
    <w:p w:rsidR="0044076B" w:rsidRDefault="00CB07F3" w:rsidP="00CB07F3">
      <w:pPr>
        <w:pStyle w:val="Legenda"/>
      </w:pPr>
      <w:bookmarkStart w:id="79" w:name="_Toc372740103"/>
      <w:r>
        <w:lastRenderedPageBreak/>
        <w:t xml:space="preserve">Figura </w:t>
      </w:r>
      <w:fldSimple w:instr=" SEQ Figura \* ARABIC ">
        <w:r w:rsidR="004F77E2">
          <w:rPr>
            <w:noProof/>
          </w:rPr>
          <w:t>20</w:t>
        </w:r>
      </w:fldSimple>
      <w:r>
        <w:t xml:space="preserve"> </w:t>
      </w:r>
      <w:r w:rsidRPr="0049052B">
        <w:t>– Área de ocorrência de Gleissolos no Rio Capim-Aimorés.</w:t>
      </w:r>
      <w:bookmarkEnd w:id="79"/>
    </w:p>
    <w:p w:rsidR="006A31EB" w:rsidRDefault="00986205" w:rsidP="0044076B">
      <w:pPr>
        <w:rPr>
          <w:rFonts w:cs="Times New Roman"/>
        </w:rPr>
      </w:pPr>
      <w:r>
        <w:rPr>
          <w:rFonts w:asciiTheme="minorHAnsi" w:hAnsiTheme="minorHAnsi"/>
          <w:noProof/>
          <w:lang w:eastAsia="pt-BR"/>
        </w:rPr>
        <mc:AlternateContent>
          <mc:Choice Requires="wps">
            <w:drawing>
              <wp:anchor distT="0" distB="0" distL="114300" distR="114300" simplePos="0" relativeHeight="251663360" behindDoc="0" locked="0" layoutInCell="1" allowOverlap="1" wp14:anchorId="6124BB08" wp14:editId="59281226">
                <wp:simplePos x="0" y="0"/>
                <wp:positionH relativeFrom="column">
                  <wp:posOffset>1845945</wp:posOffset>
                </wp:positionH>
                <wp:positionV relativeFrom="paragraph">
                  <wp:posOffset>1184910</wp:posOffset>
                </wp:positionV>
                <wp:extent cx="1104900" cy="1075055"/>
                <wp:effectExtent l="38100" t="0" r="19050" b="48895"/>
                <wp:wrapNone/>
                <wp:docPr id="41" name="Conector de seta reta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104900" cy="1075055"/>
                        </a:xfrm>
                        <a:prstGeom prst="straightConnector1">
                          <a:avLst/>
                        </a:prstGeom>
                        <a:ln w="25400">
                          <a:solidFill>
                            <a:srgbClr val="FFFF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A3DBA70" id="Conector de seta reta 16" o:spid="_x0000_s1026" type="#_x0000_t32" style="position:absolute;margin-left:145.35pt;margin-top:93.3pt;width:87pt;height:84.6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" strokecolor="yellow" strokeweight="2pt">
                <v:stroke endarrow="open"/>
                <o:lock v:ext="edit" shapetype="f"/>
              </v:shape>
            </w:pict>
          </mc:Fallback>
        </mc:AlternateContent>
      </w:r>
      <w:r>
        <w:rPr>
          <w:rFonts w:asciiTheme="minorHAnsi" w:hAnsiTheme="minorHAnsi"/>
          <w:noProof/>
          <w:lang w:eastAsia="pt-BR"/>
        </w:rPr>
        <mc:AlternateContent>
          <mc:Choice Requires="wps">
            <w:drawing>
              <wp:anchor distT="0" distB="0" distL="114300" distR="114300" simplePos="0" relativeHeight="251662336" behindDoc="0" locked="0" layoutInCell="1" allowOverlap="1" wp14:anchorId="714D1963" wp14:editId="35D3E626">
                <wp:simplePos x="0" y="0"/>
                <wp:positionH relativeFrom="column">
                  <wp:posOffset>2319020</wp:posOffset>
                </wp:positionH>
                <wp:positionV relativeFrom="paragraph">
                  <wp:posOffset>799465</wp:posOffset>
                </wp:positionV>
                <wp:extent cx="1232535" cy="374015"/>
                <wp:effectExtent l="0" t="0" r="24765" b="26035"/>
                <wp:wrapNone/>
                <wp:docPr id="42" name="Retângulo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2535" cy="3740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F77E2" w:rsidRDefault="004F77E2" w:rsidP="006A31EB">
                            <w:pPr>
                              <w:jc w:val="center"/>
                            </w:pPr>
                            <w:r>
                              <w:t>Gleissolos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4D1963" id="Retângulo 15" o:spid="_x0000_s1029" style="position:absolute;margin-left:182.6pt;margin-top:62.95pt;width:97.05pt;height:29.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" fillcolor="#4f81bd [3204]" strokecolor="#243f60 [1604]" strokeweight="2pt">
                <v:path arrowok="t"/>
                <v:textbox>
                  <w:txbxContent>
                    <w:p w:rsidR="004F77E2" w:rsidRDefault="004F77E2" w:rsidP="006A31EB">
                      <w:pPr>
                        <w:jc w:val="center"/>
                      </w:pPr>
                      <w:r>
                        <w:t>Gleissolos</w:t>
                      </w:r>
                    </w:p>
                  </w:txbxContent>
                </v:textbox>
              </v:rect>
            </w:pict>
          </mc:Fallback>
        </mc:AlternateContent>
      </w:r>
      <w:r w:rsidR="0044076B" w:rsidRPr="0044076B">
        <w:rPr>
          <w:rFonts w:cs="Times New Roman"/>
          <w:noProof/>
          <w:lang w:eastAsia="pt-BR"/>
        </w:rPr>
        <w:drawing>
          <wp:inline distT="0" distB="0" distL="0" distR="0" wp14:anchorId="1D310AF6" wp14:editId="7D7E39F5">
            <wp:extent cx="5529440" cy="4147719"/>
            <wp:effectExtent l="0" t="0" r="0" b="5715"/>
            <wp:docPr id="237" name="Imagem 34" descr="F:\FOTO_RIO_CAPIM\DSC00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FOTO_RIO_CAPIM\DSC00378.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32727" cy="4150184"/>
                    </a:xfrm>
                    <a:prstGeom prst="rect">
                      <a:avLst/>
                    </a:prstGeom>
                    <a:noFill/>
                    <a:ln>
                      <a:noFill/>
                    </a:ln>
                  </pic:spPr>
                </pic:pic>
              </a:graphicData>
            </a:graphic>
          </wp:inline>
        </w:drawing>
      </w:r>
    </w:p>
    <w:p w:rsidR="001A3C41" w:rsidRPr="0026310B" w:rsidRDefault="001A3C41" w:rsidP="001A3C41">
      <w:pPr>
        <w:spacing w:after="0" w:line="360" w:lineRule="auto"/>
        <w:rPr>
          <w:rFonts w:cs="Times New Roman"/>
        </w:rPr>
      </w:pPr>
      <w:r w:rsidRPr="00B32877">
        <w:rPr>
          <w:rFonts w:cs="Times New Roman"/>
          <w:sz w:val="20"/>
        </w:rPr>
        <w:t>Fonte: Fundação Educacional de Caratinga – FUNEC, 2013</w:t>
      </w:r>
    </w:p>
    <w:p w:rsidR="006A31EB" w:rsidRDefault="006A31EB" w:rsidP="001A3C41">
      <w:pPr>
        <w:pStyle w:val="CM72"/>
        <w:spacing w:before="120" w:line="360" w:lineRule="auto"/>
        <w:ind w:firstLine="709"/>
        <w:jc w:val="both"/>
        <w:rPr>
          <w:rFonts w:ascii="Times New Roman" w:hAnsi="Times New Roman" w:cs="Times New Roman"/>
        </w:rPr>
      </w:pPr>
      <w:r w:rsidRPr="002369FA">
        <w:rPr>
          <w:rFonts w:ascii="Times New Roman" w:hAnsi="Times New Roman" w:cs="Times New Roman"/>
        </w:rPr>
        <w:t>Esta classe compreende solos hidromórficos com sequ</w:t>
      </w:r>
      <w:r>
        <w:rPr>
          <w:rFonts w:ascii="Times New Roman" w:hAnsi="Times New Roman" w:cs="Times New Roman"/>
        </w:rPr>
        <w:t>ê</w:t>
      </w:r>
      <w:r w:rsidRPr="002369FA">
        <w:rPr>
          <w:rFonts w:ascii="Times New Roman" w:hAnsi="Times New Roman" w:cs="Times New Roman"/>
        </w:rPr>
        <w:t>ncia de horizontes, preferencialmente A, B e horizonte glei (Cg). Apresentam horizonte A superficial de cor preta, teores de matéria orgânica elevados. A partir da base do horizonte A, as camadas apresentam cores acinzentadas ou cinzentas, com mo</w:t>
      </w:r>
      <w:r>
        <w:rPr>
          <w:rFonts w:ascii="Times New Roman" w:hAnsi="Times New Roman" w:cs="Times New Roman"/>
        </w:rPr>
        <w:t>squeado</w:t>
      </w:r>
      <w:r w:rsidRPr="002369FA">
        <w:rPr>
          <w:rFonts w:ascii="Times New Roman" w:hAnsi="Times New Roman" w:cs="Times New Roman"/>
        </w:rPr>
        <w:t>s amarelados e avermelhados causados pelos processos de oxi-redução devido à</w:t>
      </w:r>
      <w:r>
        <w:rPr>
          <w:rFonts w:ascii="Times New Roman" w:hAnsi="Times New Roman" w:cs="Times New Roman"/>
        </w:rPr>
        <w:t xml:space="preserve">s oscilações do lençol freático </w:t>
      </w:r>
      <w:r w:rsidRPr="002369FA">
        <w:rPr>
          <w:rFonts w:ascii="Times New Roman" w:hAnsi="Times New Roman" w:cs="Times New Roman"/>
        </w:rPr>
        <w:t>(GUERRA et.al., 1996).</w:t>
      </w:r>
    </w:p>
    <w:p w:rsidR="006A31EB" w:rsidRPr="0044076B" w:rsidRDefault="006A31EB" w:rsidP="001A3C41">
      <w:pPr>
        <w:pStyle w:val="CM72"/>
        <w:spacing w:line="360" w:lineRule="auto"/>
        <w:ind w:firstLine="709"/>
        <w:jc w:val="both"/>
        <w:rPr>
          <w:rFonts w:ascii="Times New Roman" w:hAnsi="Times New Roman" w:cs="Times New Roman"/>
          <w:spacing w:val="-8"/>
        </w:rPr>
      </w:pPr>
      <w:r w:rsidRPr="0044076B">
        <w:rPr>
          <w:rFonts w:ascii="Times New Roman" w:hAnsi="Times New Roman" w:cs="Times New Roman"/>
          <w:spacing w:val="-8"/>
        </w:rPr>
        <w:t xml:space="preserve">Os Gleissolos são solos desenvolvido em materiais inconsolidados (sedimentos ou saprófito) e muito influenciado por encharcamento prolongado, ocasionado por um afloramento no lençol freático. Essa saturação, na presença de matéria orgânica, diminui o oxigênio dissolvido e provoca a redução química e dissolução dos óxidos de ferro, que é transformado e removido, fazendo surgir cores cinzentas no horizonte subsuperficial. Se alguma oxidação acontecer (fissuras ou pequenos orifícios deixados por raízes), aparecem pequenas manchas cor-de-ferrugem, denominadas </w:t>
      </w:r>
      <w:r w:rsidRPr="0044076B">
        <w:rPr>
          <w:rFonts w:ascii="Times New Roman" w:hAnsi="Times New Roman" w:cs="Times New Roman"/>
          <w:spacing w:val="-8"/>
        </w:rPr>
        <w:lastRenderedPageBreak/>
        <w:t>“mosqueados (SBICS, 2006 e IBGE, 2007).</w:t>
      </w:r>
    </w:p>
    <w:p w:rsidR="006A31EB" w:rsidRDefault="006A31EB" w:rsidP="001A3C41">
      <w:pPr>
        <w:pStyle w:val="CM72"/>
        <w:spacing w:line="360" w:lineRule="auto"/>
        <w:ind w:firstLine="709"/>
        <w:jc w:val="both"/>
        <w:rPr>
          <w:rFonts w:ascii="Times New Roman" w:hAnsi="Times New Roman" w:cs="Times New Roman"/>
        </w:rPr>
      </w:pPr>
      <w:r w:rsidRPr="002369FA">
        <w:rPr>
          <w:rFonts w:ascii="Times New Roman" w:hAnsi="Times New Roman" w:cs="Times New Roman"/>
        </w:rPr>
        <w:t>Os Gleissolos ocorrem nas margens dos grandes rios e sua fertilidade fica condicionada à qualidade do sedimento depositado. Por serem solos hidromórficos apresentam drenagem muito deficiente, com severas carências de oxigênio, limitando seu uso agrícola.</w:t>
      </w:r>
    </w:p>
    <w:p w:rsidR="006A31EB" w:rsidRPr="00166C63" w:rsidRDefault="001A3C41" w:rsidP="00166C63">
      <w:pPr>
        <w:ind w:firstLine="284"/>
        <w:rPr>
          <w:b/>
        </w:rPr>
      </w:pPr>
      <w:bookmarkStart w:id="80" w:name="_Toc372559047"/>
      <w:r w:rsidRPr="00166C63">
        <w:rPr>
          <w:b/>
        </w:rPr>
        <w:t>Afloramentos Rochosos</w:t>
      </w:r>
      <w:bookmarkEnd w:id="80"/>
    </w:p>
    <w:p w:rsidR="006A31EB" w:rsidRDefault="006A31EB" w:rsidP="001A3C41">
      <w:pPr>
        <w:pStyle w:val="CM72"/>
        <w:spacing w:line="360" w:lineRule="auto"/>
        <w:ind w:firstLine="709"/>
        <w:jc w:val="both"/>
        <w:rPr>
          <w:rFonts w:ascii="Times New Roman" w:hAnsi="Times New Roman" w:cs="Times New Roman"/>
        </w:rPr>
      </w:pPr>
      <w:r>
        <w:rPr>
          <w:rFonts w:ascii="Times New Roman" w:hAnsi="Times New Roman" w:cs="Times New Roman"/>
        </w:rPr>
        <w:t>O</w:t>
      </w:r>
      <w:r w:rsidRPr="00946C56">
        <w:rPr>
          <w:rFonts w:ascii="Times New Roman" w:hAnsi="Times New Roman" w:cs="Times New Roman"/>
        </w:rPr>
        <w:t>s afloramentos são suficie</w:t>
      </w:r>
      <w:r>
        <w:rPr>
          <w:rFonts w:ascii="Times New Roman" w:hAnsi="Times New Roman" w:cs="Times New Roman"/>
        </w:rPr>
        <w:t xml:space="preserve">ntes para tornar impraticável a </w:t>
      </w:r>
      <w:r w:rsidRPr="00946C56">
        <w:rPr>
          <w:rFonts w:ascii="Times New Roman" w:hAnsi="Times New Roman" w:cs="Times New Roman"/>
        </w:rPr>
        <w:t>mecanização, com exceção de máquinas le</w:t>
      </w:r>
      <w:r>
        <w:rPr>
          <w:rFonts w:ascii="Times New Roman" w:hAnsi="Times New Roman" w:cs="Times New Roman"/>
        </w:rPr>
        <w:t xml:space="preserve">ves. Solos dessa classe de </w:t>
      </w:r>
      <w:r w:rsidRPr="00946C56">
        <w:rPr>
          <w:rFonts w:ascii="Times New Roman" w:hAnsi="Times New Roman" w:cs="Times New Roman"/>
        </w:rPr>
        <w:t>rochosidade podem ser utilizados como á</w:t>
      </w:r>
      <w:r>
        <w:rPr>
          <w:rFonts w:ascii="Times New Roman" w:hAnsi="Times New Roman" w:cs="Times New Roman"/>
        </w:rPr>
        <w:t>reas de preservação da flora e da fauna. Os afl</w:t>
      </w:r>
      <w:r w:rsidRPr="00946C56">
        <w:rPr>
          <w:rFonts w:ascii="Times New Roman" w:hAnsi="Times New Roman" w:cs="Times New Roman"/>
        </w:rPr>
        <w:t>oramentos rochosos, matacões e/ou manchas de camadas</w:t>
      </w:r>
      <w:r>
        <w:rPr>
          <w:rFonts w:ascii="Times New Roman" w:hAnsi="Times New Roman" w:cs="Times New Roman"/>
        </w:rPr>
        <w:t xml:space="preserve"> </w:t>
      </w:r>
      <w:r w:rsidRPr="00946C56">
        <w:rPr>
          <w:rFonts w:ascii="Times New Roman" w:hAnsi="Times New Roman" w:cs="Times New Roman"/>
        </w:rPr>
        <w:t>delgadas de solos sobre rochas se distanc</w:t>
      </w:r>
      <w:r>
        <w:rPr>
          <w:rFonts w:ascii="Times New Roman" w:hAnsi="Times New Roman" w:cs="Times New Roman"/>
        </w:rPr>
        <w:t>iam de 3 a 10m.</w:t>
      </w:r>
    </w:p>
    <w:p w:rsidR="006A31EB" w:rsidRPr="0019480D" w:rsidRDefault="0079735E" w:rsidP="00971B37">
      <w:pPr>
        <w:pStyle w:val="Titulo"/>
      </w:pPr>
      <w:bookmarkStart w:id="81" w:name="_Toc372559048"/>
      <w:bookmarkStart w:id="82" w:name="_Toc372789488"/>
      <w:r w:rsidRPr="00232721">
        <w:t>7.5 Vegetação</w:t>
      </w:r>
      <w:bookmarkEnd w:id="81"/>
      <w:bookmarkEnd w:id="82"/>
    </w:p>
    <w:p w:rsidR="006A31EB" w:rsidRDefault="006A31EB" w:rsidP="001A3C41">
      <w:pPr>
        <w:pStyle w:val="CM72"/>
        <w:spacing w:line="360" w:lineRule="auto"/>
        <w:ind w:firstLine="709"/>
        <w:jc w:val="both"/>
        <w:rPr>
          <w:rFonts w:ascii="Times New Roman" w:hAnsi="Times New Roman" w:cs="Times New Roman"/>
        </w:rPr>
      </w:pPr>
      <w:r w:rsidRPr="0019480D">
        <w:rPr>
          <w:rFonts w:ascii="Times New Roman" w:hAnsi="Times New Roman" w:cs="Times New Roman"/>
        </w:rPr>
        <w:t>A área que abrange o município de Aimorés está totalmente i</w:t>
      </w:r>
      <w:r>
        <w:rPr>
          <w:rFonts w:ascii="Times New Roman" w:hAnsi="Times New Roman" w:cs="Times New Roman"/>
        </w:rPr>
        <w:t xml:space="preserve">nserida no Bioma </w:t>
      </w:r>
      <w:r w:rsidR="001A3C41">
        <w:rPr>
          <w:rFonts w:ascii="Times New Roman" w:hAnsi="Times New Roman" w:cs="Times New Roman"/>
        </w:rPr>
        <w:t xml:space="preserve">da </w:t>
      </w:r>
      <w:r>
        <w:rPr>
          <w:rFonts w:ascii="Times New Roman" w:hAnsi="Times New Roman" w:cs="Times New Roman"/>
        </w:rPr>
        <w:t xml:space="preserve">Mata Atlântica </w:t>
      </w:r>
      <w:r w:rsidRPr="001A3C41">
        <w:rPr>
          <w:rFonts w:ascii="Times New Roman" w:hAnsi="Times New Roman" w:cs="Times New Roman"/>
        </w:rPr>
        <w:t xml:space="preserve">(Figura </w:t>
      </w:r>
      <w:r w:rsidR="001A3C41" w:rsidRPr="001A3C41">
        <w:rPr>
          <w:rFonts w:ascii="Times New Roman" w:hAnsi="Times New Roman" w:cs="Times New Roman"/>
        </w:rPr>
        <w:t>2</w:t>
      </w:r>
      <w:r w:rsidR="0079735E">
        <w:rPr>
          <w:rFonts w:ascii="Times New Roman" w:hAnsi="Times New Roman" w:cs="Times New Roman"/>
        </w:rPr>
        <w:t>1</w:t>
      </w:r>
      <w:r w:rsidRPr="001A3C41">
        <w:rPr>
          <w:rFonts w:ascii="Times New Roman" w:hAnsi="Times New Roman" w:cs="Times New Roman"/>
        </w:rPr>
        <w:t>).</w:t>
      </w:r>
    </w:p>
    <w:p w:rsidR="0044076B" w:rsidRDefault="00CB07F3" w:rsidP="00CB07F3">
      <w:pPr>
        <w:pStyle w:val="Legenda"/>
      </w:pPr>
      <w:bookmarkStart w:id="83" w:name="_Toc372740104"/>
      <w:r>
        <w:t xml:space="preserve">Figura </w:t>
      </w:r>
      <w:fldSimple w:instr=" SEQ Figura \* ARABIC ">
        <w:r w:rsidR="004F77E2">
          <w:rPr>
            <w:noProof/>
          </w:rPr>
          <w:t>21</w:t>
        </w:r>
      </w:fldSimple>
      <w:r>
        <w:t xml:space="preserve"> </w:t>
      </w:r>
      <w:r w:rsidRPr="00E40C02">
        <w:t>– Bioma de inserção do município de Aimorés.</w:t>
      </w:r>
      <w:bookmarkEnd w:id="83"/>
    </w:p>
    <w:p w:rsidR="006A31EB" w:rsidRPr="0044076B" w:rsidRDefault="0044076B" w:rsidP="00CE6EAD">
      <w:pPr>
        <w:spacing w:after="0"/>
      </w:pPr>
      <w:r w:rsidRPr="0044076B">
        <w:rPr>
          <w:noProof/>
          <w:lang w:eastAsia="pt-BR"/>
        </w:rPr>
        <w:drawing>
          <wp:inline distT="0" distB="0" distL="0" distR="0" wp14:anchorId="6E826DDA" wp14:editId="1CBD3C28">
            <wp:extent cx="5390985" cy="3437143"/>
            <wp:effectExtent l="19050" t="0" r="165" b="0"/>
            <wp:docPr id="238" name="Imagem 35" descr="C:\Users\KLEBER\Desktop\Bioma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LEBER\Desktop\Biomas0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399404" cy="3442511"/>
                    </a:xfrm>
                    <a:prstGeom prst="rect">
                      <a:avLst/>
                    </a:prstGeom>
                    <a:noFill/>
                    <a:ln>
                      <a:noFill/>
                    </a:ln>
                  </pic:spPr>
                </pic:pic>
              </a:graphicData>
            </a:graphic>
          </wp:inline>
        </w:drawing>
      </w:r>
    </w:p>
    <w:p w:rsidR="001A3C41" w:rsidRPr="0026310B" w:rsidRDefault="001A3C41" w:rsidP="001A3C41">
      <w:pPr>
        <w:spacing w:after="0" w:line="360" w:lineRule="auto"/>
        <w:rPr>
          <w:rFonts w:cs="Times New Roman"/>
        </w:rPr>
      </w:pPr>
      <w:r w:rsidRPr="00B32877">
        <w:rPr>
          <w:rFonts w:cs="Times New Roman"/>
          <w:sz w:val="20"/>
        </w:rPr>
        <w:t>Fonte: Fundação Educacional de Caratinga – FUNEC, 2013</w:t>
      </w:r>
    </w:p>
    <w:p w:rsidR="006A31EB" w:rsidRDefault="006A31EB" w:rsidP="001A3C41">
      <w:pPr>
        <w:pStyle w:val="CM72"/>
        <w:spacing w:line="360" w:lineRule="auto"/>
        <w:ind w:firstLine="709"/>
        <w:jc w:val="both"/>
        <w:rPr>
          <w:rFonts w:ascii="Times New Roman" w:hAnsi="Times New Roman" w:cs="Times New Roman"/>
        </w:rPr>
      </w:pPr>
      <w:r w:rsidRPr="0019480D">
        <w:rPr>
          <w:rFonts w:ascii="Times New Roman" w:hAnsi="Times New Roman" w:cs="Times New Roman"/>
        </w:rPr>
        <w:t>Segundo o Decreto Federal Nº 750/93, considera</w:t>
      </w:r>
      <w:r>
        <w:rPr>
          <w:rFonts w:ascii="Times New Roman" w:hAnsi="Times New Roman" w:cs="Times New Roman"/>
        </w:rPr>
        <w:t xml:space="preserve">-se Mata Atlântica as formações </w:t>
      </w:r>
      <w:r w:rsidRPr="0019480D">
        <w:rPr>
          <w:rFonts w:ascii="Times New Roman" w:hAnsi="Times New Roman" w:cs="Times New Roman"/>
        </w:rPr>
        <w:t>florestais e ecossistemas associados, inseridos no</w:t>
      </w:r>
      <w:r>
        <w:rPr>
          <w:rFonts w:ascii="Times New Roman" w:hAnsi="Times New Roman" w:cs="Times New Roman"/>
        </w:rPr>
        <w:t xml:space="preserve"> domínio Mata Atlântica, com as </w:t>
      </w:r>
      <w:r w:rsidRPr="0019480D">
        <w:rPr>
          <w:rFonts w:ascii="Times New Roman" w:hAnsi="Times New Roman" w:cs="Times New Roman"/>
        </w:rPr>
        <w:lastRenderedPageBreak/>
        <w:t>respectivas delimitações e denominações est</w:t>
      </w:r>
      <w:r>
        <w:rPr>
          <w:rFonts w:ascii="Times New Roman" w:hAnsi="Times New Roman" w:cs="Times New Roman"/>
        </w:rPr>
        <w:t xml:space="preserve">abelecidas por VELOSO 1997, que são: </w:t>
      </w:r>
      <w:r w:rsidRPr="0019480D">
        <w:rPr>
          <w:rFonts w:ascii="Times New Roman" w:hAnsi="Times New Roman" w:cs="Times New Roman"/>
        </w:rPr>
        <w:t>Floresta Ombrófila Densa Atlântica; Floresta Ombr</w:t>
      </w:r>
      <w:r>
        <w:rPr>
          <w:rFonts w:ascii="Times New Roman" w:hAnsi="Times New Roman" w:cs="Times New Roman"/>
        </w:rPr>
        <w:t xml:space="preserve">ófila Mista; Floresta Ombrófila </w:t>
      </w:r>
      <w:r w:rsidRPr="0019480D">
        <w:rPr>
          <w:rFonts w:ascii="Times New Roman" w:hAnsi="Times New Roman" w:cs="Times New Roman"/>
        </w:rPr>
        <w:t>Aberta; Floresta Estacional Semidecidual; Floresta E</w:t>
      </w:r>
      <w:r>
        <w:rPr>
          <w:rFonts w:ascii="Times New Roman" w:hAnsi="Times New Roman" w:cs="Times New Roman"/>
        </w:rPr>
        <w:t xml:space="preserve">stacional Decidual; manguezais; </w:t>
      </w:r>
      <w:r w:rsidRPr="0019480D">
        <w:rPr>
          <w:rFonts w:ascii="Times New Roman" w:hAnsi="Times New Roman" w:cs="Times New Roman"/>
        </w:rPr>
        <w:t>restingas; campos de altitude; brejos interioranos e encraves florestais</w:t>
      </w:r>
      <w:r>
        <w:rPr>
          <w:rFonts w:ascii="Times New Roman" w:hAnsi="Times New Roman" w:cs="Times New Roman"/>
        </w:rPr>
        <w:t xml:space="preserve"> do Nordeste”</w:t>
      </w:r>
      <w:r w:rsidRPr="0019480D">
        <w:rPr>
          <w:rFonts w:ascii="Times New Roman" w:hAnsi="Times New Roman" w:cs="Times New Roman"/>
        </w:rPr>
        <w:t>.</w:t>
      </w:r>
    </w:p>
    <w:p w:rsidR="006A31EB" w:rsidRDefault="006A31EB" w:rsidP="001A3C41">
      <w:pPr>
        <w:pStyle w:val="CM72"/>
        <w:spacing w:line="360" w:lineRule="auto"/>
        <w:ind w:firstLine="709"/>
        <w:jc w:val="both"/>
        <w:rPr>
          <w:rFonts w:ascii="Times New Roman" w:hAnsi="Times New Roman" w:cs="Times New Roman"/>
        </w:rPr>
      </w:pPr>
      <w:r>
        <w:rPr>
          <w:rFonts w:ascii="Times New Roman" w:hAnsi="Times New Roman" w:cs="Times New Roman"/>
        </w:rPr>
        <w:t>Segundo VELOSO e RIZZINI, 1997, a área que abrange o município de Aimorés é formada pela</w:t>
      </w:r>
      <w:r w:rsidRPr="00DB04BE">
        <w:rPr>
          <w:rFonts w:ascii="Times New Roman" w:hAnsi="Times New Roman" w:cs="Times New Roman"/>
        </w:rPr>
        <w:t xml:space="preserve"> Floresta Subcaducifólia Tropical ou Floresta Estacional Semidecidual </w:t>
      </w:r>
      <w:r>
        <w:rPr>
          <w:rFonts w:ascii="Times New Roman" w:hAnsi="Times New Roman" w:cs="Times New Roman"/>
        </w:rPr>
        <w:t xml:space="preserve">que </w:t>
      </w:r>
      <w:r w:rsidRPr="00DB04BE">
        <w:rPr>
          <w:rFonts w:ascii="Times New Roman" w:hAnsi="Times New Roman" w:cs="Times New Roman"/>
        </w:rPr>
        <w:t>constitui uma vegetação pertencente ao bioma da Mata Atlânti</w:t>
      </w:r>
      <w:r>
        <w:rPr>
          <w:rFonts w:ascii="Times New Roman" w:hAnsi="Times New Roman" w:cs="Times New Roman"/>
        </w:rPr>
        <w:t xml:space="preserve">ca (Mata Atlântica do </w:t>
      </w:r>
      <w:r w:rsidRPr="001A3C41">
        <w:rPr>
          <w:rFonts w:ascii="Times New Roman" w:hAnsi="Times New Roman" w:cs="Times New Roman"/>
        </w:rPr>
        <w:t xml:space="preserve">Interior) </w:t>
      </w:r>
      <w:r w:rsidR="001A3C41" w:rsidRPr="001A3C41">
        <w:rPr>
          <w:rFonts w:ascii="Times New Roman" w:hAnsi="Times New Roman" w:cs="Times New Roman"/>
        </w:rPr>
        <w:t>(Figura 2</w:t>
      </w:r>
      <w:r w:rsidR="0079735E">
        <w:rPr>
          <w:rFonts w:ascii="Times New Roman" w:hAnsi="Times New Roman" w:cs="Times New Roman"/>
        </w:rPr>
        <w:t>2</w:t>
      </w:r>
      <w:r w:rsidRPr="001A3C41">
        <w:rPr>
          <w:rFonts w:ascii="Times New Roman" w:hAnsi="Times New Roman" w:cs="Times New Roman"/>
        </w:rPr>
        <w:t>).</w:t>
      </w:r>
      <w:r>
        <w:rPr>
          <w:rFonts w:ascii="Times New Roman" w:hAnsi="Times New Roman" w:cs="Times New Roman"/>
        </w:rPr>
        <w:t xml:space="preserve"> </w:t>
      </w:r>
    </w:p>
    <w:p w:rsidR="0044076B" w:rsidRDefault="00CB07F3" w:rsidP="00CB07F3">
      <w:pPr>
        <w:pStyle w:val="Legenda"/>
      </w:pPr>
      <w:bookmarkStart w:id="84" w:name="_Toc372740105"/>
      <w:r>
        <w:t xml:space="preserve">Figura </w:t>
      </w:r>
      <w:fldSimple w:instr=" SEQ Figura \* ARABIC ">
        <w:r w:rsidR="004F77E2">
          <w:rPr>
            <w:noProof/>
          </w:rPr>
          <w:t>22</w:t>
        </w:r>
      </w:fldSimple>
      <w:r>
        <w:t xml:space="preserve"> </w:t>
      </w:r>
      <w:r w:rsidRPr="00A64465">
        <w:rPr>
          <w:noProof/>
        </w:rPr>
        <w:t>- Cobertura vegetal no município de Aimorés.</w:t>
      </w:r>
      <w:bookmarkEnd w:id="84"/>
    </w:p>
    <w:p w:rsidR="006A31EB" w:rsidRDefault="0044076B" w:rsidP="00CE6EAD">
      <w:pPr>
        <w:spacing w:after="0"/>
      </w:pPr>
      <w:r w:rsidRPr="0044076B">
        <w:rPr>
          <w:noProof/>
          <w:lang w:eastAsia="pt-BR"/>
        </w:rPr>
        <w:drawing>
          <wp:inline distT="0" distB="0" distL="0" distR="0" wp14:anchorId="22B99D08" wp14:editId="45C9EEDC">
            <wp:extent cx="5608562" cy="3401568"/>
            <wp:effectExtent l="0" t="0" r="0" b="8890"/>
            <wp:docPr id="239" name="Imagem 36" descr="C:\Users\KLEBER\Desktop\Vegetação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LEBER\Desktop\Vegetação 0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11957" cy="3403627"/>
                    </a:xfrm>
                    <a:prstGeom prst="rect">
                      <a:avLst/>
                    </a:prstGeom>
                    <a:noFill/>
                    <a:ln>
                      <a:noFill/>
                    </a:ln>
                  </pic:spPr>
                </pic:pic>
              </a:graphicData>
            </a:graphic>
          </wp:inline>
        </w:drawing>
      </w:r>
    </w:p>
    <w:p w:rsidR="001A3C41" w:rsidRPr="0026310B" w:rsidRDefault="001A3C41" w:rsidP="001A3C41">
      <w:pPr>
        <w:spacing w:after="0" w:line="360" w:lineRule="auto"/>
        <w:rPr>
          <w:rFonts w:cs="Times New Roman"/>
        </w:rPr>
      </w:pPr>
      <w:r w:rsidRPr="00B32877">
        <w:rPr>
          <w:rFonts w:cs="Times New Roman"/>
          <w:sz w:val="20"/>
        </w:rPr>
        <w:t>Fonte: Fundação Educacional de Caratinga – FUNEC, 2013</w:t>
      </w:r>
    </w:p>
    <w:p w:rsidR="006A31EB" w:rsidRDefault="006A31EB" w:rsidP="001A3C41">
      <w:pPr>
        <w:pStyle w:val="CM72"/>
        <w:spacing w:before="120" w:line="360" w:lineRule="auto"/>
        <w:ind w:firstLine="709"/>
        <w:jc w:val="both"/>
        <w:rPr>
          <w:rFonts w:ascii="Times New Roman" w:hAnsi="Times New Roman" w:cs="Times New Roman"/>
        </w:rPr>
      </w:pPr>
      <w:r>
        <w:rPr>
          <w:rFonts w:ascii="Times New Roman" w:hAnsi="Times New Roman" w:cs="Times New Roman"/>
        </w:rPr>
        <w:t xml:space="preserve">A mesma é </w:t>
      </w:r>
      <w:r w:rsidR="001A3C41">
        <w:rPr>
          <w:rFonts w:ascii="Times New Roman" w:hAnsi="Times New Roman" w:cs="Times New Roman"/>
        </w:rPr>
        <w:t>condicionada à</w:t>
      </w:r>
      <w:r w:rsidRPr="00DB04BE">
        <w:rPr>
          <w:rFonts w:ascii="Times New Roman" w:hAnsi="Times New Roman" w:cs="Times New Roman"/>
        </w:rPr>
        <w:t xml:space="preserve"> dupla estacionalidade climática: uma estação com chuvas intensas de verão, seguidas por um período de estiagem</w:t>
      </w:r>
      <w:r w:rsidR="001A3C41">
        <w:rPr>
          <w:rFonts w:ascii="Times New Roman" w:hAnsi="Times New Roman" w:cs="Times New Roman"/>
        </w:rPr>
        <w:t xml:space="preserve"> no inverno</w:t>
      </w:r>
      <w:r w:rsidRPr="00DB04BE">
        <w:rPr>
          <w:rFonts w:ascii="Times New Roman" w:hAnsi="Times New Roman" w:cs="Times New Roman"/>
        </w:rPr>
        <w:t>. O grau de decidualidade, ou seja, a perda das folhas é dependente da intensidade e duração de basicamente duas razões: as temperaturas mínimas máximas e a deficiência do balanço hídrico. A porcentagem das árvores caducifólias no conjunto florestal é de 20</w:t>
      </w:r>
      <w:r w:rsidR="001A3C41">
        <w:rPr>
          <w:rFonts w:ascii="Times New Roman" w:hAnsi="Times New Roman" w:cs="Times New Roman"/>
        </w:rPr>
        <w:t xml:space="preserve"> a </w:t>
      </w:r>
      <w:r w:rsidRPr="00DB04BE">
        <w:rPr>
          <w:rFonts w:ascii="Times New Roman" w:hAnsi="Times New Roman" w:cs="Times New Roman"/>
        </w:rPr>
        <w:t>50%.</w:t>
      </w:r>
    </w:p>
    <w:p w:rsidR="006A31EB" w:rsidRPr="0019480D" w:rsidRDefault="006A31EB" w:rsidP="001A3C41">
      <w:pPr>
        <w:pStyle w:val="CM72"/>
        <w:spacing w:line="360" w:lineRule="auto"/>
        <w:ind w:firstLine="709"/>
        <w:jc w:val="both"/>
        <w:rPr>
          <w:rFonts w:ascii="Times New Roman" w:hAnsi="Times New Roman" w:cs="Times New Roman"/>
        </w:rPr>
      </w:pPr>
      <w:r w:rsidRPr="0019480D">
        <w:rPr>
          <w:rFonts w:ascii="Times New Roman" w:hAnsi="Times New Roman" w:cs="Times New Roman"/>
        </w:rPr>
        <w:t>A Mata Atlântica foi o primeiro bioma brasileiro a</w:t>
      </w:r>
      <w:r>
        <w:rPr>
          <w:rFonts w:ascii="Times New Roman" w:hAnsi="Times New Roman" w:cs="Times New Roman"/>
        </w:rPr>
        <w:t xml:space="preserve"> ser ocupado e explorado. Com a </w:t>
      </w:r>
      <w:r w:rsidRPr="0019480D">
        <w:rPr>
          <w:rFonts w:ascii="Times New Roman" w:hAnsi="Times New Roman" w:cs="Times New Roman"/>
        </w:rPr>
        <w:t>chegada dos colonizadores no século XV, a Mata Atlântica foi sistematicamente suprimida</w:t>
      </w:r>
      <w:r>
        <w:rPr>
          <w:rFonts w:ascii="Times New Roman" w:hAnsi="Times New Roman" w:cs="Times New Roman"/>
        </w:rPr>
        <w:t xml:space="preserve"> </w:t>
      </w:r>
      <w:r w:rsidRPr="0019480D">
        <w:rPr>
          <w:rFonts w:ascii="Times New Roman" w:hAnsi="Times New Roman" w:cs="Times New Roman"/>
        </w:rPr>
        <w:lastRenderedPageBreak/>
        <w:t>tanto pela exploração madeireira, quanto para dar lugar a plantações de cana-de-açúcar</w:t>
      </w:r>
      <w:r>
        <w:rPr>
          <w:rFonts w:ascii="Times New Roman" w:hAnsi="Times New Roman" w:cs="Times New Roman"/>
        </w:rPr>
        <w:t xml:space="preserve">, </w:t>
      </w:r>
      <w:r w:rsidRPr="0019480D">
        <w:rPr>
          <w:rFonts w:ascii="Times New Roman" w:hAnsi="Times New Roman" w:cs="Times New Roman"/>
        </w:rPr>
        <w:t>café, abertura de pastagens, e reflorestamento com esp</w:t>
      </w:r>
      <w:r>
        <w:rPr>
          <w:rFonts w:ascii="Times New Roman" w:hAnsi="Times New Roman" w:cs="Times New Roman"/>
        </w:rPr>
        <w:t xml:space="preserve">écies exóticas. Há também de se </w:t>
      </w:r>
      <w:r w:rsidRPr="0019480D">
        <w:rPr>
          <w:rFonts w:ascii="Times New Roman" w:hAnsi="Times New Roman" w:cs="Times New Roman"/>
        </w:rPr>
        <w:t>destacar o desenvolvimento urbano e industrial, que</w:t>
      </w:r>
      <w:r>
        <w:rPr>
          <w:rFonts w:ascii="Times New Roman" w:hAnsi="Times New Roman" w:cs="Times New Roman"/>
        </w:rPr>
        <w:t xml:space="preserve"> demanda matéria prima e outros </w:t>
      </w:r>
      <w:r w:rsidRPr="0019480D">
        <w:rPr>
          <w:rFonts w:ascii="Times New Roman" w:hAnsi="Times New Roman" w:cs="Times New Roman"/>
        </w:rPr>
        <w:t>insumos, que necessitam da expansão das atividades an</w:t>
      </w:r>
      <w:r>
        <w:rPr>
          <w:rFonts w:ascii="Times New Roman" w:hAnsi="Times New Roman" w:cs="Times New Roman"/>
        </w:rPr>
        <w:t xml:space="preserve">trópicas em direção as áreas de </w:t>
      </w:r>
      <w:r w:rsidRPr="0019480D">
        <w:rPr>
          <w:rFonts w:ascii="Times New Roman" w:hAnsi="Times New Roman" w:cs="Times New Roman"/>
        </w:rPr>
        <w:t>floresta.  (CAVALCANTI &amp; JOLY, 2002).</w:t>
      </w:r>
    </w:p>
    <w:p w:rsidR="006A31EB" w:rsidRDefault="006A31EB" w:rsidP="001A3C41">
      <w:pPr>
        <w:pStyle w:val="CM72"/>
        <w:spacing w:line="360" w:lineRule="auto"/>
        <w:ind w:firstLine="709"/>
        <w:jc w:val="both"/>
        <w:rPr>
          <w:rFonts w:ascii="Times New Roman" w:hAnsi="Times New Roman" w:cs="Times New Roman"/>
        </w:rPr>
      </w:pPr>
      <w:r w:rsidRPr="0019480D">
        <w:rPr>
          <w:rFonts w:ascii="Times New Roman" w:hAnsi="Times New Roman" w:cs="Times New Roman"/>
        </w:rPr>
        <w:t>Desta maneira, os ambient</w:t>
      </w:r>
      <w:r>
        <w:rPr>
          <w:rFonts w:ascii="Times New Roman" w:hAnsi="Times New Roman" w:cs="Times New Roman"/>
        </w:rPr>
        <w:t>es naturais do município de Aimorés</w:t>
      </w:r>
      <w:r w:rsidRPr="0019480D">
        <w:rPr>
          <w:rFonts w:ascii="Times New Roman" w:hAnsi="Times New Roman" w:cs="Times New Roman"/>
        </w:rPr>
        <w:t xml:space="preserve"> foram e ainda são</w:t>
      </w:r>
      <w:r>
        <w:rPr>
          <w:rFonts w:ascii="Times New Roman" w:hAnsi="Times New Roman" w:cs="Times New Roman"/>
        </w:rPr>
        <w:t xml:space="preserve"> </w:t>
      </w:r>
      <w:r w:rsidRPr="0019480D">
        <w:rPr>
          <w:rFonts w:ascii="Times New Roman" w:hAnsi="Times New Roman" w:cs="Times New Roman"/>
        </w:rPr>
        <w:t>gradativamente substituídos pela pecuária, agricultura, reflorestamento, ocupação urbana e</w:t>
      </w:r>
      <w:r>
        <w:rPr>
          <w:rFonts w:ascii="Times New Roman" w:hAnsi="Times New Roman" w:cs="Times New Roman"/>
        </w:rPr>
        <w:t xml:space="preserve"> </w:t>
      </w:r>
      <w:r w:rsidRPr="0019480D">
        <w:rPr>
          <w:rFonts w:ascii="Times New Roman" w:hAnsi="Times New Roman" w:cs="Times New Roman"/>
        </w:rPr>
        <w:t>outras formas de intervenção antrópica.</w:t>
      </w:r>
    </w:p>
    <w:p w:rsidR="006A31EB" w:rsidRPr="004D4AFB" w:rsidRDefault="0079735E" w:rsidP="00971B37">
      <w:pPr>
        <w:pStyle w:val="Titulo"/>
      </w:pPr>
      <w:bookmarkStart w:id="85" w:name="_Toc372559049"/>
      <w:bookmarkStart w:id="86" w:name="_Toc372789489"/>
      <w:r>
        <w:t xml:space="preserve">7.6 </w:t>
      </w:r>
      <w:r w:rsidRPr="004D4AFB">
        <w:t>Hidrografia</w:t>
      </w:r>
      <w:bookmarkEnd w:id="85"/>
      <w:bookmarkEnd w:id="86"/>
    </w:p>
    <w:p w:rsidR="006A31EB" w:rsidRPr="005E5A4F" w:rsidRDefault="006A31EB" w:rsidP="005E5A4F">
      <w:pPr>
        <w:pStyle w:val="CM72"/>
        <w:spacing w:line="360" w:lineRule="auto"/>
        <w:ind w:firstLine="709"/>
        <w:jc w:val="both"/>
        <w:rPr>
          <w:rFonts w:ascii="Times New Roman" w:hAnsi="Times New Roman" w:cs="Times New Roman"/>
        </w:rPr>
      </w:pPr>
      <w:r w:rsidRPr="00392C4F">
        <w:rPr>
          <w:rFonts w:ascii="Times New Roman" w:hAnsi="Times New Roman" w:cs="Times New Roman"/>
        </w:rPr>
        <w:t xml:space="preserve">O município de Aimorés é drenado pelo Rio Doce, Rio Manhuaçu e outras bacias </w:t>
      </w:r>
      <w:r w:rsidRPr="005E5A4F">
        <w:rPr>
          <w:rFonts w:ascii="Times New Roman" w:hAnsi="Times New Roman" w:cs="Times New Roman"/>
        </w:rPr>
        <w:t xml:space="preserve">hidrográficas de menor extensão territorial tais como Rio Capim, Córrego do Chucha, Córrego do </w:t>
      </w:r>
      <w:r w:rsidR="005E5A4F">
        <w:rPr>
          <w:rFonts w:ascii="Times New Roman" w:hAnsi="Times New Roman" w:cs="Times New Roman"/>
        </w:rPr>
        <w:t>T</w:t>
      </w:r>
      <w:r w:rsidRPr="005E5A4F">
        <w:rPr>
          <w:rFonts w:ascii="Times New Roman" w:hAnsi="Times New Roman" w:cs="Times New Roman"/>
        </w:rPr>
        <w:t xml:space="preserve">ravessão, Córrego do Salgado, Sossego, Natividade dentre outros (Figura </w:t>
      </w:r>
      <w:r w:rsidR="005E5A4F" w:rsidRPr="005E5A4F">
        <w:rPr>
          <w:rFonts w:ascii="Times New Roman" w:hAnsi="Times New Roman" w:cs="Times New Roman"/>
        </w:rPr>
        <w:t>2</w:t>
      </w:r>
      <w:r w:rsidR="0079735E">
        <w:rPr>
          <w:rFonts w:ascii="Times New Roman" w:hAnsi="Times New Roman" w:cs="Times New Roman"/>
        </w:rPr>
        <w:t>3</w:t>
      </w:r>
      <w:r w:rsidRPr="005E5A4F">
        <w:rPr>
          <w:rFonts w:ascii="Times New Roman" w:hAnsi="Times New Roman" w:cs="Times New Roman"/>
        </w:rPr>
        <w:t>).</w:t>
      </w:r>
    </w:p>
    <w:p w:rsidR="0044076B" w:rsidRPr="005E5A4F" w:rsidRDefault="00CB07F3" w:rsidP="00CB07F3">
      <w:pPr>
        <w:pStyle w:val="Legenda"/>
        <w:rPr>
          <w:b w:val="0"/>
        </w:rPr>
      </w:pPr>
      <w:bookmarkStart w:id="87" w:name="_Toc372740106"/>
      <w:r>
        <w:t xml:space="preserve">Figura </w:t>
      </w:r>
      <w:fldSimple w:instr=" SEQ Figura \* ARABIC ">
        <w:r w:rsidR="004F77E2">
          <w:rPr>
            <w:noProof/>
          </w:rPr>
          <w:t>23</w:t>
        </w:r>
      </w:fldSimple>
      <w:r>
        <w:t xml:space="preserve"> </w:t>
      </w:r>
      <w:r w:rsidRPr="00376613">
        <w:t>– Bacias Hidrográficas que abrangem o município de Aimorés.</w:t>
      </w:r>
      <w:bookmarkEnd w:id="87"/>
    </w:p>
    <w:p w:rsidR="006A31EB" w:rsidRDefault="0044076B" w:rsidP="005E5A4F">
      <w:pPr>
        <w:jc w:val="center"/>
      </w:pPr>
      <w:r w:rsidRPr="0044076B">
        <w:rPr>
          <w:noProof/>
          <w:lang w:eastAsia="pt-BR"/>
        </w:rPr>
        <w:drawing>
          <wp:inline distT="0" distB="0" distL="0" distR="0" wp14:anchorId="6EDD352D" wp14:editId="374DF596">
            <wp:extent cx="5632687" cy="3416199"/>
            <wp:effectExtent l="0" t="0" r="6350" b="0"/>
            <wp:docPr id="240" name="Imagem 37" descr="C:\Users\KLEBER\Desktop\MAPAS_ENTREGAR_PRONTOS\7_microdrenag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LEBER\Desktop\MAPAS_ENTREGAR_PRONTOS\7_microdrenagem.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50428" cy="3426959"/>
                    </a:xfrm>
                    <a:prstGeom prst="rect">
                      <a:avLst/>
                    </a:prstGeom>
                    <a:noFill/>
                    <a:ln>
                      <a:noFill/>
                    </a:ln>
                  </pic:spPr>
                </pic:pic>
              </a:graphicData>
            </a:graphic>
          </wp:inline>
        </w:drawing>
      </w:r>
    </w:p>
    <w:p w:rsidR="005E5A4F" w:rsidRPr="0026310B" w:rsidRDefault="005E5A4F" w:rsidP="005E5A4F">
      <w:pPr>
        <w:spacing w:after="0" w:line="360" w:lineRule="auto"/>
        <w:rPr>
          <w:rFonts w:cs="Times New Roman"/>
        </w:rPr>
      </w:pPr>
      <w:r w:rsidRPr="00B32877">
        <w:rPr>
          <w:rFonts w:cs="Times New Roman"/>
          <w:sz w:val="20"/>
        </w:rPr>
        <w:t>Fonte: Fundação Educacional de Caratinga – FUNEC, 2013</w:t>
      </w:r>
    </w:p>
    <w:p w:rsidR="006A31EB" w:rsidRDefault="006A31EB" w:rsidP="005E5A4F">
      <w:pPr>
        <w:pStyle w:val="CM72"/>
        <w:spacing w:line="360" w:lineRule="auto"/>
        <w:ind w:firstLine="709"/>
        <w:jc w:val="both"/>
        <w:rPr>
          <w:rFonts w:ascii="Times New Roman" w:hAnsi="Times New Roman" w:cs="Times New Roman"/>
        </w:rPr>
      </w:pPr>
      <w:r w:rsidRPr="00392C4F">
        <w:rPr>
          <w:rFonts w:ascii="Times New Roman" w:hAnsi="Times New Roman" w:cs="Times New Roman"/>
        </w:rPr>
        <w:t>Estas bacias hidrográficas são importantes mananciais para a cidade e dis</w:t>
      </w:r>
      <w:r w:rsidR="00D70400">
        <w:rPr>
          <w:rFonts w:ascii="Times New Roman" w:hAnsi="Times New Roman" w:cs="Times New Roman"/>
        </w:rPr>
        <w:t>tritos de Aimorés. Assim sendo,</w:t>
      </w:r>
      <w:r w:rsidRPr="00392C4F">
        <w:rPr>
          <w:rFonts w:ascii="Times New Roman" w:hAnsi="Times New Roman" w:cs="Times New Roman"/>
        </w:rPr>
        <w:t xml:space="preserve"> as mesmas carecem de uma política voltada para a preservação </w:t>
      </w:r>
      <w:r w:rsidRPr="00392C4F">
        <w:rPr>
          <w:rFonts w:ascii="Times New Roman" w:hAnsi="Times New Roman" w:cs="Times New Roman"/>
        </w:rPr>
        <w:lastRenderedPageBreak/>
        <w:t>quantitativa e qualitativa</w:t>
      </w:r>
      <w:r>
        <w:rPr>
          <w:rFonts w:ascii="Times New Roman" w:hAnsi="Times New Roman" w:cs="Times New Roman"/>
        </w:rPr>
        <w:t xml:space="preserve"> dos recursos hídricos, minimizando os impactos causados ao </w:t>
      </w:r>
      <w:r w:rsidRPr="005E5A4F">
        <w:rPr>
          <w:rFonts w:ascii="Times New Roman" w:hAnsi="Times New Roman" w:cs="Times New Roman"/>
        </w:rPr>
        <w:t xml:space="preserve">longo de décadas principalmente pela agropecuária e mineração (Figuras </w:t>
      </w:r>
      <w:r w:rsidR="005E5A4F" w:rsidRPr="005E5A4F">
        <w:rPr>
          <w:rFonts w:ascii="Times New Roman" w:hAnsi="Times New Roman" w:cs="Times New Roman"/>
        </w:rPr>
        <w:t>2</w:t>
      </w:r>
      <w:r w:rsidR="0079735E">
        <w:rPr>
          <w:rFonts w:ascii="Times New Roman" w:hAnsi="Times New Roman" w:cs="Times New Roman"/>
        </w:rPr>
        <w:t>4</w:t>
      </w:r>
      <w:r w:rsidRPr="005E5A4F">
        <w:rPr>
          <w:rFonts w:ascii="Times New Roman" w:hAnsi="Times New Roman" w:cs="Times New Roman"/>
        </w:rPr>
        <w:t xml:space="preserve"> e </w:t>
      </w:r>
      <w:r w:rsidR="005E5A4F" w:rsidRPr="005E5A4F">
        <w:rPr>
          <w:rFonts w:ascii="Times New Roman" w:hAnsi="Times New Roman" w:cs="Times New Roman"/>
        </w:rPr>
        <w:t>2</w:t>
      </w:r>
      <w:r w:rsidR="0079735E">
        <w:rPr>
          <w:rFonts w:ascii="Times New Roman" w:hAnsi="Times New Roman" w:cs="Times New Roman"/>
        </w:rPr>
        <w:t>5</w:t>
      </w:r>
      <w:r w:rsidRPr="005E5A4F">
        <w:rPr>
          <w:rFonts w:ascii="Times New Roman" w:hAnsi="Times New Roman" w:cs="Times New Roman"/>
        </w:rPr>
        <w:t>).</w:t>
      </w:r>
    </w:p>
    <w:p w:rsidR="0079450A" w:rsidRDefault="00CB07F3" w:rsidP="00CB07F3">
      <w:pPr>
        <w:pStyle w:val="Legenda"/>
      </w:pPr>
      <w:bookmarkStart w:id="88" w:name="_Toc372740107"/>
      <w:r>
        <w:t xml:space="preserve">Figura </w:t>
      </w:r>
      <w:fldSimple w:instr=" SEQ Figura \* ARABIC ">
        <w:r w:rsidR="004F77E2">
          <w:rPr>
            <w:noProof/>
          </w:rPr>
          <w:t>24</w:t>
        </w:r>
      </w:fldSimple>
      <w:r>
        <w:t xml:space="preserve"> </w:t>
      </w:r>
      <w:r w:rsidRPr="001901BE">
        <w:rPr>
          <w:noProof/>
        </w:rPr>
        <w:t>– Assoreamento e formação de Ilhas no rio Manhuaçu no Distrito de Tabaúna-Aimorés.</w:t>
      </w:r>
      <w:bookmarkEnd w:id="88"/>
    </w:p>
    <w:p w:rsidR="006A31EB" w:rsidRDefault="006A31EB" w:rsidP="005E5A4F">
      <w:pPr>
        <w:spacing w:after="0" w:line="360" w:lineRule="auto"/>
        <w:jc w:val="center"/>
        <w:rPr>
          <w:rFonts w:cs="Times New Roman"/>
        </w:rPr>
      </w:pPr>
      <w:r>
        <w:rPr>
          <w:rFonts w:cs="Times New Roman"/>
          <w:noProof/>
          <w:lang w:eastAsia="pt-BR"/>
        </w:rPr>
        <w:drawing>
          <wp:inline distT="0" distB="0" distL="0" distR="0" wp14:anchorId="44D3473F" wp14:editId="786107DC">
            <wp:extent cx="5322247" cy="3991555"/>
            <wp:effectExtent l="19050" t="0" r="0" b="0"/>
            <wp:docPr id="38" name="Imagem 38" descr="C:\Users\KLEBER\Desktop\Nova pasta\TELA_COMPUTADOR\aimores_TABAUNA_ALTO_CAPIM\DSCF4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LEBER\Desktop\Nova pasta\TELA_COMPUTADOR\aimores_TABAUNA_ALTO_CAPIM\DSCF4822.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43679" cy="4007629"/>
                    </a:xfrm>
                    <a:prstGeom prst="rect">
                      <a:avLst/>
                    </a:prstGeom>
                    <a:noFill/>
                    <a:ln>
                      <a:noFill/>
                    </a:ln>
                  </pic:spPr>
                </pic:pic>
              </a:graphicData>
            </a:graphic>
          </wp:inline>
        </w:drawing>
      </w:r>
    </w:p>
    <w:p w:rsidR="00CF2A01" w:rsidRDefault="005E5A4F" w:rsidP="00CF2A01">
      <w:pPr>
        <w:spacing w:after="0" w:line="360" w:lineRule="auto"/>
        <w:ind w:left="284"/>
        <w:rPr>
          <w:rFonts w:cs="Times New Roman"/>
          <w:sz w:val="20"/>
        </w:rPr>
      </w:pPr>
      <w:r w:rsidRPr="00B32877">
        <w:rPr>
          <w:rFonts w:cs="Times New Roman"/>
          <w:sz w:val="20"/>
        </w:rPr>
        <w:t>Fonte: Fundação Educacional de Caratinga – FUNEC, 2013</w:t>
      </w:r>
    </w:p>
    <w:p w:rsidR="006A31EB" w:rsidRDefault="00CB07F3" w:rsidP="00CF2A01">
      <w:pPr>
        <w:spacing w:after="0" w:line="360" w:lineRule="auto"/>
        <w:jc w:val="center"/>
        <w:rPr>
          <w:rFonts w:cs="Times New Roman"/>
        </w:rPr>
      </w:pPr>
      <w:bookmarkStart w:id="89" w:name="_Toc372740108"/>
      <w:r w:rsidRPr="00CF2A01">
        <w:rPr>
          <w:b/>
        </w:rPr>
        <w:lastRenderedPageBreak/>
        <w:t xml:space="preserve">Figura </w:t>
      </w:r>
      <w:r w:rsidR="00B16C6C" w:rsidRPr="00CF2A01">
        <w:rPr>
          <w:b/>
        </w:rPr>
        <w:fldChar w:fldCharType="begin"/>
      </w:r>
      <w:r w:rsidR="00B2014E" w:rsidRPr="00CF2A01">
        <w:rPr>
          <w:b/>
        </w:rPr>
        <w:instrText xml:space="preserve"> SEQ Figura \* ARABIC </w:instrText>
      </w:r>
      <w:r w:rsidR="00B16C6C" w:rsidRPr="00CF2A01">
        <w:rPr>
          <w:b/>
        </w:rPr>
        <w:fldChar w:fldCharType="separate"/>
      </w:r>
      <w:r w:rsidR="004F77E2">
        <w:rPr>
          <w:b/>
          <w:noProof/>
        </w:rPr>
        <w:t>25</w:t>
      </w:r>
      <w:r w:rsidR="00B16C6C" w:rsidRPr="00CF2A01">
        <w:rPr>
          <w:b/>
        </w:rPr>
        <w:fldChar w:fldCharType="end"/>
      </w:r>
      <w:r w:rsidRPr="00CF2A01">
        <w:rPr>
          <w:b/>
        </w:rPr>
        <w:t xml:space="preserve"> </w:t>
      </w:r>
      <w:r w:rsidRPr="00CF2A01">
        <w:rPr>
          <w:b/>
          <w:noProof/>
        </w:rPr>
        <w:t>– Assoreamento e formação de Ilhas no Rio Capim – Aimorés.</w:t>
      </w:r>
      <w:r w:rsidR="006A31EB">
        <w:rPr>
          <w:rFonts w:cs="Times New Roman"/>
          <w:noProof/>
          <w:lang w:eastAsia="pt-BR"/>
        </w:rPr>
        <w:drawing>
          <wp:inline distT="0" distB="0" distL="0" distR="0" wp14:anchorId="3D778A2B" wp14:editId="2DFC6837">
            <wp:extent cx="5130450" cy="3848431"/>
            <wp:effectExtent l="19050" t="0" r="0" b="0"/>
            <wp:docPr id="39" name="Imagem 39" descr="F:\FOTO_RIO_CAPIM\DSC003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FOTO_RIO_CAPIM\DSC0037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59385" cy="3870135"/>
                    </a:xfrm>
                    <a:prstGeom prst="rect">
                      <a:avLst/>
                    </a:prstGeom>
                    <a:noFill/>
                    <a:ln>
                      <a:noFill/>
                    </a:ln>
                  </pic:spPr>
                </pic:pic>
              </a:graphicData>
            </a:graphic>
          </wp:inline>
        </w:drawing>
      </w:r>
      <w:bookmarkEnd w:id="89"/>
    </w:p>
    <w:p w:rsidR="005E5A4F" w:rsidRPr="0026310B" w:rsidRDefault="005E5A4F" w:rsidP="0079735E">
      <w:pPr>
        <w:spacing w:after="0" w:line="360" w:lineRule="auto"/>
        <w:ind w:left="142"/>
        <w:rPr>
          <w:rFonts w:cs="Times New Roman"/>
        </w:rPr>
      </w:pPr>
      <w:r w:rsidRPr="00B32877">
        <w:rPr>
          <w:rFonts w:cs="Times New Roman"/>
          <w:sz w:val="20"/>
        </w:rPr>
        <w:t>Fonte: Fundação Educacional de Caratinga – FUNEC, 2013</w:t>
      </w:r>
    </w:p>
    <w:p w:rsidR="006A31EB" w:rsidRPr="00392C4F" w:rsidRDefault="006A31EB" w:rsidP="005E5A4F">
      <w:pPr>
        <w:pStyle w:val="CM72"/>
        <w:spacing w:before="120" w:line="360" w:lineRule="auto"/>
        <w:ind w:firstLine="709"/>
        <w:jc w:val="both"/>
        <w:rPr>
          <w:rFonts w:ascii="Times New Roman" w:hAnsi="Times New Roman" w:cs="Times New Roman"/>
        </w:rPr>
      </w:pPr>
      <w:r w:rsidRPr="00392C4F">
        <w:rPr>
          <w:rFonts w:ascii="Times New Roman" w:hAnsi="Times New Roman" w:cs="Times New Roman"/>
        </w:rPr>
        <w:t xml:space="preserve">A Política Nacional de Recursos Hídricos, instituída pela Lei nº 9.433 em 8 de janeiro de 1997, incorpora princípios e normas para a gestão de recursos hídricos adotando a definição de bacias hidrográficas como unidade de estudo e gestão. Assim, é de grande importância para gestores e pesquisadores a compreensão do conceito de bacia hidrográfica e de suas subdivisões </w:t>
      </w:r>
      <w:r w:rsidRPr="005E5A4F">
        <w:rPr>
          <w:rFonts w:ascii="Times New Roman" w:hAnsi="Times New Roman" w:cs="Times New Roman"/>
        </w:rPr>
        <w:t>(TEODORO et</w:t>
      </w:r>
      <w:r w:rsidR="005E5A4F">
        <w:rPr>
          <w:rFonts w:ascii="Times New Roman" w:hAnsi="Times New Roman" w:cs="Times New Roman"/>
        </w:rPr>
        <w:t>.</w:t>
      </w:r>
      <w:r w:rsidRPr="005E5A4F">
        <w:rPr>
          <w:rFonts w:ascii="Times New Roman" w:hAnsi="Times New Roman" w:cs="Times New Roman"/>
        </w:rPr>
        <w:t xml:space="preserve"> </w:t>
      </w:r>
      <w:r w:rsidR="005E5A4F" w:rsidRPr="005E5A4F">
        <w:rPr>
          <w:rFonts w:ascii="Times New Roman" w:hAnsi="Times New Roman" w:cs="Times New Roman"/>
        </w:rPr>
        <w:t>A</w:t>
      </w:r>
      <w:r w:rsidRPr="005E5A4F">
        <w:rPr>
          <w:rFonts w:ascii="Times New Roman" w:hAnsi="Times New Roman" w:cs="Times New Roman"/>
        </w:rPr>
        <w:t>l</w:t>
      </w:r>
      <w:r w:rsidR="005E5A4F">
        <w:rPr>
          <w:rFonts w:ascii="Times New Roman" w:hAnsi="Times New Roman" w:cs="Times New Roman"/>
        </w:rPr>
        <w:t>.</w:t>
      </w:r>
      <w:r w:rsidRPr="005E5A4F">
        <w:rPr>
          <w:rFonts w:ascii="Times New Roman" w:hAnsi="Times New Roman" w:cs="Times New Roman"/>
        </w:rPr>
        <w:t>, 2007).</w:t>
      </w:r>
    </w:p>
    <w:p w:rsidR="006A31EB" w:rsidRPr="005E5A4F" w:rsidRDefault="006A31EB" w:rsidP="005E5A4F">
      <w:pPr>
        <w:pStyle w:val="CM72"/>
        <w:spacing w:line="360" w:lineRule="auto"/>
        <w:ind w:firstLine="709"/>
        <w:jc w:val="both"/>
        <w:rPr>
          <w:rFonts w:ascii="Times New Roman" w:hAnsi="Times New Roman" w:cs="Times New Roman"/>
        </w:rPr>
      </w:pPr>
      <w:r w:rsidRPr="00392C4F">
        <w:rPr>
          <w:rFonts w:ascii="Times New Roman" w:hAnsi="Times New Roman" w:cs="Times New Roman"/>
        </w:rPr>
        <w:t xml:space="preserve">Em uma concepção geral, entende-se por bacia hidrográfica a área da superfície da terra, limitada pelos divisores de água, e que faz convergir todo escoamento natural de água e materiais diversos para o rio principal, que por sua vez leva-os para uma saída em comum. Ela é formada por três elementos básicos: os divisores de água, as vertentes e a </w:t>
      </w:r>
      <w:r w:rsidRPr="005E5A4F">
        <w:rPr>
          <w:rFonts w:ascii="Times New Roman" w:hAnsi="Times New Roman" w:cs="Times New Roman"/>
        </w:rPr>
        <w:t>rede de drenagem (BOTELHO, 1999; SILVEIRA, 2000; COELHO NETO, 2001).</w:t>
      </w:r>
    </w:p>
    <w:p w:rsidR="005E5A4F" w:rsidRDefault="006A31EB" w:rsidP="005E5A4F">
      <w:pPr>
        <w:pStyle w:val="CM72"/>
        <w:spacing w:line="360" w:lineRule="auto"/>
        <w:ind w:firstLine="709"/>
        <w:jc w:val="both"/>
        <w:rPr>
          <w:rFonts w:ascii="Times New Roman" w:hAnsi="Times New Roman" w:cs="Times New Roman"/>
        </w:rPr>
      </w:pPr>
      <w:r w:rsidRPr="005E5A4F">
        <w:rPr>
          <w:rFonts w:ascii="Times New Roman" w:hAnsi="Times New Roman" w:cs="Times New Roman"/>
        </w:rPr>
        <w:t>Barbosa (1994, in MACIEL, 2000), define a bacia hidrográfica considerando os</w:t>
      </w:r>
      <w:r>
        <w:rPr>
          <w:rFonts w:ascii="Times New Roman" w:hAnsi="Times New Roman" w:cs="Times New Roman"/>
        </w:rPr>
        <w:t xml:space="preserve"> </w:t>
      </w:r>
      <w:r w:rsidRPr="00392C4F">
        <w:rPr>
          <w:rFonts w:ascii="Times New Roman" w:hAnsi="Times New Roman" w:cs="Times New Roman"/>
        </w:rPr>
        <w:t>sistemas que a compõe:</w:t>
      </w:r>
    </w:p>
    <w:p w:rsidR="006A31EB" w:rsidRPr="005E5A4F" w:rsidRDefault="006A31EB" w:rsidP="005E5A4F">
      <w:pPr>
        <w:pStyle w:val="CM72"/>
        <w:spacing w:before="120" w:after="120"/>
        <w:ind w:left="2268"/>
        <w:jc w:val="both"/>
        <w:rPr>
          <w:rFonts w:ascii="Times New Roman" w:hAnsi="Times New Roman" w:cs="Times New Roman"/>
          <w:sz w:val="20"/>
          <w:szCs w:val="20"/>
        </w:rPr>
      </w:pPr>
      <w:r w:rsidRPr="005E5A4F">
        <w:rPr>
          <w:rFonts w:ascii="Times New Roman" w:hAnsi="Times New Roman" w:cs="Times New Roman"/>
          <w:sz w:val="20"/>
          <w:szCs w:val="20"/>
        </w:rPr>
        <w:t xml:space="preserve">“Uma bacia hidrográfica é um sistema terrestre e aquático geograficamente definido e composto por sistemas físicos, biológicos, econômicos e sociais. </w:t>
      </w:r>
      <w:r w:rsidRPr="005E5A4F">
        <w:rPr>
          <w:rFonts w:ascii="Times New Roman" w:hAnsi="Times New Roman" w:cs="Times New Roman"/>
          <w:sz w:val="20"/>
          <w:szCs w:val="20"/>
        </w:rPr>
        <w:lastRenderedPageBreak/>
        <w:t>Contém, portanto, uma grande diversidade de ambientes onde se desenvolvem diferentes atividades econômicas, as quais exercem uma influência direta na vegetação, nos solos, na topografia, nos corpos d’água e na biodiversidade em geral. Esta unidade geográfica tem no seu rio formador o ponto central para onde convergem os remanescentes de todas as atividades ali desenvolvidas”.</w:t>
      </w:r>
    </w:p>
    <w:p w:rsidR="006A31EB" w:rsidRDefault="006A31EB" w:rsidP="005E5A4F">
      <w:pPr>
        <w:pStyle w:val="CM72"/>
        <w:spacing w:line="360" w:lineRule="auto"/>
        <w:ind w:firstLine="709"/>
        <w:jc w:val="both"/>
      </w:pPr>
      <w:r w:rsidRPr="00392C4F">
        <w:rPr>
          <w:rFonts w:ascii="Times New Roman" w:hAnsi="Times New Roman" w:cs="Times New Roman"/>
        </w:rPr>
        <w:t>Os limites da bacia são definidos de acordo com critér</w:t>
      </w:r>
      <w:r>
        <w:rPr>
          <w:rFonts w:ascii="Times New Roman" w:hAnsi="Times New Roman" w:cs="Times New Roman"/>
        </w:rPr>
        <w:t xml:space="preserve">ios técnicos feitos a partir de </w:t>
      </w:r>
      <w:r w:rsidRPr="00392C4F">
        <w:rPr>
          <w:rFonts w:ascii="Times New Roman" w:hAnsi="Times New Roman" w:cs="Times New Roman"/>
        </w:rPr>
        <w:t>curvas de nível, que incluem a separação dos divisores de água a partir da identificação das</w:t>
      </w:r>
      <w:r>
        <w:rPr>
          <w:rFonts w:ascii="Times New Roman" w:hAnsi="Times New Roman" w:cs="Times New Roman"/>
        </w:rPr>
        <w:t xml:space="preserve"> </w:t>
      </w:r>
      <w:r w:rsidRPr="00392C4F">
        <w:rPr>
          <w:rFonts w:ascii="Times New Roman" w:hAnsi="Times New Roman" w:cs="Times New Roman"/>
        </w:rPr>
        <w:t xml:space="preserve">cabeceiras dos canais de primeira ordem, chegando-se à delimitação dos rios que </w:t>
      </w:r>
      <w:r w:rsidRPr="005E5A4F">
        <w:rPr>
          <w:rFonts w:ascii="Times New Roman" w:hAnsi="Times New Roman" w:cs="Times New Roman"/>
        </w:rPr>
        <w:t>formam a rede de drenagem principal (STRAHLER, 1951).</w:t>
      </w:r>
      <w:r w:rsidRPr="00392C4F">
        <w:t xml:space="preserve"> </w:t>
      </w:r>
    </w:p>
    <w:p w:rsidR="006A31EB" w:rsidRPr="0079450A" w:rsidRDefault="006A31EB" w:rsidP="005E5A4F">
      <w:pPr>
        <w:pStyle w:val="CM72"/>
        <w:spacing w:line="360" w:lineRule="auto"/>
        <w:ind w:firstLine="709"/>
        <w:jc w:val="both"/>
        <w:rPr>
          <w:rFonts w:ascii="Times New Roman" w:hAnsi="Times New Roman" w:cs="Times New Roman"/>
          <w:spacing w:val="-2"/>
        </w:rPr>
      </w:pPr>
      <w:r w:rsidRPr="0079450A">
        <w:rPr>
          <w:rFonts w:ascii="Times New Roman" w:hAnsi="Times New Roman" w:cs="Times New Roman"/>
          <w:spacing w:val="-2"/>
        </w:rPr>
        <w:t>Assim, o estudo de uma bacia hidrográfica começa, obrigatoriamente, pela Carta</w:t>
      </w:r>
      <w:r w:rsidRPr="0079450A">
        <w:rPr>
          <w:spacing w:val="-2"/>
        </w:rPr>
        <w:t xml:space="preserve"> </w:t>
      </w:r>
      <w:r w:rsidRPr="0079450A">
        <w:rPr>
          <w:rFonts w:ascii="Times New Roman" w:hAnsi="Times New Roman" w:cs="Times New Roman"/>
          <w:spacing w:val="-2"/>
        </w:rPr>
        <w:t>Topográfica, pois esta possibilita sua delimitação; e os elementos altimétricos,</w:t>
      </w:r>
      <w:r w:rsidRPr="0079450A">
        <w:rPr>
          <w:spacing w:val="-2"/>
        </w:rPr>
        <w:t xml:space="preserve"> </w:t>
      </w:r>
      <w:r w:rsidRPr="0079450A">
        <w:rPr>
          <w:rFonts w:ascii="Times New Roman" w:hAnsi="Times New Roman" w:cs="Times New Roman"/>
          <w:spacing w:val="-2"/>
        </w:rPr>
        <w:t>caracterizados pelas curvas de nível e pelos pontos cotados, juntamente com a hidrografia,</w:t>
      </w:r>
      <w:r w:rsidRPr="0079450A">
        <w:rPr>
          <w:spacing w:val="-2"/>
        </w:rPr>
        <w:t xml:space="preserve"> </w:t>
      </w:r>
      <w:r w:rsidRPr="00FD35B5">
        <w:rPr>
          <w:rFonts w:ascii="Times New Roman" w:hAnsi="Times New Roman" w:cs="Times New Roman"/>
          <w:spacing w:val="-2"/>
        </w:rPr>
        <w:t>são os elementos utilizados na delimitação de seus limites (CASTRO, 2000).</w:t>
      </w:r>
    </w:p>
    <w:p w:rsidR="006A31EB" w:rsidRDefault="007B639C" w:rsidP="00971B37">
      <w:pPr>
        <w:pStyle w:val="Titulo"/>
      </w:pPr>
      <w:bookmarkStart w:id="90" w:name="_Toc372559050"/>
      <w:bookmarkStart w:id="91" w:name="_Toc372789490"/>
      <w:r>
        <w:t xml:space="preserve">7.7 </w:t>
      </w:r>
      <w:r w:rsidRPr="00C74C90">
        <w:t>Unidades</w:t>
      </w:r>
      <w:r>
        <w:t xml:space="preserve"> d</w:t>
      </w:r>
      <w:r w:rsidRPr="00C74C90">
        <w:t>e Conservação</w:t>
      </w:r>
      <w:bookmarkEnd w:id="90"/>
      <w:bookmarkEnd w:id="91"/>
    </w:p>
    <w:p w:rsidR="006A31EB" w:rsidRDefault="006A31EB" w:rsidP="00FD35B5">
      <w:pPr>
        <w:pStyle w:val="CM72"/>
        <w:spacing w:line="360" w:lineRule="auto"/>
        <w:ind w:firstLine="709"/>
        <w:jc w:val="both"/>
        <w:rPr>
          <w:rFonts w:ascii="Times New Roman" w:hAnsi="Times New Roman" w:cs="Times New Roman"/>
        </w:rPr>
      </w:pPr>
      <w:r w:rsidRPr="00C74C90">
        <w:rPr>
          <w:rFonts w:ascii="Times New Roman" w:hAnsi="Times New Roman" w:cs="Times New Roman"/>
        </w:rPr>
        <w:t>Segundo o Cadastro Nacional de Unidades de Conservação (CNUC) do Sistema Nacional de Unidades de Conservação (</w:t>
      </w:r>
      <w:r>
        <w:rPr>
          <w:rFonts w:ascii="Times New Roman" w:hAnsi="Times New Roman" w:cs="Times New Roman"/>
        </w:rPr>
        <w:t>SNUC), o município de Aimorés possui uma unidade de conservação, a RPPN (</w:t>
      </w:r>
      <w:r w:rsidRPr="00A13C52">
        <w:rPr>
          <w:rFonts w:ascii="Times New Roman" w:hAnsi="Times New Roman" w:cs="Times New Roman"/>
        </w:rPr>
        <w:t>Reserva Particular do Patrimônio Natural</w:t>
      </w:r>
      <w:r>
        <w:rPr>
          <w:rFonts w:ascii="Times New Roman" w:hAnsi="Times New Roman" w:cs="Times New Roman"/>
        </w:rPr>
        <w:t>) fazenda Bulcão.</w:t>
      </w:r>
    </w:p>
    <w:p w:rsidR="006A31EB" w:rsidRDefault="006A31EB" w:rsidP="00FD35B5">
      <w:pPr>
        <w:pStyle w:val="CM72"/>
        <w:spacing w:line="360" w:lineRule="auto"/>
        <w:ind w:firstLine="709"/>
        <w:jc w:val="both"/>
        <w:rPr>
          <w:rFonts w:ascii="Times New Roman" w:hAnsi="Times New Roman" w:cs="Times New Roman"/>
        </w:rPr>
      </w:pPr>
      <w:r w:rsidRPr="00A13C52">
        <w:rPr>
          <w:rFonts w:ascii="Times New Roman" w:hAnsi="Times New Roman" w:cs="Times New Roman"/>
        </w:rPr>
        <w:t>O Governo de Minas Gerais, pela Portaria IEF/MG Nº 081, promulgada em 07 de outubro de 1998, concede à Fazenda Bulcão o título de RPPN – Reserva Particular do Patrimônio Natural. O título guarda seu ineditismo por ser a primeira RPPN criada em uma área degradada, com o compromisso de vir a ser recuperada.</w:t>
      </w:r>
    </w:p>
    <w:p w:rsidR="006A31EB" w:rsidRDefault="006A31EB" w:rsidP="00FD35B5">
      <w:pPr>
        <w:pStyle w:val="CM72"/>
        <w:spacing w:line="360" w:lineRule="auto"/>
        <w:ind w:firstLine="709"/>
        <w:jc w:val="both"/>
        <w:rPr>
          <w:rFonts w:ascii="Times New Roman" w:hAnsi="Times New Roman" w:cs="Times New Roman"/>
        </w:rPr>
      </w:pPr>
      <w:r w:rsidRPr="002F2067">
        <w:rPr>
          <w:rFonts w:ascii="Times New Roman" w:hAnsi="Times New Roman" w:cs="Times New Roman"/>
        </w:rPr>
        <w:t xml:space="preserve">O instituto Terra atua através da restauração ecossistêmica, produção de mudas nativas, extensão ambiental, pesquisa científica aplicada e educação ambiental, em municípios de Minas Gerais e Espírito Santo. Sua sede se localiza na Fazenda Bulcão, em Aimorés (MG), área reconhecida como Reserva de Patrimônio Natural (RPPN). O título conserva seu ineditismo por se tratar da primeira RPPN criada em uma área degradada, com o compromisso de vir a ser recuperada. Ao todo, desde sua fundação, o Instituto Terra já contabiliza 5,5 mil hectares de Mata Atlântica em processo de recuperação no Vale do Rio Doce e a produção de mais de 3,5 milhões de mudas nativas. E mais que plantar árvores e recuperar fontes de água, desde o início os fundadores se mobilizaram para tornar o Instituto </w:t>
      </w:r>
      <w:r w:rsidRPr="002F2067">
        <w:rPr>
          <w:rFonts w:ascii="Times New Roman" w:hAnsi="Times New Roman" w:cs="Times New Roman"/>
        </w:rPr>
        <w:lastRenderedPageBreak/>
        <w:t>Terra em um pólo irradiador de uma nova consciência ambiental, baseada na recuperação e conservação florestal, aumento da produção agrícola e melhoria da qualidade vida no meio rural. Até o momento, mais de 700 projetos educacionais já foram desenvolvidos para um público superior a 66 mil pessoas, de 176 municípios do Vale do Rio Doce.</w:t>
      </w:r>
    </w:p>
    <w:p w:rsidR="006A31EB" w:rsidRDefault="006A31EB" w:rsidP="00FD35B5">
      <w:pPr>
        <w:pStyle w:val="CM72"/>
        <w:spacing w:line="360" w:lineRule="auto"/>
        <w:ind w:firstLine="709"/>
        <w:jc w:val="both"/>
        <w:rPr>
          <w:rFonts w:ascii="Times New Roman" w:hAnsi="Times New Roman" w:cs="Times New Roman"/>
        </w:rPr>
      </w:pPr>
      <w:r>
        <w:rPr>
          <w:rFonts w:ascii="Times New Roman" w:hAnsi="Times New Roman" w:cs="Times New Roman"/>
        </w:rPr>
        <w:t>Iniciativas como estas deveriam se difundir no município de Aimorés, no intuito de proteger os mananciais, tão degradados pela ação antrópica (agropecuária e mineração).</w:t>
      </w:r>
    </w:p>
    <w:p w:rsidR="006A31EB" w:rsidRDefault="006A31EB" w:rsidP="00FD35B5">
      <w:pPr>
        <w:pStyle w:val="CM72"/>
        <w:spacing w:line="360" w:lineRule="auto"/>
        <w:ind w:firstLine="709"/>
        <w:jc w:val="both"/>
        <w:rPr>
          <w:rFonts w:ascii="Times New Roman" w:hAnsi="Times New Roman" w:cs="Times New Roman"/>
        </w:rPr>
      </w:pPr>
      <w:r w:rsidRPr="007F2CF5">
        <w:rPr>
          <w:rFonts w:ascii="Times New Roman" w:hAnsi="Times New Roman" w:cs="Times New Roman"/>
        </w:rPr>
        <w:t>Onde a unidade de conservação tem um território maior que a bacia de contribuição das captações de água bruta instaladas, é necessário realizar a preservação destes pequenos mananciais, pode-se citar a recuperação da mata ciliar do corpo hídrico, cercamento e medidas necessárias para a contenção de enxurradas. Estas ações irão proteger as captações de serem atingidas por repentinas enchentes prejudicando seus funcionamentos, causando prejuízos ao órgão gestor e também à população que pode ficar sem água para consumo.</w:t>
      </w:r>
    </w:p>
    <w:p w:rsidR="00FD35B5" w:rsidRDefault="00FD35B5">
      <w:pPr>
        <w:spacing w:after="200" w:line="276" w:lineRule="auto"/>
        <w:rPr>
          <w:rFonts w:eastAsiaTheme="majorEastAsia" w:cs="Times New Roman"/>
          <w:b/>
          <w:bCs/>
          <w:color w:val="000000" w:themeColor="text1"/>
          <w:szCs w:val="24"/>
        </w:rPr>
      </w:pPr>
      <w:r>
        <w:rPr>
          <w:szCs w:val="24"/>
        </w:rPr>
        <w:br w:type="page"/>
      </w:r>
    </w:p>
    <w:p w:rsidR="00192DB6" w:rsidRPr="00FD35B5" w:rsidRDefault="007B639C" w:rsidP="00971B37">
      <w:pPr>
        <w:pStyle w:val="Titulo"/>
      </w:pPr>
      <w:bookmarkStart w:id="92" w:name="_Toc372559051"/>
      <w:bookmarkStart w:id="93" w:name="_Toc372789491"/>
      <w:r w:rsidRPr="00CE7367">
        <w:lastRenderedPageBreak/>
        <w:t>8</w:t>
      </w:r>
      <w:r w:rsidR="00FD35B5" w:rsidRPr="00CE7367">
        <w:t xml:space="preserve"> </w:t>
      </w:r>
      <w:r w:rsidR="00192DB6" w:rsidRPr="00CE7367">
        <w:t>CENÁRIO DEMOGRÁFICO, ECONÔMICO E SOCIOCULTURAL</w:t>
      </w:r>
      <w:bookmarkEnd w:id="92"/>
      <w:bookmarkEnd w:id="93"/>
    </w:p>
    <w:p w:rsidR="00192DB6" w:rsidRPr="00166C63" w:rsidRDefault="00CE7367" w:rsidP="00971B37">
      <w:pPr>
        <w:pStyle w:val="Titulo"/>
      </w:pPr>
      <w:bookmarkStart w:id="94" w:name="_Toc372559052"/>
      <w:bookmarkStart w:id="95" w:name="_Toc372789492"/>
      <w:r w:rsidRPr="00166C63">
        <w:t xml:space="preserve">8.1 </w:t>
      </w:r>
      <w:r w:rsidR="007B639C" w:rsidRPr="00166C63">
        <w:t>Introdução</w:t>
      </w:r>
      <w:bookmarkEnd w:id="94"/>
      <w:bookmarkEnd w:id="95"/>
    </w:p>
    <w:p w:rsidR="00192DB6" w:rsidRPr="00A13597" w:rsidRDefault="00192DB6" w:rsidP="00FD35B5">
      <w:pPr>
        <w:pStyle w:val="CM72"/>
        <w:spacing w:line="360" w:lineRule="auto"/>
        <w:ind w:firstLine="709"/>
        <w:jc w:val="both"/>
        <w:rPr>
          <w:rFonts w:ascii="Times New Roman" w:hAnsi="Times New Roman" w:cs="Times New Roman"/>
        </w:rPr>
      </w:pPr>
      <w:r w:rsidRPr="00A13597">
        <w:rPr>
          <w:rFonts w:ascii="Times New Roman" w:hAnsi="Times New Roman" w:cs="Times New Roman"/>
        </w:rPr>
        <w:t>A necessidade da melhoria da qualidade de vida, aliada às condições insatisfatórias de saúde ambiental, bem como à importância de diversos recursos naturais para a manutenção da vida, levou ao estado brasileiro a adotar uma política de saneamento básico adequada, materializada na Lei nº. 11.445/07.</w:t>
      </w:r>
    </w:p>
    <w:p w:rsidR="00192DB6" w:rsidRPr="00A13597" w:rsidRDefault="00192DB6" w:rsidP="00FD35B5">
      <w:pPr>
        <w:pStyle w:val="CM72"/>
        <w:spacing w:line="360" w:lineRule="auto"/>
        <w:ind w:firstLine="708"/>
        <w:jc w:val="both"/>
        <w:rPr>
          <w:rFonts w:ascii="Times New Roman" w:hAnsi="Times New Roman" w:cs="Times New Roman"/>
        </w:rPr>
      </w:pPr>
      <w:r w:rsidRPr="00A13597">
        <w:rPr>
          <w:rFonts w:ascii="Times New Roman" w:hAnsi="Times New Roman" w:cs="Times New Roman"/>
        </w:rPr>
        <w:t>Essa preocupação deve-se a que a falta de planejamento municipal, com ações fragmentadas, bem como a ausência de uma análise integrada conciliando aspectos sociais, econômicos e ambientais, pode acarretar sérios problemas ao meio ambiente, com reflexos na qualidade de vida da população. Em contraposição, ações adequadas na área de saneamento conduzem a um desenvolvimento equilibrado, sem desperdício de recursos e com redução de gastos com a saúde pública.</w:t>
      </w:r>
    </w:p>
    <w:p w:rsidR="00192DB6" w:rsidRPr="00A13597" w:rsidRDefault="00192DB6" w:rsidP="00FD35B5">
      <w:pPr>
        <w:pStyle w:val="CM72"/>
        <w:spacing w:line="360" w:lineRule="auto"/>
        <w:ind w:firstLine="708"/>
        <w:jc w:val="both"/>
        <w:rPr>
          <w:rFonts w:ascii="Times New Roman" w:hAnsi="Times New Roman" w:cs="Times New Roman"/>
        </w:rPr>
      </w:pPr>
      <w:r w:rsidRPr="00A13597">
        <w:rPr>
          <w:rFonts w:ascii="Times New Roman" w:hAnsi="Times New Roman" w:cs="Times New Roman"/>
        </w:rPr>
        <w:t>Segundo a Organização Mundial de Saúde (OMS), citada pelo instituto Trata Brasil (2010), o saneamento básico precário representa uma grave ameaça à saúde humana. Apesar de disseminada no mundo, a falta de saneamento básico ainda é muito associada à pobreza, afetando principalmente a população de baixa renda e de maior vulnerabilidade social, devido à subnutrição e, muitas vezes, pela higiene inadequada. As enfermidades associadas a sistemas de água e esgoto inadequados e as deficiências com a higiene causam a morte de milhões de pessoas todos os anos, com prevalência nos países de baixa renda (PIB per capita inferior a US$</w:t>
      </w:r>
      <w:r w:rsidR="00A465BC">
        <w:rPr>
          <w:rFonts w:ascii="Times New Roman" w:hAnsi="Times New Roman" w:cs="Times New Roman"/>
        </w:rPr>
        <w:t xml:space="preserve"> </w:t>
      </w:r>
      <w:r w:rsidRPr="00A13597">
        <w:rPr>
          <w:rFonts w:ascii="Times New Roman" w:hAnsi="Times New Roman" w:cs="Times New Roman"/>
        </w:rPr>
        <w:t xml:space="preserve">825,00). </w:t>
      </w:r>
    </w:p>
    <w:p w:rsidR="00192DB6" w:rsidRPr="00A13597" w:rsidRDefault="00192DB6" w:rsidP="00FD35B5">
      <w:pPr>
        <w:pStyle w:val="CM72"/>
        <w:spacing w:line="360" w:lineRule="auto"/>
        <w:ind w:firstLine="708"/>
        <w:jc w:val="both"/>
        <w:rPr>
          <w:rFonts w:ascii="Times New Roman" w:hAnsi="Times New Roman" w:cs="Times New Roman"/>
        </w:rPr>
      </w:pPr>
      <w:r w:rsidRPr="00A13597">
        <w:rPr>
          <w:rFonts w:ascii="Times New Roman" w:hAnsi="Times New Roman" w:cs="Times New Roman"/>
        </w:rPr>
        <w:t>Análise estatística desenvolvida no estudo “Benefícios econômicos da expansão do saneamento brasileiro” (TRATA BRASIL; IB</w:t>
      </w:r>
      <w:r w:rsidR="000917CE">
        <w:rPr>
          <w:rFonts w:ascii="Times New Roman" w:hAnsi="Times New Roman" w:cs="Times New Roman"/>
        </w:rPr>
        <w:t>G</w:t>
      </w:r>
      <w:r w:rsidRPr="00A13597">
        <w:rPr>
          <w:rFonts w:ascii="Times New Roman" w:hAnsi="Times New Roman" w:cs="Times New Roman"/>
        </w:rPr>
        <w:t>E/FGV, 2010) identificou uma relação expressiva entre o acesso ao saneamento e a incidência de infecções gastrintestinais</w:t>
      </w:r>
      <w:r w:rsidRPr="00A465BC">
        <w:rPr>
          <w:rFonts w:ascii="Times New Roman" w:hAnsi="Times New Roman" w:cs="Times New Roman"/>
          <w:vertAlign w:val="superscript"/>
        </w:rPr>
        <w:footnoteReference w:id="1"/>
      </w:r>
      <w:r w:rsidRPr="00A13597">
        <w:rPr>
          <w:rFonts w:ascii="Times New Roman" w:hAnsi="Times New Roman" w:cs="Times New Roman"/>
        </w:rPr>
        <w:t xml:space="preserve">, constatando que nos municípios com maior acesso à coleta de esgoto foi significativamente menor a incidência de infecções gastrintestinais, em especial entre as crianças e jovens até 14 anos. Consideraram que, com a universalização do saneamento, o número de internações por infecções gastrintestinais seria reduzido dos 462 mil casos por ano para 343 mil, isto é, uma diminuição de mais de 25%. Em termos absolutos, o número de internações deveria cair </w:t>
      </w:r>
      <w:r w:rsidRPr="00A13597">
        <w:rPr>
          <w:rFonts w:ascii="Times New Roman" w:hAnsi="Times New Roman" w:cs="Times New Roman"/>
        </w:rPr>
        <w:lastRenderedPageBreak/>
        <w:t xml:space="preserve">em 119 mil, sendo 40% desses casos na região Nordeste. Em termos relativos, contudo, as regiões onde o impacto seria maior seriam o Sudeste e o Sul brasileiros, cujos números de infecções poderiam cair </w:t>
      </w:r>
      <w:r w:rsidR="00A465BC">
        <w:rPr>
          <w:rFonts w:ascii="Times New Roman" w:hAnsi="Times New Roman" w:cs="Times New Roman"/>
        </w:rPr>
        <w:t xml:space="preserve">de </w:t>
      </w:r>
      <w:r w:rsidRPr="00A13597">
        <w:rPr>
          <w:rFonts w:ascii="Times New Roman" w:hAnsi="Times New Roman" w:cs="Times New Roman"/>
        </w:rPr>
        <w:t>55,8% e 36,8%, respectivamente.</w:t>
      </w:r>
    </w:p>
    <w:p w:rsidR="00192DB6" w:rsidRPr="00A13597" w:rsidRDefault="00192DB6" w:rsidP="00FD35B5">
      <w:pPr>
        <w:pStyle w:val="CM72"/>
        <w:spacing w:line="360" w:lineRule="auto"/>
        <w:ind w:firstLine="708"/>
        <w:jc w:val="both"/>
        <w:rPr>
          <w:rFonts w:ascii="Times New Roman" w:hAnsi="Times New Roman" w:cs="Times New Roman"/>
        </w:rPr>
      </w:pPr>
      <w:r w:rsidRPr="00A13597">
        <w:rPr>
          <w:rFonts w:ascii="Times New Roman" w:hAnsi="Times New Roman" w:cs="Times New Roman"/>
        </w:rPr>
        <w:t>O estudo supracitado quantificou uma série de benefícios decorrentes da universalização do saneamento básico no Brasil, tais como: a) uma redução de 25% no número de internações e 65% na mortalidade, ou seja, 1.277 vidas seriam salvas; b) redução de gastos de R$ 309 milhões nos afastamentos de trabalhadores; c) uma produtividade do trabalhador 13,3% superior, possibilitando o crescimento de sua renda em igual proporção; d) valorização média de até 18% no valor dos imóveis; e) economia R$ 745 milhões somente em despesas de internação no SUS ao longo dos anos; f) economia de R$ 547 milhões, decorrentes de remunerações referentes à horas não-trabalhadas de funcionários com infecções gastrintestinais</w:t>
      </w:r>
    </w:p>
    <w:p w:rsidR="00192DB6" w:rsidRPr="00A13597" w:rsidRDefault="00192DB6" w:rsidP="00FD35B5">
      <w:pPr>
        <w:pStyle w:val="CM72"/>
        <w:spacing w:line="360" w:lineRule="auto"/>
        <w:ind w:firstLine="708"/>
        <w:jc w:val="both"/>
        <w:rPr>
          <w:rFonts w:ascii="Times New Roman" w:hAnsi="Times New Roman" w:cs="Times New Roman"/>
        </w:rPr>
      </w:pPr>
      <w:r w:rsidRPr="00A13597">
        <w:rPr>
          <w:rFonts w:ascii="Times New Roman" w:hAnsi="Times New Roman" w:cs="Times New Roman"/>
        </w:rPr>
        <w:t>Os referidos autores ressaltam que, embora fique nítido que as famílias de renda mais baixa sejam as mais favorecidas com o esgotamento sanitário adequado, os benefícios se alargam para a sociedade como um todo, com a maior probabilidade de uma população mais saudável e produtiva, bem como com espaços urbanos qualificados para a moradia e as atividades econômicas.</w:t>
      </w:r>
    </w:p>
    <w:p w:rsidR="00192DB6" w:rsidRPr="00A13597" w:rsidRDefault="00192DB6" w:rsidP="00FD35B5">
      <w:pPr>
        <w:pStyle w:val="CM72"/>
        <w:spacing w:line="360" w:lineRule="auto"/>
        <w:ind w:firstLine="708"/>
        <w:jc w:val="both"/>
        <w:rPr>
          <w:rFonts w:ascii="Times New Roman" w:hAnsi="Times New Roman" w:cs="Times New Roman"/>
        </w:rPr>
      </w:pPr>
      <w:r w:rsidRPr="00A13597">
        <w:rPr>
          <w:rFonts w:ascii="Times New Roman" w:hAnsi="Times New Roman" w:cs="Times New Roman"/>
        </w:rPr>
        <w:t xml:space="preserve">Assim, torna-se essencial que sejam examinados os aspectos demográficos, econômicos e socioculturais da realidade local, considerando que o Plano Municipal de Saneamento Básico (PMSB) do município de Aimorés tem como objetivo estabelecer um planejamento das ações de saneamento com a participação popular, que atenda aos princípios da política nacional de saneamento básico, </w:t>
      </w:r>
    </w:p>
    <w:p w:rsidR="00192DB6" w:rsidRPr="00A13597" w:rsidRDefault="00192DB6" w:rsidP="00A465BC">
      <w:pPr>
        <w:pStyle w:val="CM72"/>
        <w:spacing w:line="360" w:lineRule="auto"/>
        <w:ind w:firstLine="709"/>
        <w:jc w:val="both"/>
        <w:rPr>
          <w:rFonts w:ascii="Times New Roman" w:hAnsi="Times New Roman" w:cs="Times New Roman"/>
        </w:rPr>
      </w:pPr>
      <w:r w:rsidRPr="00A13597">
        <w:rPr>
          <w:rFonts w:ascii="Times New Roman" w:hAnsi="Times New Roman" w:cs="Times New Roman"/>
        </w:rPr>
        <w:t>De acordo com Sotepa (2012), a Organização das Nações Unidas (ONU), com vistas ao alcance das metas do milênio, considerou 2008 o “Ano Internacional do Saneamento”, declarando que as ações de saneamento básico constituem um direito de todos os cidadãos, sendo vital para a saúde e desenvolvimento social; além de ser um bom investimento econômico e contribuir para a melhoria da proteção ambiental (F</w:t>
      </w:r>
      <w:r w:rsidR="00A465BC">
        <w:rPr>
          <w:rFonts w:ascii="Times New Roman" w:hAnsi="Times New Roman" w:cs="Times New Roman"/>
        </w:rPr>
        <w:t>igura 2</w:t>
      </w:r>
      <w:r w:rsidR="007B639C">
        <w:rPr>
          <w:rFonts w:ascii="Times New Roman" w:hAnsi="Times New Roman" w:cs="Times New Roman"/>
        </w:rPr>
        <w:t>6</w:t>
      </w:r>
      <w:r w:rsidRPr="00A13597">
        <w:rPr>
          <w:rFonts w:ascii="Times New Roman" w:hAnsi="Times New Roman" w:cs="Times New Roman"/>
        </w:rPr>
        <w:t xml:space="preserve">), quando garantem a qualidade da água de abastecimento, a coleta, o tratamento e a disposição adequada de dejetos humanos e resíduos sólidos, conforme dita a Lei n° 11.445/2007, que regulamenta o serviço de saneamento básico no Brasil e define uma política federal para o setor,  </w:t>
      </w:r>
      <w:r w:rsidRPr="00A13597">
        <w:rPr>
          <w:rFonts w:ascii="Times New Roman" w:hAnsi="Times New Roman" w:cs="Times New Roman"/>
        </w:rPr>
        <w:lastRenderedPageBreak/>
        <w:t xml:space="preserve">regulamentada pelo Decreto nº. 7.217/10. </w:t>
      </w:r>
    </w:p>
    <w:p w:rsidR="0079450A" w:rsidRPr="00A465BC" w:rsidRDefault="00CB07F3" w:rsidP="00CB07F3">
      <w:pPr>
        <w:pStyle w:val="Legenda"/>
        <w:rPr>
          <w:b w:val="0"/>
        </w:rPr>
      </w:pPr>
      <w:bookmarkStart w:id="96" w:name="_Toc372740109"/>
      <w:r>
        <w:t xml:space="preserve">Figura </w:t>
      </w:r>
      <w:fldSimple w:instr=" SEQ Figura \* ARABIC ">
        <w:r w:rsidR="004F77E2">
          <w:rPr>
            <w:noProof/>
          </w:rPr>
          <w:t>26</w:t>
        </w:r>
      </w:fldSimple>
      <w:r>
        <w:t xml:space="preserve"> - </w:t>
      </w:r>
      <w:r w:rsidRPr="00EB77C9">
        <w:t>Saneamento como direito público e social</w:t>
      </w:r>
      <w:bookmarkEnd w:id="96"/>
    </w:p>
    <w:p w:rsidR="00192DB6" w:rsidRDefault="00192DB6" w:rsidP="00192DB6">
      <w:pPr>
        <w:spacing w:after="0" w:line="240" w:lineRule="auto"/>
        <w:jc w:val="center"/>
        <w:rPr>
          <w:rFonts w:ascii="Comic Sans MS" w:hAnsi="Comic Sans MS" w:cs="ArialMT"/>
          <w:b/>
          <w:szCs w:val="24"/>
        </w:rPr>
      </w:pPr>
      <w:r w:rsidRPr="00FC7473">
        <w:rPr>
          <w:noProof/>
          <w:lang w:eastAsia="pt-BR"/>
        </w:rPr>
        <w:drawing>
          <wp:inline distT="0" distB="0" distL="0" distR="0" wp14:anchorId="4736E297" wp14:editId="1F9FA82E">
            <wp:extent cx="5384194" cy="3288006"/>
            <wp:effectExtent l="19050" t="0" r="6956" b="0"/>
            <wp:docPr id="1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95112" cy="3294674"/>
                    </a:xfrm>
                    <a:prstGeom prst="rect">
                      <a:avLst/>
                    </a:prstGeom>
                    <a:noFill/>
                    <a:ln>
                      <a:noFill/>
                    </a:ln>
                  </pic:spPr>
                </pic:pic>
              </a:graphicData>
            </a:graphic>
          </wp:inline>
        </w:drawing>
      </w:r>
    </w:p>
    <w:p w:rsidR="00192DB6" w:rsidRPr="004C4D1F" w:rsidRDefault="00192DB6" w:rsidP="00A465BC">
      <w:pPr>
        <w:pStyle w:val="Fonte"/>
        <w:ind w:left="142"/>
      </w:pPr>
      <w:r w:rsidRPr="004C4D1F">
        <w:t>FONTE: Brasil (2008), citado por Sotepa (2012)</w:t>
      </w:r>
    </w:p>
    <w:p w:rsidR="00192DB6" w:rsidRPr="00A13597" w:rsidRDefault="00192DB6" w:rsidP="00CE7367">
      <w:pPr>
        <w:pStyle w:val="CM72"/>
        <w:spacing w:line="360" w:lineRule="auto"/>
        <w:ind w:firstLine="709"/>
        <w:jc w:val="both"/>
        <w:rPr>
          <w:rFonts w:ascii="Times New Roman" w:hAnsi="Times New Roman" w:cs="Times New Roman"/>
        </w:rPr>
      </w:pPr>
      <w:r w:rsidRPr="00A13597">
        <w:rPr>
          <w:rFonts w:ascii="Times New Roman" w:hAnsi="Times New Roman" w:cs="Times New Roman"/>
        </w:rPr>
        <w:t>A edição da Lei nº. 11.445/</w:t>
      </w:r>
      <w:r w:rsidR="00A465BC">
        <w:rPr>
          <w:rFonts w:ascii="Times New Roman" w:hAnsi="Times New Roman" w:cs="Times New Roman"/>
        </w:rPr>
        <w:t>2007</w:t>
      </w:r>
      <w:r w:rsidRPr="00A13597">
        <w:rPr>
          <w:rFonts w:ascii="Times New Roman" w:hAnsi="Times New Roman" w:cs="Times New Roman"/>
        </w:rPr>
        <w:t xml:space="preserve"> constituiu um avanço na área institucional, ao criar um marco legal e reduzir a insegurança jurídica no setor do saneamento básico. Neste prisma, em seu artigo 2, considera que os serviços públicos de saneamento básico serão prestados com base nos seguintes princípios fundamentais: a) universalização do acesso; b) integralidade, compreendida como o conjunto de todas as atividades e componentes de cada um dos diversos serviços de saneamento básico, propiciando à população o acesso na conformidade de suas necessidades e maximizando a eficácia das ações e resultados; c) abastecimento de água, esgotamento sanitário, limpeza urbana e manejo dos resíduos sólidos realizados de formas adequadas à saúde pública e à proteção do meio ambiente; d) disponibilidade, em todas as áreas urbanas, de serviços de drenagem e de manejo das águas pluviais adequados à saúde pública e à segurança da vida e do patrimônio público e privado; e) adoção de métodos, técnicas e processos que considerem as peculiaridades locais e regionais; f) articulação com as políticas de desenvolvimento urbano e regional, de habitação, de combate à pobreza e de sua erradicação, de proteção ambiental, de promoção da saúde e outras de relevante interesse social voltadas para a melhoria da qualidade de vida, </w:t>
      </w:r>
      <w:r w:rsidRPr="00A13597">
        <w:rPr>
          <w:rFonts w:ascii="Times New Roman" w:hAnsi="Times New Roman" w:cs="Times New Roman"/>
        </w:rPr>
        <w:lastRenderedPageBreak/>
        <w:t xml:space="preserve">para as quais o saneamento básico seja fator determinante; g) eficiência e sustentabilidade econômica; h) utilização de tecnologias apropriadas, considerando a capacidade de pagamento dos usuários e a adoção de soluções graduais e progressivas; i) transparência das ações, baseada em sistemas de informações e processos decisórios institucionalizados; j) controle social; l) segurança, qualidade e regularidade; m) integração das infraestruturas e serviços com a gestão eficiente dos recursos hídricos. </w:t>
      </w:r>
    </w:p>
    <w:p w:rsidR="00192DB6" w:rsidRPr="00A13597" w:rsidRDefault="00192DB6" w:rsidP="00CE7367">
      <w:pPr>
        <w:pStyle w:val="CM72"/>
        <w:spacing w:line="360" w:lineRule="auto"/>
        <w:ind w:firstLine="708"/>
        <w:jc w:val="both"/>
        <w:rPr>
          <w:rFonts w:ascii="Times New Roman" w:hAnsi="Times New Roman" w:cs="Times New Roman"/>
        </w:rPr>
      </w:pPr>
      <w:r w:rsidRPr="00A13597">
        <w:rPr>
          <w:rFonts w:ascii="Times New Roman" w:hAnsi="Times New Roman" w:cs="Times New Roman"/>
        </w:rPr>
        <w:t xml:space="preserve">Dados do SNIS, apresentados pelo Instituto Trata Brasil, com a colaboração e pesquisa da Fundação Getúlio Vargas (2010), mostram que, a despeito de avanços verificados na regulamentação do setor e no volume de investimentos, os desafios do saneamento básico ainda são enormes no Brasil, em especial no que diz respeito aos serviços de esgotamento sanitário. Assim, enquanto o índice de atendimento da população no abastecimento de água atingiu 81,2% em 2008, o atendimento na coleta de esgoto foi de apenas 43,2%. O déficit em saneamento pode ser estimado em aproximadamente 114 milhões de habitantes no caso do esgotamento sanitário e 43 milhões no abastecimento de água. </w:t>
      </w:r>
    </w:p>
    <w:p w:rsidR="00192DB6" w:rsidRPr="00A13597" w:rsidRDefault="00192DB6" w:rsidP="00CE7367">
      <w:pPr>
        <w:pStyle w:val="CM72"/>
        <w:spacing w:line="360" w:lineRule="auto"/>
        <w:ind w:firstLine="708"/>
        <w:jc w:val="both"/>
        <w:rPr>
          <w:rFonts w:ascii="Times New Roman" w:hAnsi="Times New Roman" w:cs="Times New Roman"/>
        </w:rPr>
      </w:pPr>
      <w:r w:rsidRPr="00A13597">
        <w:rPr>
          <w:rFonts w:ascii="Times New Roman" w:hAnsi="Times New Roman" w:cs="Times New Roman"/>
        </w:rPr>
        <w:t>No que diz respeito à coleta de esgotos, o quadro é precário mesmo na área urbana, uma vez que apenas metade (50,6%) da população é atendida; além do fato de que apenas 34,6% do volume de esgoto coletado recebe tratamento.</w:t>
      </w:r>
    </w:p>
    <w:p w:rsidR="00192DB6" w:rsidRPr="00A13597" w:rsidRDefault="00192DB6" w:rsidP="00CE7367">
      <w:pPr>
        <w:pStyle w:val="CM72"/>
        <w:spacing w:line="360" w:lineRule="auto"/>
        <w:ind w:firstLine="708"/>
        <w:jc w:val="both"/>
        <w:rPr>
          <w:rFonts w:ascii="Times New Roman" w:hAnsi="Times New Roman" w:cs="Times New Roman"/>
        </w:rPr>
      </w:pPr>
      <w:r w:rsidRPr="00A13597">
        <w:rPr>
          <w:rFonts w:ascii="Times New Roman" w:hAnsi="Times New Roman" w:cs="Times New Roman"/>
        </w:rPr>
        <w:t>A gravidade da questão do saneamento é mais intensa no meio rural, em função do padrão atual de uso da terra sobre a qualidade das águas, que tende a ser agravada por condições inadequadas de esgotamento doméstico, com riscos crescentes para as condições de saúde da população (DRZ, 2009).</w:t>
      </w:r>
    </w:p>
    <w:p w:rsidR="00192DB6" w:rsidRPr="00A13597" w:rsidRDefault="00192DB6" w:rsidP="00CE7367">
      <w:pPr>
        <w:pStyle w:val="CM72"/>
        <w:spacing w:line="360" w:lineRule="auto"/>
        <w:ind w:firstLine="708"/>
        <w:jc w:val="both"/>
        <w:rPr>
          <w:rFonts w:ascii="Times New Roman" w:hAnsi="Times New Roman" w:cs="Times New Roman"/>
        </w:rPr>
      </w:pPr>
      <w:r w:rsidRPr="00A13597">
        <w:rPr>
          <w:rFonts w:ascii="Times New Roman" w:hAnsi="Times New Roman" w:cs="Times New Roman"/>
        </w:rPr>
        <w:t>É certo que a regulamentação do setor é recente e que muitos investimentos ainda não puderam ser colocados em prática em razão de entraves antigos, o que reflete a importância do engajamento da sociedade brasileira e de todos os níveis de governo sobre a questão em pauta.</w:t>
      </w:r>
    </w:p>
    <w:p w:rsidR="00192DB6" w:rsidRPr="00A13597" w:rsidRDefault="00192DB6" w:rsidP="00CE7367">
      <w:pPr>
        <w:pStyle w:val="CM72"/>
        <w:spacing w:line="360" w:lineRule="auto"/>
        <w:ind w:firstLine="709"/>
        <w:jc w:val="both"/>
        <w:rPr>
          <w:rFonts w:ascii="Times New Roman" w:hAnsi="Times New Roman" w:cs="Times New Roman"/>
        </w:rPr>
      </w:pPr>
      <w:r w:rsidRPr="00A13597">
        <w:rPr>
          <w:rFonts w:ascii="Times New Roman" w:hAnsi="Times New Roman" w:cs="Times New Roman"/>
        </w:rPr>
        <w:t xml:space="preserve">Para conhecer o que pensa o brasileiro sobre o saneamento básico, sua importância para a vida, os impactos da ausência dos serviços de água tratada, coleta e tratamento dos esgotos, bem como a visão quanto à responsabilidade das autoridades foi realizada pelo Instituto Trata Brasil e IBOPE uma pesquisa em 26 cidades, com mais de 300 mil habitantes, </w:t>
      </w:r>
      <w:r w:rsidRPr="00A13597">
        <w:rPr>
          <w:rFonts w:ascii="Times New Roman" w:hAnsi="Times New Roman" w:cs="Times New Roman"/>
        </w:rPr>
        <w:lastRenderedPageBreak/>
        <w:t>junto a 1</w:t>
      </w:r>
      <w:r w:rsidR="00DC7CD7">
        <w:rPr>
          <w:rFonts w:ascii="Times New Roman" w:hAnsi="Times New Roman" w:cs="Times New Roman"/>
        </w:rPr>
        <w:t>.</w:t>
      </w:r>
      <w:r w:rsidRPr="00A13597">
        <w:rPr>
          <w:rFonts w:ascii="Times New Roman" w:hAnsi="Times New Roman" w:cs="Times New Roman"/>
        </w:rPr>
        <w:t xml:space="preserve">008 pessoas, no período de 24 a 29 de março de 2012, com a prevalência de mulheres (55%), da classe C (54%), com idades acima dos 30 anos e com grau de instrução do ensino fundamental. Resultados mostraram que a população conhece o tema e reconhece os impactos negativos da falta de saneamento; mas, mesmo assim, não dá prioridade; isto é, não relacionam diretamente Saneamento com Saúde, não se engajando para cobrar melhorias e depositando no Poder Público toda </w:t>
      </w:r>
      <w:r w:rsidR="00DC7CD7">
        <w:rPr>
          <w:rFonts w:ascii="Times New Roman" w:hAnsi="Times New Roman" w:cs="Times New Roman"/>
        </w:rPr>
        <w:t xml:space="preserve">a </w:t>
      </w:r>
      <w:r w:rsidRPr="00A13597">
        <w:rPr>
          <w:rFonts w:ascii="Times New Roman" w:hAnsi="Times New Roman" w:cs="Times New Roman"/>
        </w:rPr>
        <w:t>responsabilidade com o saneamento básico. A administração pública, por sua vez, também não tem esta área como prioritária, desconsiderando os impactos positivos trazidos pelos investimentos em saneamento nos demais setores da cidade (TRATA BRASIL; IBOPE, 2012).</w:t>
      </w:r>
    </w:p>
    <w:p w:rsidR="00192DB6" w:rsidRPr="00A13597" w:rsidRDefault="00192DB6" w:rsidP="00CE7367">
      <w:pPr>
        <w:pStyle w:val="CM72"/>
        <w:spacing w:line="360" w:lineRule="auto"/>
        <w:ind w:firstLine="708"/>
        <w:jc w:val="both"/>
        <w:rPr>
          <w:rFonts w:ascii="Times New Roman" w:hAnsi="Times New Roman" w:cs="Times New Roman"/>
        </w:rPr>
      </w:pPr>
      <w:r w:rsidRPr="00A13597">
        <w:rPr>
          <w:rFonts w:ascii="Times New Roman" w:hAnsi="Times New Roman" w:cs="Times New Roman"/>
        </w:rPr>
        <w:t xml:space="preserve">Há, portanto, um longo caminho a ser percorrido para que haja uma maior conscientização da sociedade sobre os benefícios do saneamento e para que o país dê conta de reduzir suas carências, em termos de infraestruturas. </w:t>
      </w:r>
    </w:p>
    <w:p w:rsidR="00192DB6" w:rsidRDefault="00CE7367" w:rsidP="00971B37">
      <w:pPr>
        <w:pStyle w:val="Titulo"/>
      </w:pPr>
      <w:bookmarkStart w:id="97" w:name="_Toc372559053"/>
      <w:bookmarkStart w:id="98" w:name="_Toc372789493"/>
      <w:r>
        <w:t xml:space="preserve">8.2 </w:t>
      </w:r>
      <w:r w:rsidRPr="003010F2">
        <w:t>Metodologia</w:t>
      </w:r>
      <w:bookmarkEnd w:id="97"/>
      <w:bookmarkEnd w:id="98"/>
    </w:p>
    <w:p w:rsidR="00192DB6" w:rsidRPr="00A13597" w:rsidRDefault="00192DB6" w:rsidP="006E216B">
      <w:pPr>
        <w:pStyle w:val="CM72"/>
        <w:spacing w:line="360" w:lineRule="auto"/>
        <w:ind w:firstLine="709"/>
        <w:jc w:val="both"/>
        <w:rPr>
          <w:rFonts w:ascii="Times New Roman" w:hAnsi="Times New Roman" w:cs="Times New Roman"/>
        </w:rPr>
      </w:pPr>
      <w:r w:rsidRPr="00A13597">
        <w:rPr>
          <w:rFonts w:ascii="Times New Roman" w:hAnsi="Times New Roman" w:cs="Times New Roman"/>
        </w:rPr>
        <w:t>A pesquisa sobre o cenário demográfico econômico e sociocultural do município de Aimorés/MG, de natureza descritiva e exploratória, está fundamentada na abordagem interdisciplinar, uma vez que a mesma permite obter um panorama das inter-relações e interdependências entre os três aspectos da realidade local, permitindo também compreender os mecanismos que são orientadores e condicionantes da reprodução dos sistemas naturais e sociais.</w:t>
      </w:r>
    </w:p>
    <w:p w:rsidR="00192DB6" w:rsidRPr="00A13597" w:rsidRDefault="00192DB6" w:rsidP="006E216B">
      <w:pPr>
        <w:pStyle w:val="CM72"/>
        <w:spacing w:line="360" w:lineRule="auto"/>
        <w:ind w:firstLine="708"/>
        <w:jc w:val="both"/>
        <w:rPr>
          <w:rFonts w:ascii="Times New Roman" w:hAnsi="Times New Roman" w:cs="Times New Roman"/>
        </w:rPr>
      </w:pPr>
      <w:r w:rsidRPr="00A13597">
        <w:rPr>
          <w:rFonts w:ascii="Times New Roman" w:hAnsi="Times New Roman" w:cs="Times New Roman"/>
        </w:rPr>
        <w:t>Para tanto, foi feito uso da pesquisa bibliográfica, com levantamento de dados censitários e documentais, visando o reconhecimento da realidade, no que concerne aos aspectos físicos e humanos, grupos e instituições locais, diretamente relacionados com a dinâmica do território e suas territorialidades.</w:t>
      </w:r>
    </w:p>
    <w:p w:rsidR="00192DB6" w:rsidRPr="00A13597" w:rsidRDefault="00192DB6" w:rsidP="006E216B">
      <w:pPr>
        <w:pStyle w:val="CM72"/>
        <w:spacing w:line="360" w:lineRule="auto"/>
        <w:ind w:firstLine="708"/>
        <w:jc w:val="both"/>
        <w:rPr>
          <w:rFonts w:ascii="Times New Roman" w:hAnsi="Times New Roman" w:cs="Times New Roman"/>
        </w:rPr>
      </w:pPr>
      <w:r w:rsidRPr="00A13597">
        <w:rPr>
          <w:rFonts w:ascii="Times New Roman" w:hAnsi="Times New Roman" w:cs="Times New Roman"/>
        </w:rPr>
        <w:t xml:space="preserve">As variáveis referentes aos aspectos demográficos, econômicos e socioculturais compreenderam as seguintes informações gerais sobre o município de Aimorés/MG: a) Aspectos demográficos (dados populacionais, estrutura etária, densidade demográfica, dentre outros); </w:t>
      </w:r>
      <w:r w:rsidR="006E216B">
        <w:rPr>
          <w:rFonts w:ascii="Times New Roman" w:hAnsi="Times New Roman" w:cs="Times New Roman"/>
        </w:rPr>
        <w:t>b</w:t>
      </w:r>
      <w:r w:rsidRPr="00A13597">
        <w:rPr>
          <w:rFonts w:ascii="Times New Roman" w:hAnsi="Times New Roman" w:cs="Times New Roman"/>
        </w:rPr>
        <w:t xml:space="preserve">) Levantamento de dados sobre o Habitat Familiar e infraestruturas disponíveis; </w:t>
      </w:r>
      <w:r w:rsidR="006E216B">
        <w:rPr>
          <w:rFonts w:ascii="Times New Roman" w:hAnsi="Times New Roman" w:cs="Times New Roman"/>
        </w:rPr>
        <w:t>c</w:t>
      </w:r>
      <w:r w:rsidRPr="00A13597">
        <w:rPr>
          <w:rFonts w:ascii="Times New Roman" w:hAnsi="Times New Roman" w:cs="Times New Roman"/>
        </w:rPr>
        <w:t xml:space="preserve">) Condições de produção, emprego, renda, pobreza e desigualdade; </w:t>
      </w:r>
      <w:r w:rsidR="006E216B">
        <w:rPr>
          <w:rFonts w:ascii="Times New Roman" w:hAnsi="Times New Roman" w:cs="Times New Roman"/>
        </w:rPr>
        <w:t>d</w:t>
      </w:r>
      <w:r w:rsidRPr="00A13597">
        <w:rPr>
          <w:rFonts w:ascii="Times New Roman" w:hAnsi="Times New Roman" w:cs="Times New Roman"/>
        </w:rPr>
        <w:t xml:space="preserve">) Acesso ao conhecimento, nível, capacidade e índice de desenvolvimento do sistema educacional; </w:t>
      </w:r>
      <w:r w:rsidR="006E216B">
        <w:rPr>
          <w:rFonts w:ascii="Times New Roman" w:hAnsi="Times New Roman" w:cs="Times New Roman"/>
        </w:rPr>
        <w:t>e</w:t>
      </w:r>
      <w:r w:rsidRPr="00A13597">
        <w:rPr>
          <w:rFonts w:ascii="Times New Roman" w:hAnsi="Times New Roman" w:cs="Times New Roman"/>
        </w:rPr>
        <w:t xml:space="preserve">) Descrição da situação e indicadores de saúde; </w:t>
      </w:r>
      <w:r w:rsidR="006E216B">
        <w:rPr>
          <w:rFonts w:ascii="Times New Roman" w:hAnsi="Times New Roman" w:cs="Times New Roman"/>
        </w:rPr>
        <w:t>f</w:t>
      </w:r>
      <w:r w:rsidRPr="00A13597">
        <w:rPr>
          <w:rFonts w:ascii="Times New Roman" w:hAnsi="Times New Roman" w:cs="Times New Roman"/>
        </w:rPr>
        <w:t xml:space="preserve">) Informações sobre a vulnerabilidade e </w:t>
      </w:r>
      <w:r w:rsidRPr="00A13597">
        <w:rPr>
          <w:rFonts w:ascii="Times New Roman" w:hAnsi="Times New Roman" w:cs="Times New Roman"/>
        </w:rPr>
        <w:lastRenderedPageBreak/>
        <w:t xml:space="preserve">assistência social; </w:t>
      </w:r>
      <w:r w:rsidR="006E216B">
        <w:rPr>
          <w:rFonts w:ascii="Times New Roman" w:hAnsi="Times New Roman" w:cs="Times New Roman"/>
        </w:rPr>
        <w:t>g</w:t>
      </w:r>
      <w:r w:rsidRPr="00A13597">
        <w:rPr>
          <w:rFonts w:ascii="Times New Roman" w:hAnsi="Times New Roman" w:cs="Times New Roman"/>
        </w:rPr>
        <w:t xml:space="preserve">) Índice de Desenvolvimento Humano – IDH; </w:t>
      </w:r>
      <w:r w:rsidR="006E216B">
        <w:rPr>
          <w:rFonts w:ascii="Times New Roman" w:hAnsi="Times New Roman" w:cs="Times New Roman"/>
        </w:rPr>
        <w:t>h</w:t>
      </w:r>
      <w:r w:rsidRPr="00A13597">
        <w:rPr>
          <w:rFonts w:ascii="Times New Roman" w:hAnsi="Times New Roman" w:cs="Times New Roman"/>
        </w:rPr>
        <w:t xml:space="preserve">) Estado da cultura, esporte, turismo e lazer; </w:t>
      </w:r>
      <w:r w:rsidR="006E216B">
        <w:rPr>
          <w:rFonts w:ascii="Times New Roman" w:hAnsi="Times New Roman" w:cs="Times New Roman"/>
        </w:rPr>
        <w:t>i</w:t>
      </w:r>
      <w:r w:rsidRPr="00A13597">
        <w:rPr>
          <w:rFonts w:ascii="Times New Roman" w:hAnsi="Times New Roman" w:cs="Times New Roman"/>
        </w:rPr>
        <w:t xml:space="preserve">) Dimensionamento da segurança pública, em termos dos indicadores de criminalidade e esforços de gestão para a administração desse fenômeno; </w:t>
      </w:r>
      <w:r w:rsidR="006E216B">
        <w:rPr>
          <w:rFonts w:ascii="Times New Roman" w:hAnsi="Times New Roman" w:cs="Times New Roman"/>
        </w:rPr>
        <w:t>j</w:t>
      </w:r>
      <w:r w:rsidRPr="00A13597">
        <w:rPr>
          <w:rFonts w:ascii="Times New Roman" w:hAnsi="Times New Roman" w:cs="Times New Roman"/>
        </w:rPr>
        <w:t>) Situação das finanças públicas e Índice de Responsabilidade Social.</w:t>
      </w:r>
    </w:p>
    <w:p w:rsidR="00192DB6" w:rsidRPr="00A13597" w:rsidRDefault="00192DB6" w:rsidP="006E216B">
      <w:pPr>
        <w:pStyle w:val="CM72"/>
        <w:spacing w:line="360" w:lineRule="auto"/>
        <w:ind w:firstLine="708"/>
        <w:jc w:val="both"/>
        <w:rPr>
          <w:rFonts w:ascii="Times New Roman" w:hAnsi="Times New Roman" w:cs="Times New Roman"/>
        </w:rPr>
      </w:pPr>
      <w:r w:rsidRPr="00A13597">
        <w:rPr>
          <w:rFonts w:ascii="Times New Roman" w:hAnsi="Times New Roman" w:cs="Times New Roman"/>
        </w:rPr>
        <w:t xml:space="preserve">Os dados foram examinados por meio da estatística descritiva, através de análises gráficas e tabulares. </w:t>
      </w:r>
    </w:p>
    <w:p w:rsidR="00192DB6" w:rsidRPr="00CE7367" w:rsidRDefault="00CE7367" w:rsidP="00971B37">
      <w:pPr>
        <w:pStyle w:val="Titulo"/>
      </w:pPr>
      <w:bookmarkStart w:id="99" w:name="_Toc372559054"/>
      <w:bookmarkStart w:id="100" w:name="_Toc372789494"/>
      <w:r w:rsidRPr="00213AEB">
        <w:t>8.3 Aspectos Demográficos, Econômicos e Socioculturais</w:t>
      </w:r>
      <w:bookmarkEnd w:id="99"/>
      <w:bookmarkEnd w:id="100"/>
    </w:p>
    <w:p w:rsidR="00192DB6" w:rsidRPr="00BE408D" w:rsidRDefault="008E169C" w:rsidP="00971B37">
      <w:pPr>
        <w:pStyle w:val="Titulo"/>
      </w:pPr>
      <w:bookmarkStart w:id="101" w:name="_Toc372559055"/>
      <w:bookmarkStart w:id="102" w:name="_Toc372789495"/>
      <w:r>
        <w:t xml:space="preserve">8.3.1 </w:t>
      </w:r>
      <w:r w:rsidR="00192DB6" w:rsidRPr="00BE408D">
        <w:t xml:space="preserve">Aspectos </w:t>
      </w:r>
      <w:r w:rsidR="00192DB6">
        <w:t>D</w:t>
      </w:r>
      <w:r w:rsidR="00192DB6" w:rsidRPr="00BE408D">
        <w:t>emográficos</w:t>
      </w:r>
      <w:bookmarkEnd w:id="101"/>
      <w:bookmarkEnd w:id="102"/>
      <w:r w:rsidR="00192DB6">
        <w:t xml:space="preserve"> </w:t>
      </w:r>
    </w:p>
    <w:p w:rsidR="00192DB6" w:rsidRPr="00A13597" w:rsidRDefault="00192DB6" w:rsidP="003F5401">
      <w:pPr>
        <w:pStyle w:val="CM72"/>
        <w:spacing w:line="360" w:lineRule="auto"/>
        <w:ind w:firstLine="709"/>
        <w:jc w:val="both"/>
        <w:rPr>
          <w:rFonts w:ascii="Times New Roman" w:hAnsi="Times New Roman" w:cs="Times New Roman"/>
        </w:rPr>
      </w:pPr>
      <w:r w:rsidRPr="00A13597">
        <w:rPr>
          <w:rFonts w:ascii="Times New Roman" w:hAnsi="Times New Roman" w:cs="Times New Roman"/>
        </w:rPr>
        <w:t xml:space="preserve">Minas Gerais é o segundo estado mais populoso do país, com mais de 20 milhões habitantes, que se distribui por 853 municípios, que correspondem a 51,2% dos existentes na região Sudeste e 15,5% do Brasil. Segundo estimativas do </w:t>
      </w:r>
      <w:hyperlink r:id="rId41" w:tooltip="Instituto Brasileiro de Geografia e Estatística" w:history="1">
        <w:r w:rsidRPr="00A13597">
          <w:rPr>
            <w:rFonts w:ascii="Times New Roman" w:hAnsi="Times New Roman" w:cs="Times New Roman"/>
          </w:rPr>
          <w:t>IBGE</w:t>
        </w:r>
      </w:hyperlink>
      <w:r w:rsidRPr="00A13597">
        <w:rPr>
          <w:rFonts w:ascii="Times New Roman" w:hAnsi="Times New Roman" w:cs="Times New Roman"/>
        </w:rPr>
        <w:t xml:space="preserve"> (2013), o Estado de Minas Gerais possui uma população de 20,5 milhões de habitantes, enquanto o Município de Aimorés conta com 25</w:t>
      </w:r>
      <w:r w:rsidR="00CE7367">
        <w:rPr>
          <w:rFonts w:ascii="Times New Roman" w:hAnsi="Times New Roman" w:cs="Times New Roman"/>
        </w:rPr>
        <w:t>.</w:t>
      </w:r>
      <w:r w:rsidRPr="00A13597">
        <w:rPr>
          <w:rFonts w:ascii="Times New Roman" w:hAnsi="Times New Roman" w:cs="Times New Roman"/>
        </w:rPr>
        <w:t xml:space="preserve">675 habitantes, participando apenas com 1,25% desta população. </w:t>
      </w:r>
    </w:p>
    <w:p w:rsidR="00192DB6" w:rsidRDefault="00192DB6" w:rsidP="00CE7367">
      <w:pPr>
        <w:pStyle w:val="CM72"/>
        <w:spacing w:line="360" w:lineRule="auto"/>
        <w:ind w:firstLine="709"/>
        <w:jc w:val="both"/>
        <w:rPr>
          <w:rFonts w:ascii="Times New Roman" w:hAnsi="Times New Roman" w:cs="Times New Roman"/>
        </w:rPr>
      </w:pPr>
      <w:r w:rsidRPr="00A13597">
        <w:rPr>
          <w:rFonts w:ascii="Times New Roman" w:hAnsi="Times New Roman" w:cs="Times New Roman"/>
        </w:rPr>
        <w:t xml:space="preserve">De acordo com dados do </w:t>
      </w:r>
      <w:hyperlink r:id="rId42" w:tooltip="Instituto Brasileiro de Geografia e Estatística" w:history="1">
        <w:r w:rsidRPr="00A13597">
          <w:rPr>
            <w:rFonts w:ascii="Times New Roman" w:hAnsi="Times New Roman" w:cs="Times New Roman"/>
          </w:rPr>
          <w:t>Instituto Brasileiro de Geografia e Estatística</w:t>
        </w:r>
      </w:hyperlink>
      <w:r w:rsidRPr="00A13597">
        <w:rPr>
          <w:rFonts w:ascii="Times New Roman" w:hAnsi="Times New Roman" w:cs="Times New Roman"/>
        </w:rPr>
        <w:t xml:space="preserve"> (IBGE, 2001), a população do município foi contada em 2000, em 25</w:t>
      </w:r>
      <w:r w:rsidR="00A11184">
        <w:rPr>
          <w:rFonts w:ascii="Times New Roman" w:hAnsi="Times New Roman" w:cs="Times New Roman"/>
        </w:rPr>
        <w:t>.</w:t>
      </w:r>
      <w:r w:rsidRPr="00A13597">
        <w:rPr>
          <w:rFonts w:ascii="Times New Roman" w:hAnsi="Times New Roman" w:cs="Times New Roman"/>
        </w:rPr>
        <w:t xml:space="preserve">105 habitantes, concentrados principalmente na Sede, com 4014 domicílios particulares, sendo o </w:t>
      </w:r>
      <w:r w:rsidR="00A11184" w:rsidRPr="00A13597">
        <w:rPr>
          <w:rFonts w:ascii="Times New Roman" w:hAnsi="Times New Roman" w:cs="Times New Roman"/>
        </w:rPr>
        <w:t>número</w:t>
      </w:r>
      <w:r w:rsidRPr="00A13597">
        <w:rPr>
          <w:rFonts w:ascii="Times New Roman" w:hAnsi="Times New Roman" w:cs="Times New Roman"/>
        </w:rPr>
        <w:t xml:space="preserve"> de habitantes do sexo feminino (51,3%) superior ao masculino (Quadro </w:t>
      </w:r>
      <w:r w:rsidR="006A43ED">
        <w:rPr>
          <w:rFonts w:ascii="Times New Roman" w:hAnsi="Times New Roman" w:cs="Times New Roman"/>
        </w:rPr>
        <w:t>5</w:t>
      </w:r>
      <w:r w:rsidRPr="00A13597">
        <w:rPr>
          <w:rFonts w:ascii="Times New Roman" w:hAnsi="Times New Roman" w:cs="Times New Roman"/>
        </w:rPr>
        <w:t>).</w:t>
      </w:r>
    </w:p>
    <w:p w:rsidR="00CE7367" w:rsidRPr="00A13597" w:rsidRDefault="00CE7367" w:rsidP="00CE7367">
      <w:pPr>
        <w:pStyle w:val="CM72"/>
        <w:spacing w:line="360" w:lineRule="auto"/>
        <w:ind w:firstLine="709"/>
        <w:jc w:val="both"/>
        <w:rPr>
          <w:rFonts w:ascii="Times New Roman" w:hAnsi="Times New Roman" w:cs="Times New Roman"/>
        </w:rPr>
      </w:pPr>
      <w:r w:rsidRPr="00A13597">
        <w:rPr>
          <w:rFonts w:ascii="Times New Roman" w:hAnsi="Times New Roman" w:cs="Times New Roman"/>
        </w:rPr>
        <w:t>A taxa de urbanização cresceu 9,29, passando de 68,39% em 1991 para 74,74% em 2000; encontrando-se atualmente em 78,9%.</w:t>
      </w:r>
    </w:p>
    <w:p w:rsidR="00CE7367" w:rsidRDefault="00CE7367">
      <w:pPr>
        <w:spacing w:after="200" w:line="276" w:lineRule="auto"/>
        <w:rPr>
          <w:rFonts w:eastAsia="Times New Roman" w:cs="Times New Roman"/>
          <w:bCs/>
          <w:szCs w:val="24"/>
          <w:lang w:eastAsia="pt-BR"/>
        </w:rPr>
      </w:pPr>
      <w:bookmarkStart w:id="103" w:name="_Toc372117065"/>
      <w:r>
        <w:rPr>
          <w:rFonts w:eastAsia="Times New Roman"/>
        </w:rPr>
        <w:br w:type="page"/>
      </w:r>
    </w:p>
    <w:p w:rsidR="003419B4" w:rsidRPr="003357A0" w:rsidRDefault="00B02273" w:rsidP="00B02273">
      <w:pPr>
        <w:pStyle w:val="Legenda"/>
      </w:pPr>
      <w:bookmarkStart w:id="104" w:name="_Toc372740511"/>
      <w:bookmarkEnd w:id="103"/>
      <w:r>
        <w:lastRenderedPageBreak/>
        <w:t xml:space="preserve">Quadro </w:t>
      </w:r>
      <w:fldSimple w:instr=" SEQ Quadro \* ARABIC ">
        <w:r w:rsidR="004F77E2">
          <w:rPr>
            <w:noProof/>
          </w:rPr>
          <w:t>5</w:t>
        </w:r>
      </w:fldSimple>
      <w:r>
        <w:t xml:space="preserve"> - </w:t>
      </w:r>
      <w:r w:rsidRPr="00D43C03">
        <w:rPr>
          <w:noProof/>
        </w:rPr>
        <w:t>Relação dos Habitante por sexo e domicílios dos Distritos do Município de Aimorés, Minas Gerais, 2001</w:t>
      </w:r>
      <w:r>
        <w:rPr>
          <w:noProof/>
        </w:rPr>
        <w:t>.</w:t>
      </w:r>
      <w:bookmarkEnd w:id="104"/>
    </w:p>
    <w:tbl>
      <w:tblPr>
        <w:tblStyle w:val="Tabelacomgrade"/>
        <w:tblW w:w="8505" w:type="dxa"/>
        <w:tblInd w:w="108" w:type="dxa"/>
        <w:tblLayout w:type="fixed"/>
        <w:tblLook w:val="04A0" w:firstRow="1" w:lastRow="0" w:firstColumn="1" w:lastColumn="0" w:noHBand="0" w:noVBand="1"/>
      </w:tblPr>
      <w:tblGrid>
        <w:gridCol w:w="3402"/>
        <w:gridCol w:w="1276"/>
        <w:gridCol w:w="1276"/>
        <w:gridCol w:w="992"/>
        <w:gridCol w:w="1559"/>
      </w:tblGrid>
      <w:tr w:rsidR="00192DB6" w:rsidRPr="00CE7367" w:rsidTr="003419B4">
        <w:trPr>
          <w:trHeight w:val="454"/>
        </w:trPr>
        <w:tc>
          <w:tcPr>
            <w:tcW w:w="3402" w:type="dxa"/>
            <w:vMerge w:val="restart"/>
            <w:tcBorders>
              <w:top w:val="single" w:sz="12" w:space="0" w:color="auto"/>
              <w:left w:val="single" w:sz="12" w:space="0" w:color="auto"/>
              <w:right w:val="single" w:sz="12" w:space="0" w:color="auto"/>
            </w:tcBorders>
            <w:shd w:val="clear" w:color="auto" w:fill="D9D9D9" w:themeFill="background1" w:themeFillShade="D9"/>
            <w:vAlign w:val="center"/>
          </w:tcPr>
          <w:p w:rsidR="00192DB6" w:rsidRPr="00CE7367" w:rsidRDefault="00192DB6" w:rsidP="00CE7367">
            <w:pPr>
              <w:spacing w:before="120" w:after="120" w:line="240" w:lineRule="auto"/>
              <w:jc w:val="center"/>
              <w:rPr>
                <w:rFonts w:cs="Times New Roman"/>
                <w:b/>
                <w:szCs w:val="24"/>
              </w:rPr>
            </w:pPr>
            <w:r w:rsidRPr="00CE7367">
              <w:rPr>
                <w:rFonts w:cs="Times New Roman"/>
                <w:b/>
                <w:szCs w:val="24"/>
              </w:rPr>
              <w:t>Distrito</w:t>
            </w:r>
          </w:p>
        </w:tc>
        <w:tc>
          <w:tcPr>
            <w:tcW w:w="3544" w:type="dxa"/>
            <w:gridSpan w:val="3"/>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92DB6" w:rsidRPr="00CE7367" w:rsidRDefault="00192DB6" w:rsidP="00CE7367">
            <w:pPr>
              <w:spacing w:before="120" w:after="120" w:line="240" w:lineRule="auto"/>
              <w:jc w:val="center"/>
              <w:rPr>
                <w:rFonts w:cs="Times New Roman"/>
                <w:b/>
                <w:szCs w:val="24"/>
              </w:rPr>
            </w:pPr>
            <w:r w:rsidRPr="00CE7367">
              <w:rPr>
                <w:rFonts w:cs="Times New Roman"/>
                <w:b/>
                <w:szCs w:val="24"/>
              </w:rPr>
              <w:t>Habitantes</w:t>
            </w:r>
          </w:p>
        </w:tc>
        <w:tc>
          <w:tcPr>
            <w:tcW w:w="155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92DB6" w:rsidRPr="00CE7367" w:rsidRDefault="00192DB6" w:rsidP="00CE7367">
            <w:pPr>
              <w:spacing w:before="120" w:after="120" w:line="240" w:lineRule="auto"/>
              <w:jc w:val="center"/>
              <w:rPr>
                <w:rFonts w:cs="Times New Roman"/>
                <w:b/>
                <w:szCs w:val="24"/>
              </w:rPr>
            </w:pPr>
            <w:r w:rsidRPr="00CE7367">
              <w:rPr>
                <w:rFonts w:cs="Times New Roman"/>
                <w:b/>
                <w:szCs w:val="24"/>
              </w:rPr>
              <w:t>Domicílios</w:t>
            </w:r>
          </w:p>
        </w:tc>
      </w:tr>
      <w:tr w:rsidR="00192DB6" w:rsidRPr="00CE7367" w:rsidTr="003419B4">
        <w:trPr>
          <w:trHeight w:val="510"/>
        </w:trPr>
        <w:tc>
          <w:tcPr>
            <w:tcW w:w="3402"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192DB6" w:rsidRPr="00CE7367" w:rsidRDefault="00192DB6" w:rsidP="00CE7367">
            <w:pPr>
              <w:spacing w:before="120" w:after="120" w:line="240" w:lineRule="auto"/>
              <w:jc w:val="center"/>
              <w:rPr>
                <w:rFonts w:cs="Times New Roman"/>
                <w:b/>
                <w:szCs w:val="24"/>
              </w:rPr>
            </w:pPr>
          </w:p>
        </w:tc>
        <w:tc>
          <w:tcPr>
            <w:tcW w:w="1276"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92DB6" w:rsidRPr="00CE7367" w:rsidRDefault="00192DB6" w:rsidP="00CE7367">
            <w:pPr>
              <w:spacing w:before="120" w:after="120" w:line="240" w:lineRule="auto"/>
              <w:jc w:val="center"/>
              <w:rPr>
                <w:rFonts w:cs="Times New Roman"/>
                <w:b/>
                <w:szCs w:val="24"/>
              </w:rPr>
            </w:pPr>
            <w:r w:rsidRPr="00CE7367">
              <w:rPr>
                <w:rFonts w:cs="Times New Roman"/>
                <w:b/>
                <w:szCs w:val="24"/>
              </w:rPr>
              <w:t>Homens</w:t>
            </w:r>
          </w:p>
        </w:tc>
        <w:tc>
          <w:tcPr>
            <w:tcW w:w="1276"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92DB6" w:rsidRPr="00CE7367" w:rsidRDefault="00192DB6" w:rsidP="00CE7367">
            <w:pPr>
              <w:spacing w:before="120" w:after="120" w:line="240" w:lineRule="auto"/>
              <w:jc w:val="center"/>
              <w:rPr>
                <w:rFonts w:cs="Times New Roman"/>
                <w:b/>
                <w:szCs w:val="24"/>
              </w:rPr>
            </w:pPr>
            <w:r w:rsidRPr="00CE7367">
              <w:rPr>
                <w:rFonts w:cs="Times New Roman"/>
                <w:b/>
                <w:szCs w:val="24"/>
              </w:rPr>
              <w:t>Mulheres</w:t>
            </w:r>
          </w:p>
        </w:tc>
        <w:tc>
          <w:tcPr>
            <w:tcW w:w="99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92DB6" w:rsidRPr="00CE7367" w:rsidRDefault="00192DB6" w:rsidP="00CE7367">
            <w:pPr>
              <w:spacing w:before="120" w:after="120" w:line="240" w:lineRule="auto"/>
              <w:jc w:val="center"/>
              <w:rPr>
                <w:rFonts w:cs="Times New Roman"/>
                <w:b/>
                <w:szCs w:val="24"/>
              </w:rPr>
            </w:pPr>
            <w:r w:rsidRPr="00CE7367">
              <w:rPr>
                <w:rFonts w:cs="Times New Roman"/>
                <w:b/>
                <w:szCs w:val="24"/>
              </w:rPr>
              <w:t>Total</w:t>
            </w:r>
          </w:p>
        </w:tc>
        <w:tc>
          <w:tcPr>
            <w:tcW w:w="155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192DB6" w:rsidRPr="00CE7367" w:rsidRDefault="00192DB6" w:rsidP="00CE7367">
            <w:pPr>
              <w:spacing w:before="120" w:after="120" w:line="240" w:lineRule="auto"/>
              <w:jc w:val="center"/>
              <w:rPr>
                <w:rFonts w:cs="Times New Roman"/>
                <w:b/>
                <w:szCs w:val="24"/>
              </w:rPr>
            </w:pPr>
            <w:r w:rsidRPr="00CE7367">
              <w:rPr>
                <w:rFonts w:cs="Times New Roman"/>
                <w:b/>
                <w:szCs w:val="24"/>
              </w:rPr>
              <w:t>Particulares</w:t>
            </w:r>
          </w:p>
        </w:tc>
      </w:tr>
      <w:tr w:rsidR="00192DB6" w:rsidRPr="00CE7367" w:rsidTr="003419B4">
        <w:trPr>
          <w:trHeight w:val="397"/>
        </w:trPr>
        <w:tc>
          <w:tcPr>
            <w:tcW w:w="3402" w:type="dxa"/>
            <w:tcBorders>
              <w:top w:val="single" w:sz="12" w:space="0" w:color="auto"/>
              <w:left w:val="single" w:sz="12" w:space="0" w:color="auto"/>
              <w:bottom w:val="single" w:sz="6" w:space="0" w:color="auto"/>
              <w:right w:val="single" w:sz="12" w:space="0" w:color="auto"/>
            </w:tcBorders>
            <w:vAlign w:val="center"/>
          </w:tcPr>
          <w:p w:rsidR="00192DB6" w:rsidRPr="00CE7367" w:rsidRDefault="004F77E2" w:rsidP="00CE7367">
            <w:pPr>
              <w:spacing w:before="120" w:after="120" w:line="240" w:lineRule="auto"/>
              <w:ind w:left="53"/>
              <w:rPr>
                <w:rFonts w:eastAsia="Times New Roman" w:cs="Times New Roman"/>
                <w:szCs w:val="24"/>
                <w:lang w:eastAsia="pt-BR"/>
              </w:rPr>
            </w:pPr>
            <w:hyperlink r:id="rId43" w:tooltip="Alto do Capim" w:history="1">
              <w:r w:rsidR="00192DB6" w:rsidRPr="00CE7367">
                <w:rPr>
                  <w:rFonts w:eastAsia="Times New Roman" w:cs="Times New Roman"/>
                  <w:szCs w:val="24"/>
                  <w:lang w:eastAsia="pt-BR"/>
                </w:rPr>
                <w:t>Alto do Capim</w:t>
              </w:r>
            </w:hyperlink>
          </w:p>
        </w:tc>
        <w:tc>
          <w:tcPr>
            <w:tcW w:w="1276" w:type="dxa"/>
            <w:tcBorders>
              <w:top w:val="single" w:sz="12"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776</w:t>
            </w:r>
          </w:p>
        </w:tc>
        <w:tc>
          <w:tcPr>
            <w:tcW w:w="1276" w:type="dxa"/>
            <w:tcBorders>
              <w:top w:val="single" w:sz="12"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713</w:t>
            </w:r>
          </w:p>
        </w:tc>
        <w:tc>
          <w:tcPr>
            <w:tcW w:w="992" w:type="dxa"/>
            <w:tcBorders>
              <w:top w:val="single" w:sz="12" w:space="0" w:color="auto"/>
              <w:left w:val="single" w:sz="12" w:space="0" w:color="auto"/>
              <w:bottom w:val="single" w:sz="6" w:space="0" w:color="auto"/>
              <w:right w:val="single" w:sz="12" w:space="0" w:color="auto"/>
            </w:tcBorders>
            <w:vAlign w:val="center"/>
          </w:tcPr>
          <w:p w:rsidR="00192DB6" w:rsidRPr="00CE7367" w:rsidRDefault="00192DB6" w:rsidP="006A43ED">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1</w:t>
            </w:r>
            <w:r w:rsidR="006A43ED">
              <w:rPr>
                <w:rFonts w:eastAsia="Times New Roman" w:cs="Times New Roman"/>
                <w:szCs w:val="24"/>
                <w:lang w:eastAsia="pt-BR"/>
              </w:rPr>
              <w:t>.</w:t>
            </w:r>
            <w:r w:rsidRPr="00CE7367">
              <w:rPr>
                <w:rFonts w:eastAsia="Times New Roman" w:cs="Times New Roman"/>
                <w:szCs w:val="24"/>
                <w:lang w:eastAsia="pt-BR"/>
              </w:rPr>
              <w:t>489</w:t>
            </w:r>
          </w:p>
        </w:tc>
        <w:tc>
          <w:tcPr>
            <w:tcW w:w="1559" w:type="dxa"/>
            <w:tcBorders>
              <w:top w:val="single" w:sz="12"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335</w:t>
            </w:r>
          </w:p>
        </w:tc>
      </w:tr>
      <w:tr w:rsidR="00192DB6" w:rsidRPr="00CE7367" w:rsidTr="003419B4">
        <w:trPr>
          <w:trHeight w:val="397"/>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CE7367" w:rsidRDefault="004F77E2" w:rsidP="00CE7367">
            <w:pPr>
              <w:spacing w:before="120" w:after="120" w:line="240" w:lineRule="auto"/>
              <w:ind w:left="53"/>
              <w:rPr>
                <w:rFonts w:eastAsia="Times New Roman" w:cs="Times New Roman"/>
                <w:szCs w:val="24"/>
                <w:lang w:eastAsia="pt-BR"/>
              </w:rPr>
            </w:pPr>
            <w:hyperlink r:id="rId44" w:tooltip="Conceição do Capim" w:history="1">
              <w:r w:rsidR="00192DB6" w:rsidRPr="00CE7367">
                <w:rPr>
                  <w:rFonts w:eastAsia="Times New Roman" w:cs="Times New Roman"/>
                  <w:szCs w:val="24"/>
                  <w:lang w:eastAsia="pt-BR"/>
                </w:rPr>
                <w:t>Conceição do Capim</w:t>
              </w:r>
            </w:hyperlink>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684</w:t>
            </w:r>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710</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6A43ED">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1</w:t>
            </w:r>
            <w:r w:rsidR="006A43ED">
              <w:rPr>
                <w:rFonts w:eastAsia="Times New Roman" w:cs="Times New Roman"/>
                <w:szCs w:val="24"/>
                <w:lang w:eastAsia="pt-BR"/>
              </w:rPr>
              <w:t>.</w:t>
            </w:r>
            <w:r w:rsidRPr="00CE7367">
              <w:rPr>
                <w:rFonts w:eastAsia="Times New Roman" w:cs="Times New Roman"/>
                <w:szCs w:val="24"/>
                <w:lang w:eastAsia="pt-BR"/>
              </w:rPr>
              <w:t>394</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415</w:t>
            </w:r>
          </w:p>
        </w:tc>
      </w:tr>
      <w:tr w:rsidR="00192DB6" w:rsidRPr="00CE7367" w:rsidTr="003419B4">
        <w:trPr>
          <w:trHeight w:val="397"/>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CE7367" w:rsidRDefault="004F77E2" w:rsidP="00CE7367">
            <w:pPr>
              <w:spacing w:before="120" w:after="120" w:line="240" w:lineRule="auto"/>
              <w:ind w:left="53"/>
              <w:rPr>
                <w:rFonts w:eastAsia="Times New Roman" w:cs="Times New Roman"/>
                <w:szCs w:val="24"/>
                <w:lang w:eastAsia="pt-BR"/>
              </w:rPr>
            </w:pPr>
            <w:hyperlink r:id="rId45" w:tooltip="Expedicionário Alício" w:history="1">
              <w:r w:rsidR="00192DB6" w:rsidRPr="00CE7367">
                <w:rPr>
                  <w:rFonts w:eastAsia="Times New Roman" w:cs="Times New Roman"/>
                  <w:szCs w:val="24"/>
                  <w:lang w:eastAsia="pt-BR"/>
                </w:rPr>
                <w:t>Expedicionário Alício</w:t>
              </w:r>
            </w:hyperlink>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446</w:t>
            </w:r>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460</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906</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261</w:t>
            </w:r>
          </w:p>
        </w:tc>
      </w:tr>
      <w:tr w:rsidR="00192DB6" w:rsidRPr="00CE7367" w:rsidTr="003419B4">
        <w:trPr>
          <w:trHeight w:val="397"/>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CE7367" w:rsidRDefault="004F77E2" w:rsidP="00CE7367">
            <w:pPr>
              <w:spacing w:before="120" w:after="120" w:line="240" w:lineRule="auto"/>
              <w:ind w:left="53"/>
              <w:rPr>
                <w:rFonts w:eastAsia="Times New Roman" w:cs="Times New Roman"/>
                <w:szCs w:val="24"/>
                <w:lang w:eastAsia="pt-BR"/>
              </w:rPr>
            </w:pPr>
            <w:hyperlink r:id="rId46" w:tooltip="Mundo Novo de Minas" w:history="1">
              <w:r w:rsidR="00192DB6" w:rsidRPr="00CE7367">
                <w:rPr>
                  <w:rFonts w:eastAsia="Times New Roman" w:cs="Times New Roman"/>
                  <w:szCs w:val="24"/>
                  <w:lang w:eastAsia="pt-BR"/>
                </w:rPr>
                <w:t>Mundo Novo de Minas</w:t>
              </w:r>
            </w:hyperlink>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511</w:t>
            </w:r>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464</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975</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279</w:t>
            </w:r>
          </w:p>
        </w:tc>
      </w:tr>
      <w:tr w:rsidR="00192DB6" w:rsidRPr="00CE7367" w:rsidTr="003419B4">
        <w:trPr>
          <w:trHeight w:val="397"/>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CE7367" w:rsidRDefault="004F77E2" w:rsidP="00CE7367">
            <w:pPr>
              <w:spacing w:before="120" w:after="120" w:line="240" w:lineRule="auto"/>
              <w:ind w:left="53"/>
              <w:rPr>
                <w:rFonts w:eastAsia="Times New Roman" w:cs="Times New Roman"/>
                <w:szCs w:val="24"/>
                <w:lang w:eastAsia="pt-BR"/>
              </w:rPr>
            </w:pPr>
            <w:hyperlink r:id="rId47" w:tooltip="Penha do Capim" w:history="1">
              <w:r w:rsidR="00192DB6" w:rsidRPr="00CE7367">
                <w:rPr>
                  <w:rFonts w:eastAsia="Times New Roman" w:cs="Times New Roman"/>
                  <w:szCs w:val="24"/>
                  <w:lang w:eastAsia="pt-BR"/>
                </w:rPr>
                <w:t>Penha do Capim</w:t>
              </w:r>
            </w:hyperlink>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681</w:t>
            </w:r>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677</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6A43ED">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1</w:t>
            </w:r>
            <w:r w:rsidR="006A43ED">
              <w:rPr>
                <w:rFonts w:eastAsia="Times New Roman" w:cs="Times New Roman"/>
                <w:szCs w:val="24"/>
                <w:lang w:eastAsia="pt-BR"/>
              </w:rPr>
              <w:t>.</w:t>
            </w:r>
            <w:r w:rsidRPr="00CE7367">
              <w:rPr>
                <w:rFonts w:eastAsia="Times New Roman" w:cs="Times New Roman"/>
                <w:szCs w:val="24"/>
                <w:lang w:eastAsia="pt-BR"/>
              </w:rPr>
              <w:t>358</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417</w:t>
            </w:r>
          </w:p>
        </w:tc>
      </w:tr>
      <w:tr w:rsidR="00192DB6" w:rsidRPr="00CE7367" w:rsidTr="003419B4">
        <w:trPr>
          <w:trHeight w:val="397"/>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CE7367" w:rsidRDefault="004F77E2" w:rsidP="00CE7367">
            <w:pPr>
              <w:spacing w:before="120" w:after="120" w:line="240" w:lineRule="auto"/>
              <w:ind w:left="53"/>
              <w:rPr>
                <w:rFonts w:eastAsia="Times New Roman" w:cs="Times New Roman"/>
                <w:szCs w:val="24"/>
                <w:lang w:eastAsia="pt-BR"/>
              </w:rPr>
            </w:pPr>
            <w:hyperlink r:id="rId48" w:tooltip="Santo Antônio do Rio Doce" w:history="1">
              <w:r w:rsidR="00192DB6" w:rsidRPr="00CE7367">
                <w:rPr>
                  <w:rFonts w:eastAsia="Times New Roman" w:cs="Times New Roman"/>
                  <w:szCs w:val="24"/>
                  <w:lang w:eastAsia="pt-BR"/>
                </w:rPr>
                <w:t>Santo Antônio do Rio Doce</w:t>
              </w:r>
            </w:hyperlink>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711</w:t>
            </w:r>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784</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6A43ED">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1</w:t>
            </w:r>
            <w:r w:rsidR="006A43ED">
              <w:rPr>
                <w:rFonts w:eastAsia="Times New Roman" w:cs="Times New Roman"/>
                <w:szCs w:val="24"/>
                <w:lang w:eastAsia="pt-BR"/>
              </w:rPr>
              <w:t>.</w:t>
            </w:r>
            <w:r w:rsidRPr="00CE7367">
              <w:rPr>
                <w:rFonts w:eastAsia="Times New Roman" w:cs="Times New Roman"/>
                <w:szCs w:val="24"/>
                <w:lang w:eastAsia="pt-BR"/>
              </w:rPr>
              <w:t>555</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451</w:t>
            </w:r>
          </w:p>
        </w:tc>
      </w:tr>
      <w:tr w:rsidR="00192DB6" w:rsidRPr="00CE7367" w:rsidTr="003419B4">
        <w:trPr>
          <w:trHeight w:val="397"/>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CE7367" w:rsidRDefault="004F77E2" w:rsidP="00CE7367">
            <w:pPr>
              <w:spacing w:before="120" w:after="120" w:line="240" w:lineRule="auto"/>
              <w:ind w:left="53"/>
              <w:rPr>
                <w:rFonts w:eastAsia="Times New Roman" w:cs="Times New Roman"/>
                <w:szCs w:val="24"/>
                <w:lang w:eastAsia="pt-BR"/>
              </w:rPr>
            </w:pPr>
            <w:hyperlink r:id="rId49" w:tooltip="São Sebastião da Vala" w:history="1">
              <w:r w:rsidR="00192DB6" w:rsidRPr="00CE7367">
                <w:rPr>
                  <w:rFonts w:eastAsia="Times New Roman" w:cs="Times New Roman"/>
                  <w:szCs w:val="24"/>
                  <w:lang w:eastAsia="pt-BR"/>
                </w:rPr>
                <w:t>São Sebastião da Vala</w:t>
              </w:r>
            </w:hyperlink>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969</w:t>
            </w:r>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953</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6A43ED">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1</w:t>
            </w:r>
            <w:r w:rsidR="006A43ED">
              <w:rPr>
                <w:rFonts w:eastAsia="Times New Roman" w:cs="Times New Roman"/>
                <w:szCs w:val="24"/>
                <w:lang w:eastAsia="pt-BR"/>
              </w:rPr>
              <w:t>.</w:t>
            </w:r>
            <w:r w:rsidRPr="00CE7367">
              <w:rPr>
                <w:rFonts w:eastAsia="Times New Roman" w:cs="Times New Roman"/>
                <w:szCs w:val="24"/>
                <w:lang w:eastAsia="pt-BR"/>
              </w:rPr>
              <w:t>922</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527</w:t>
            </w:r>
          </w:p>
        </w:tc>
      </w:tr>
      <w:tr w:rsidR="00192DB6" w:rsidRPr="00CE7367" w:rsidTr="003419B4">
        <w:trPr>
          <w:trHeight w:val="397"/>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ind w:left="53"/>
              <w:rPr>
                <w:rFonts w:eastAsia="Times New Roman" w:cs="Times New Roman"/>
                <w:szCs w:val="24"/>
                <w:lang w:eastAsia="pt-BR"/>
              </w:rPr>
            </w:pPr>
            <w:r w:rsidRPr="00CE7367">
              <w:rPr>
                <w:rFonts w:eastAsia="Times New Roman" w:cs="Times New Roman"/>
                <w:szCs w:val="24"/>
                <w:lang w:eastAsia="pt-BR"/>
              </w:rPr>
              <w:t>Sede</w:t>
            </w:r>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6A43ED">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6</w:t>
            </w:r>
            <w:r w:rsidR="006A43ED">
              <w:rPr>
                <w:rFonts w:eastAsia="Times New Roman" w:cs="Times New Roman"/>
                <w:szCs w:val="24"/>
                <w:lang w:eastAsia="pt-BR"/>
              </w:rPr>
              <w:t>.</w:t>
            </w:r>
            <w:r w:rsidRPr="00CE7367">
              <w:rPr>
                <w:rFonts w:eastAsia="Times New Roman" w:cs="Times New Roman"/>
                <w:szCs w:val="24"/>
                <w:lang w:eastAsia="pt-BR"/>
              </w:rPr>
              <w:t>640</w:t>
            </w:r>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6A43ED">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7</w:t>
            </w:r>
            <w:r w:rsidR="006A43ED">
              <w:rPr>
                <w:rFonts w:eastAsia="Times New Roman" w:cs="Times New Roman"/>
                <w:szCs w:val="24"/>
                <w:lang w:eastAsia="pt-BR"/>
              </w:rPr>
              <w:t>.</w:t>
            </w:r>
            <w:r w:rsidRPr="00CE7367">
              <w:rPr>
                <w:rFonts w:eastAsia="Times New Roman" w:cs="Times New Roman"/>
                <w:szCs w:val="24"/>
                <w:lang w:eastAsia="pt-BR"/>
              </w:rPr>
              <w:t>305</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6A43ED">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13</w:t>
            </w:r>
            <w:r w:rsidR="006A43ED">
              <w:rPr>
                <w:rFonts w:eastAsia="Times New Roman" w:cs="Times New Roman"/>
                <w:szCs w:val="24"/>
                <w:lang w:eastAsia="pt-BR"/>
              </w:rPr>
              <w:t>.</w:t>
            </w:r>
            <w:r w:rsidRPr="00CE7367">
              <w:rPr>
                <w:rFonts w:eastAsia="Times New Roman" w:cs="Times New Roman"/>
                <w:szCs w:val="24"/>
                <w:lang w:eastAsia="pt-BR"/>
              </w:rPr>
              <w:t>945</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6A43ED">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4</w:t>
            </w:r>
            <w:r w:rsidR="006A43ED">
              <w:rPr>
                <w:rFonts w:eastAsia="Times New Roman" w:cs="Times New Roman"/>
                <w:szCs w:val="24"/>
                <w:lang w:eastAsia="pt-BR"/>
              </w:rPr>
              <w:t>.</w:t>
            </w:r>
            <w:r w:rsidRPr="00CE7367">
              <w:rPr>
                <w:rFonts w:eastAsia="Times New Roman" w:cs="Times New Roman"/>
                <w:szCs w:val="24"/>
                <w:lang w:eastAsia="pt-BR"/>
              </w:rPr>
              <w:t>014</w:t>
            </w:r>
          </w:p>
        </w:tc>
      </w:tr>
      <w:tr w:rsidR="00192DB6" w:rsidRPr="00CE7367" w:rsidTr="003419B4">
        <w:trPr>
          <w:trHeight w:val="397"/>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CE7367" w:rsidRDefault="004F77E2" w:rsidP="00CE7367">
            <w:pPr>
              <w:spacing w:before="120" w:after="120" w:line="240" w:lineRule="auto"/>
              <w:ind w:left="53"/>
              <w:rPr>
                <w:rFonts w:eastAsia="Times New Roman" w:cs="Times New Roman"/>
                <w:szCs w:val="24"/>
                <w:lang w:eastAsia="pt-BR"/>
              </w:rPr>
            </w:pPr>
            <w:hyperlink r:id="rId50" w:tooltip="Tabaúna" w:history="1">
              <w:r w:rsidR="00192DB6" w:rsidRPr="00CE7367">
                <w:rPr>
                  <w:rFonts w:eastAsia="Times New Roman" w:cs="Times New Roman"/>
                  <w:szCs w:val="24"/>
                  <w:lang w:eastAsia="pt-BR"/>
                </w:rPr>
                <w:t>Tabaúna</w:t>
              </w:r>
            </w:hyperlink>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800</w:t>
            </w:r>
          </w:p>
        </w:tc>
        <w:tc>
          <w:tcPr>
            <w:tcW w:w="1276"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761</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6A43ED">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1</w:t>
            </w:r>
            <w:r w:rsidR="006A43ED">
              <w:rPr>
                <w:rFonts w:eastAsia="Times New Roman" w:cs="Times New Roman"/>
                <w:szCs w:val="24"/>
                <w:lang w:eastAsia="pt-BR"/>
              </w:rPr>
              <w:t>.</w:t>
            </w:r>
            <w:r w:rsidRPr="00CE7367">
              <w:rPr>
                <w:rFonts w:eastAsia="Times New Roman" w:cs="Times New Roman"/>
                <w:szCs w:val="24"/>
                <w:lang w:eastAsia="pt-BR"/>
              </w:rPr>
              <w:t>561</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CE7367" w:rsidRDefault="00192DB6" w:rsidP="00CE7367">
            <w:pPr>
              <w:spacing w:before="120" w:after="120" w:line="240" w:lineRule="auto"/>
              <w:jc w:val="center"/>
              <w:rPr>
                <w:rFonts w:eastAsia="Times New Roman" w:cs="Times New Roman"/>
                <w:szCs w:val="24"/>
                <w:lang w:eastAsia="pt-BR"/>
              </w:rPr>
            </w:pPr>
            <w:r w:rsidRPr="00CE7367">
              <w:rPr>
                <w:rFonts w:eastAsia="Times New Roman" w:cs="Times New Roman"/>
                <w:szCs w:val="24"/>
                <w:lang w:eastAsia="pt-BR"/>
              </w:rPr>
              <w:t>409</w:t>
            </w:r>
          </w:p>
        </w:tc>
      </w:tr>
    </w:tbl>
    <w:p w:rsidR="00192DB6" w:rsidRDefault="00192DB6" w:rsidP="00CE7367">
      <w:pPr>
        <w:pStyle w:val="Fonte"/>
        <w:ind w:left="142"/>
      </w:pPr>
      <w:r>
        <w:t xml:space="preserve">FONTE: </w:t>
      </w:r>
      <w:r w:rsidRPr="003419B4">
        <w:t>IBGE</w:t>
      </w:r>
      <w:r>
        <w:t xml:space="preserve"> (2001)</w:t>
      </w:r>
    </w:p>
    <w:p w:rsidR="00192DB6" w:rsidRPr="00A13597" w:rsidRDefault="00192DB6" w:rsidP="00CB6D10">
      <w:pPr>
        <w:pStyle w:val="CM72"/>
        <w:spacing w:line="360" w:lineRule="auto"/>
        <w:ind w:firstLine="709"/>
        <w:jc w:val="both"/>
        <w:rPr>
          <w:rFonts w:ascii="Times New Roman" w:hAnsi="Times New Roman" w:cs="Times New Roman"/>
        </w:rPr>
      </w:pPr>
      <w:r w:rsidRPr="00A13597">
        <w:rPr>
          <w:rFonts w:ascii="Times New Roman" w:hAnsi="Times New Roman" w:cs="Times New Roman"/>
        </w:rPr>
        <w:t xml:space="preserve">Já segundo estatísticas divulgadas pelo IBGE (2013), a população estimada para 2013 é de 25675 habitantes, sendo o </w:t>
      </w:r>
      <w:hyperlink r:id="rId51" w:tooltip="Anexo:Lista de municípios de Minas Gerais por população" w:history="1">
        <w:r w:rsidRPr="00A13597">
          <w:rPr>
            <w:rFonts w:ascii="Times New Roman" w:hAnsi="Times New Roman" w:cs="Times New Roman"/>
          </w:rPr>
          <w:t>138º mais populoso do estado</w:t>
        </w:r>
      </w:hyperlink>
      <w:r w:rsidRPr="00A13597">
        <w:rPr>
          <w:rFonts w:ascii="Times New Roman" w:hAnsi="Times New Roman" w:cs="Times New Roman"/>
        </w:rPr>
        <w:t xml:space="preserve"> e o segundo da </w:t>
      </w:r>
      <w:hyperlink r:id="rId52" w:tooltip="Microrregião de Aimorés" w:history="1">
        <w:r w:rsidRPr="00A13597">
          <w:rPr>
            <w:rFonts w:ascii="Times New Roman" w:hAnsi="Times New Roman" w:cs="Times New Roman"/>
          </w:rPr>
          <w:t>Microrregião de Aimorés</w:t>
        </w:r>
      </w:hyperlink>
      <w:r w:rsidRPr="00A13597">
        <w:rPr>
          <w:rFonts w:ascii="Times New Roman" w:hAnsi="Times New Roman" w:cs="Times New Roman"/>
        </w:rPr>
        <w:t xml:space="preserve">, perdendo apenas para </w:t>
      </w:r>
      <w:hyperlink r:id="rId53" w:tooltip="Mutum (Minas Gerais)" w:history="1">
        <w:r w:rsidRPr="00A13597">
          <w:rPr>
            <w:rFonts w:ascii="Times New Roman" w:hAnsi="Times New Roman" w:cs="Times New Roman"/>
          </w:rPr>
          <w:t>Mutum</w:t>
        </w:r>
      </w:hyperlink>
      <w:r w:rsidRPr="00A13597">
        <w:rPr>
          <w:rFonts w:ascii="Times New Roman" w:hAnsi="Times New Roman" w:cs="Times New Roman"/>
        </w:rPr>
        <w:t xml:space="preserve">, com uma </w:t>
      </w:r>
      <w:hyperlink r:id="rId54" w:tooltip="Densidade populacional" w:history="1">
        <w:r w:rsidRPr="00A13597">
          <w:rPr>
            <w:rFonts w:ascii="Times New Roman" w:hAnsi="Times New Roman" w:cs="Times New Roman"/>
          </w:rPr>
          <w:t>densidade populacional</w:t>
        </w:r>
      </w:hyperlink>
      <w:r w:rsidRPr="00A13597">
        <w:rPr>
          <w:rFonts w:ascii="Times New Roman" w:hAnsi="Times New Roman" w:cs="Times New Roman"/>
        </w:rPr>
        <w:t xml:space="preserve"> de 18,4 habitantes por km²(Quadro </w:t>
      </w:r>
      <w:r w:rsidR="006A43ED">
        <w:rPr>
          <w:rFonts w:ascii="Times New Roman" w:hAnsi="Times New Roman" w:cs="Times New Roman"/>
        </w:rPr>
        <w:t>6</w:t>
      </w:r>
      <w:r w:rsidRPr="00A13597">
        <w:rPr>
          <w:rFonts w:ascii="Times New Roman" w:hAnsi="Times New Roman" w:cs="Times New Roman"/>
        </w:rPr>
        <w:t>).</w:t>
      </w:r>
    </w:p>
    <w:p w:rsidR="00CB6D10" w:rsidRDefault="00CB6D10">
      <w:pPr>
        <w:spacing w:after="200" w:line="276" w:lineRule="auto"/>
        <w:rPr>
          <w:rFonts w:eastAsiaTheme="minorEastAsia" w:cs="Times New Roman"/>
          <w:b/>
          <w:bCs/>
          <w:szCs w:val="24"/>
          <w:lang w:eastAsia="pt-BR"/>
        </w:rPr>
      </w:pPr>
      <w:bookmarkStart w:id="105" w:name="_Toc372117066"/>
      <w:r>
        <w:rPr>
          <w:b/>
        </w:rPr>
        <w:br w:type="page"/>
      </w:r>
    </w:p>
    <w:p w:rsidR="003419B4" w:rsidRPr="00776B29" w:rsidRDefault="00B02273" w:rsidP="00B02273">
      <w:pPr>
        <w:pStyle w:val="Legenda"/>
      </w:pPr>
      <w:bookmarkStart w:id="106" w:name="_Toc372740512"/>
      <w:bookmarkEnd w:id="105"/>
      <w:r>
        <w:lastRenderedPageBreak/>
        <w:t xml:space="preserve">Quadro </w:t>
      </w:r>
      <w:fldSimple w:instr=" SEQ Quadro \* ARABIC ">
        <w:r w:rsidR="004F77E2">
          <w:rPr>
            <w:noProof/>
          </w:rPr>
          <w:t>6</w:t>
        </w:r>
      </w:fldSimple>
      <w:r>
        <w:t xml:space="preserve"> - </w:t>
      </w:r>
      <w:r w:rsidRPr="004917DF">
        <w:rPr>
          <w:noProof/>
        </w:rPr>
        <w:t>Indicadores Populacionais da Microrregião de Aimorés/MG, 2010</w:t>
      </w:r>
      <w:r>
        <w:rPr>
          <w:noProof/>
        </w:rPr>
        <w:t>.</w:t>
      </w:r>
      <w:bookmarkEnd w:id="106"/>
    </w:p>
    <w:tbl>
      <w:tblPr>
        <w:tblStyle w:val="Tabelacomgrade1"/>
        <w:tblW w:w="869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531"/>
        <w:gridCol w:w="1559"/>
        <w:gridCol w:w="1843"/>
        <w:gridCol w:w="2766"/>
      </w:tblGrid>
      <w:tr w:rsidR="00192DB6" w:rsidRPr="00CB6D10" w:rsidTr="003419B4">
        <w:trPr>
          <w:jc w:val="center"/>
        </w:trPr>
        <w:tc>
          <w:tcPr>
            <w:tcW w:w="2531" w:type="dxa"/>
            <w:tcBorders>
              <w:top w:val="single" w:sz="12" w:space="0" w:color="auto"/>
              <w:bottom w:val="single" w:sz="12" w:space="0" w:color="auto"/>
            </w:tcBorders>
            <w:shd w:val="clear" w:color="auto" w:fill="D9D9D9" w:themeFill="background1" w:themeFillShade="D9"/>
            <w:vAlign w:val="center"/>
          </w:tcPr>
          <w:p w:rsidR="00192DB6" w:rsidRPr="00CB6D10" w:rsidRDefault="00192DB6" w:rsidP="003A55C9">
            <w:pPr>
              <w:spacing w:before="120" w:after="120" w:line="240" w:lineRule="auto"/>
              <w:jc w:val="center"/>
              <w:rPr>
                <w:rFonts w:cs="Times New Roman"/>
                <w:b/>
                <w:szCs w:val="24"/>
              </w:rPr>
            </w:pPr>
            <w:r w:rsidRPr="00CB6D10">
              <w:rPr>
                <w:rFonts w:cs="Times New Roman"/>
                <w:b/>
                <w:szCs w:val="24"/>
              </w:rPr>
              <w:t>Município</w:t>
            </w:r>
          </w:p>
        </w:tc>
        <w:tc>
          <w:tcPr>
            <w:tcW w:w="1559" w:type="dxa"/>
            <w:tcBorders>
              <w:top w:val="single" w:sz="12" w:space="0" w:color="auto"/>
              <w:bottom w:val="single" w:sz="12" w:space="0" w:color="auto"/>
            </w:tcBorders>
            <w:shd w:val="clear" w:color="auto" w:fill="D9D9D9" w:themeFill="background1" w:themeFillShade="D9"/>
            <w:vAlign w:val="center"/>
          </w:tcPr>
          <w:p w:rsidR="00192DB6" w:rsidRPr="00CB6D10" w:rsidRDefault="00192DB6" w:rsidP="003A55C9">
            <w:pPr>
              <w:spacing w:before="120" w:after="120" w:line="240" w:lineRule="auto"/>
              <w:jc w:val="center"/>
              <w:rPr>
                <w:rFonts w:cs="Times New Roman"/>
                <w:b/>
                <w:szCs w:val="24"/>
              </w:rPr>
            </w:pPr>
            <w:r w:rsidRPr="00CB6D10">
              <w:rPr>
                <w:rFonts w:cs="Times New Roman"/>
                <w:b/>
                <w:szCs w:val="24"/>
              </w:rPr>
              <w:t>Área (Km</w:t>
            </w:r>
            <w:r w:rsidRPr="00CB6D10">
              <w:rPr>
                <w:rFonts w:cs="Times New Roman"/>
                <w:b/>
                <w:szCs w:val="24"/>
                <w:vertAlign w:val="superscript"/>
              </w:rPr>
              <w:t>2</w:t>
            </w:r>
            <w:r w:rsidRPr="00CB6D10">
              <w:rPr>
                <w:rFonts w:cs="Times New Roman"/>
                <w:b/>
                <w:szCs w:val="24"/>
              </w:rPr>
              <w:t>)</w:t>
            </w:r>
          </w:p>
        </w:tc>
        <w:tc>
          <w:tcPr>
            <w:tcW w:w="1843" w:type="dxa"/>
            <w:tcBorders>
              <w:top w:val="single" w:sz="12" w:space="0" w:color="auto"/>
              <w:bottom w:val="single" w:sz="12" w:space="0" w:color="auto"/>
            </w:tcBorders>
            <w:shd w:val="clear" w:color="auto" w:fill="D9D9D9" w:themeFill="background1" w:themeFillShade="D9"/>
            <w:vAlign w:val="center"/>
          </w:tcPr>
          <w:p w:rsidR="00192DB6" w:rsidRPr="00CB6D10" w:rsidRDefault="00192DB6" w:rsidP="003A55C9">
            <w:pPr>
              <w:spacing w:before="120" w:after="120" w:line="240" w:lineRule="auto"/>
              <w:jc w:val="center"/>
              <w:rPr>
                <w:rFonts w:cs="Times New Roman"/>
                <w:b/>
                <w:szCs w:val="24"/>
              </w:rPr>
            </w:pPr>
            <w:r w:rsidRPr="00CB6D10">
              <w:rPr>
                <w:rFonts w:cs="Times New Roman"/>
                <w:b/>
                <w:szCs w:val="24"/>
              </w:rPr>
              <w:t>População (Nº)</w:t>
            </w:r>
          </w:p>
        </w:tc>
        <w:tc>
          <w:tcPr>
            <w:tcW w:w="2766" w:type="dxa"/>
            <w:tcBorders>
              <w:top w:val="single" w:sz="12" w:space="0" w:color="auto"/>
              <w:bottom w:val="single" w:sz="12" w:space="0" w:color="auto"/>
            </w:tcBorders>
            <w:shd w:val="clear" w:color="auto" w:fill="D9D9D9" w:themeFill="background1" w:themeFillShade="D9"/>
            <w:vAlign w:val="center"/>
          </w:tcPr>
          <w:p w:rsidR="00192DB6" w:rsidRPr="00CB6D10" w:rsidRDefault="00192DB6" w:rsidP="003A55C9">
            <w:pPr>
              <w:spacing w:before="120" w:after="120" w:line="240" w:lineRule="auto"/>
              <w:jc w:val="center"/>
              <w:rPr>
                <w:rFonts w:cs="Times New Roman"/>
                <w:b/>
                <w:szCs w:val="24"/>
              </w:rPr>
            </w:pPr>
            <w:r w:rsidRPr="00CB6D10">
              <w:rPr>
                <w:rFonts w:cs="Times New Roman"/>
                <w:b/>
                <w:szCs w:val="24"/>
              </w:rPr>
              <w:t>Densidade Populacional</w:t>
            </w:r>
          </w:p>
          <w:p w:rsidR="00192DB6" w:rsidRPr="00CB6D10" w:rsidRDefault="00192DB6" w:rsidP="003A55C9">
            <w:pPr>
              <w:spacing w:before="120" w:after="120" w:line="240" w:lineRule="auto"/>
              <w:jc w:val="center"/>
              <w:rPr>
                <w:rFonts w:cs="Times New Roman"/>
                <w:b/>
                <w:szCs w:val="24"/>
              </w:rPr>
            </w:pPr>
            <w:r w:rsidRPr="00CB6D10">
              <w:rPr>
                <w:rFonts w:cs="Times New Roman"/>
                <w:b/>
                <w:szCs w:val="24"/>
              </w:rPr>
              <w:t>(hab/km</w:t>
            </w:r>
            <w:r w:rsidRPr="00CB6D10">
              <w:rPr>
                <w:rFonts w:cs="Times New Roman"/>
                <w:b/>
                <w:szCs w:val="24"/>
                <w:vertAlign w:val="superscript"/>
              </w:rPr>
              <w:t>2</w:t>
            </w:r>
            <w:r w:rsidRPr="00CB6D10">
              <w:rPr>
                <w:rFonts w:cs="Times New Roman"/>
                <w:b/>
                <w:szCs w:val="24"/>
              </w:rPr>
              <w:t>)</w:t>
            </w:r>
          </w:p>
        </w:tc>
      </w:tr>
      <w:tr w:rsidR="00192DB6" w:rsidRPr="00CB6D10" w:rsidTr="003419B4">
        <w:trPr>
          <w:trHeight w:val="397"/>
          <w:jc w:val="center"/>
        </w:trPr>
        <w:tc>
          <w:tcPr>
            <w:tcW w:w="2531" w:type="dxa"/>
            <w:tcBorders>
              <w:top w:val="single" w:sz="12" w:space="0" w:color="auto"/>
            </w:tcBorders>
            <w:vAlign w:val="center"/>
          </w:tcPr>
          <w:p w:rsidR="00192DB6" w:rsidRPr="00CB6D10" w:rsidRDefault="00192DB6" w:rsidP="003A55C9">
            <w:pPr>
              <w:spacing w:before="120" w:after="120" w:line="240" w:lineRule="auto"/>
              <w:rPr>
                <w:rFonts w:cs="Times New Roman"/>
                <w:szCs w:val="24"/>
              </w:rPr>
            </w:pPr>
            <w:r w:rsidRPr="00CB6D10">
              <w:rPr>
                <w:rFonts w:cs="Times New Roman"/>
                <w:szCs w:val="24"/>
              </w:rPr>
              <w:t>Aimorés</w:t>
            </w:r>
          </w:p>
        </w:tc>
        <w:tc>
          <w:tcPr>
            <w:tcW w:w="1559" w:type="dxa"/>
            <w:tcBorders>
              <w:top w:val="single" w:sz="12" w:space="0" w:color="auto"/>
            </w:tcBorders>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1.353,06</w:t>
            </w:r>
          </w:p>
        </w:tc>
        <w:tc>
          <w:tcPr>
            <w:tcW w:w="1843" w:type="dxa"/>
            <w:tcBorders>
              <w:top w:val="single" w:sz="12" w:space="0" w:color="auto"/>
            </w:tcBorders>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24.959</w:t>
            </w:r>
          </w:p>
        </w:tc>
        <w:tc>
          <w:tcPr>
            <w:tcW w:w="2766" w:type="dxa"/>
            <w:tcBorders>
              <w:top w:val="single" w:sz="12" w:space="0" w:color="auto"/>
            </w:tcBorders>
            <w:vAlign w:val="center"/>
          </w:tcPr>
          <w:p w:rsidR="00192DB6" w:rsidRPr="00CB6D10" w:rsidRDefault="00192DB6" w:rsidP="003A55C9">
            <w:pPr>
              <w:spacing w:before="120" w:after="120" w:line="240" w:lineRule="auto"/>
              <w:jc w:val="center"/>
              <w:rPr>
                <w:rFonts w:cs="Times New Roman"/>
                <w:szCs w:val="24"/>
              </w:rPr>
            </w:pPr>
            <w:r w:rsidRPr="00CB6D10">
              <w:rPr>
                <w:rFonts w:cs="Times New Roman"/>
                <w:szCs w:val="24"/>
              </w:rPr>
              <w:t>18,4</w:t>
            </w:r>
          </w:p>
        </w:tc>
      </w:tr>
      <w:tr w:rsidR="00192DB6" w:rsidRPr="00CB6D10" w:rsidTr="003419B4">
        <w:trPr>
          <w:trHeight w:val="397"/>
          <w:jc w:val="center"/>
        </w:trPr>
        <w:tc>
          <w:tcPr>
            <w:tcW w:w="2531" w:type="dxa"/>
            <w:vAlign w:val="center"/>
          </w:tcPr>
          <w:p w:rsidR="00192DB6" w:rsidRPr="00CB6D10" w:rsidRDefault="00192DB6" w:rsidP="003A55C9">
            <w:pPr>
              <w:spacing w:before="120" w:after="120" w:line="240" w:lineRule="auto"/>
              <w:rPr>
                <w:rFonts w:cs="Times New Roman"/>
                <w:szCs w:val="24"/>
              </w:rPr>
            </w:pPr>
            <w:r w:rsidRPr="00CB6D10">
              <w:rPr>
                <w:rFonts w:cs="Times New Roman"/>
                <w:szCs w:val="24"/>
              </w:rPr>
              <w:t>Alvarenga</w:t>
            </w:r>
          </w:p>
        </w:tc>
        <w:tc>
          <w:tcPr>
            <w:tcW w:w="1559"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296,06</w:t>
            </w:r>
          </w:p>
        </w:tc>
        <w:tc>
          <w:tcPr>
            <w:tcW w:w="1843"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4.444</w:t>
            </w:r>
          </w:p>
        </w:tc>
        <w:tc>
          <w:tcPr>
            <w:tcW w:w="2766" w:type="dxa"/>
            <w:vAlign w:val="center"/>
          </w:tcPr>
          <w:p w:rsidR="00192DB6" w:rsidRPr="00CB6D10" w:rsidRDefault="00192DB6" w:rsidP="003A55C9">
            <w:pPr>
              <w:spacing w:before="120" w:after="120" w:line="240" w:lineRule="auto"/>
              <w:jc w:val="center"/>
              <w:rPr>
                <w:rFonts w:cs="Times New Roman"/>
                <w:szCs w:val="24"/>
              </w:rPr>
            </w:pPr>
            <w:r w:rsidRPr="00CB6D10">
              <w:rPr>
                <w:rFonts w:cs="Times New Roman"/>
                <w:szCs w:val="24"/>
              </w:rPr>
              <w:t>15,0</w:t>
            </w:r>
          </w:p>
        </w:tc>
      </w:tr>
      <w:tr w:rsidR="00192DB6" w:rsidRPr="00CB6D10" w:rsidTr="003419B4">
        <w:trPr>
          <w:trHeight w:val="397"/>
          <w:jc w:val="center"/>
        </w:trPr>
        <w:tc>
          <w:tcPr>
            <w:tcW w:w="2531" w:type="dxa"/>
            <w:vAlign w:val="center"/>
          </w:tcPr>
          <w:p w:rsidR="00192DB6" w:rsidRPr="00CB6D10" w:rsidRDefault="00192DB6" w:rsidP="003A55C9">
            <w:pPr>
              <w:spacing w:before="120" w:after="120" w:line="240" w:lineRule="auto"/>
              <w:rPr>
                <w:rFonts w:cs="Times New Roman"/>
                <w:szCs w:val="24"/>
              </w:rPr>
            </w:pPr>
            <w:r w:rsidRPr="00CB6D10">
              <w:rPr>
                <w:rFonts w:cs="Times New Roman"/>
                <w:szCs w:val="24"/>
              </w:rPr>
              <w:t>Conceição de Ipanema</w:t>
            </w:r>
          </w:p>
        </w:tc>
        <w:tc>
          <w:tcPr>
            <w:tcW w:w="1559"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254,11</w:t>
            </w:r>
          </w:p>
        </w:tc>
        <w:tc>
          <w:tcPr>
            <w:tcW w:w="1843"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4.456</w:t>
            </w:r>
          </w:p>
        </w:tc>
        <w:tc>
          <w:tcPr>
            <w:tcW w:w="2766" w:type="dxa"/>
            <w:vAlign w:val="center"/>
          </w:tcPr>
          <w:p w:rsidR="00192DB6" w:rsidRPr="00CB6D10" w:rsidRDefault="00192DB6" w:rsidP="003A55C9">
            <w:pPr>
              <w:spacing w:before="120" w:after="120" w:line="240" w:lineRule="auto"/>
              <w:jc w:val="center"/>
              <w:rPr>
                <w:rFonts w:cs="Times New Roman"/>
                <w:szCs w:val="24"/>
              </w:rPr>
            </w:pPr>
            <w:r w:rsidRPr="00CB6D10">
              <w:rPr>
                <w:rFonts w:cs="Times New Roman"/>
                <w:szCs w:val="24"/>
              </w:rPr>
              <w:t>17,5</w:t>
            </w:r>
          </w:p>
        </w:tc>
      </w:tr>
      <w:tr w:rsidR="00192DB6" w:rsidRPr="00CB6D10" w:rsidTr="003419B4">
        <w:trPr>
          <w:trHeight w:val="397"/>
          <w:jc w:val="center"/>
        </w:trPr>
        <w:tc>
          <w:tcPr>
            <w:tcW w:w="2531" w:type="dxa"/>
            <w:vAlign w:val="center"/>
          </w:tcPr>
          <w:p w:rsidR="00192DB6" w:rsidRPr="00CB6D10" w:rsidRDefault="00192DB6" w:rsidP="003A55C9">
            <w:pPr>
              <w:spacing w:before="120" w:after="120" w:line="240" w:lineRule="auto"/>
              <w:rPr>
                <w:rFonts w:cs="Times New Roman"/>
                <w:szCs w:val="24"/>
              </w:rPr>
            </w:pPr>
            <w:r w:rsidRPr="00CB6D10">
              <w:rPr>
                <w:rFonts w:cs="Times New Roman"/>
                <w:szCs w:val="24"/>
              </w:rPr>
              <w:t>Conselheiro Pena</w:t>
            </w:r>
          </w:p>
        </w:tc>
        <w:tc>
          <w:tcPr>
            <w:tcW w:w="1559"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1.466,74</w:t>
            </w:r>
          </w:p>
        </w:tc>
        <w:tc>
          <w:tcPr>
            <w:tcW w:w="1843"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22.242</w:t>
            </w:r>
          </w:p>
        </w:tc>
        <w:tc>
          <w:tcPr>
            <w:tcW w:w="2766" w:type="dxa"/>
            <w:vAlign w:val="center"/>
          </w:tcPr>
          <w:p w:rsidR="00192DB6" w:rsidRPr="00CB6D10" w:rsidRDefault="00192DB6" w:rsidP="003A55C9">
            <w:pPr>
              <w:spacing w:before="120" w:after="120" w:line="240" w:lineRule="auto"/>
              <w:jc w:val="center"/>
              <w:rPr>
                <w:rFonts w:cs="Times New Roman"/>
                <w:szCs w:val="24"/>
              </w:rPr>
            </w:pPr>
            <w:r w:rsidRPr="00CB6D10">
              <w:rPr>
                <w:rFonts w:cs="Times New Roman"/>
                <w:szCs w:val="24"/>
              </w:rPr>
              <w:t>15,2</w:t>
            </w:r>
          </w:p>
        </w:tc>
      </w:tr>
      <w:tr w:rsidR="00192DB6" w:rsidRPr="00CB6D10" w:rsidTr="003419B4">
        <w:trPr>
          <w:trHeight w:val="397"/>
          <w:jc w:val="center"/>
        </w:trPr>
        <w:tc>
          <w:tcPr>
            <w:tcW w:w="2531" w:type="dxa"/>
            <w:vAlign w:val="center"/>
          </w:tcPr>
          <w:p w:rsidR="00192DB6" w:rsidRPr="00CB6D10" w:rsidRDefault="00192DB6" w:rsidP="003A55C9">
            <w:pPr>
              <w:spacing w:before="120" w:after="120" w:line="240" w:lineRule="auto"/>
              <w:rPr>
                <w:rFonts w:cs="Times New Roman"/>
                <w:szCs w:val="24"/>
              </w:rPr>
            </w:pPr>
            <w:r w:rsidRPr="00CB6D10">
              <w:rPr>
                <w:rFonts w:cs="Times New Roman"/>
                <w:szCs w:val="24"/>
              </w:rPr>
              <w:t>Cuparaque</w:t>
            </w:r>
          </w:p>
        </w:tc>
        <w:tc>
          <w:tcPr>
            <w:tcW w:w="1559"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228,88</w:t>
            </w:r>
          </w:p>
        </w:tc>
        <w:tc>
          <w:tcPr>
            <w:tcW w:w="1843"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4.680</w:t>
            </w:r>
          </w:p>
        </w:tc>
        <w:tc>
          <w:tcPr>
            <w:tcW w:w="2766" w:type="dxa"/>
            <w:vAlign w:val="center"/>
          </w:tcPr>
          <w:p w:rsidR="00192DB6" w:rsidRPr="00CB6D10" w:rsidRDefault="00192DB6" w:rsidP="003A55C9">
            <w:pPr>
              <w:spacing w:before="120" w:after="120" w:line="240" w:lineRule="auto"/>
              <w:jc w:val="center"/>
              <w:rPr>
                <w:rFonts w:cs="Times New Roman"/>
                <w:szCs w:val="24"/>
              </w:rPr>
            </w:pPr>
            <w:r w:rsidRPr="00CB6D10">
              <w:rPr>
                <w:rFonts w:cs="Times New Roman"/>
                <w:szCs w:val="24"/>
              </w:rPr>
              <w:t>20,4</w:t>
            </w:r>
          </w:p>
        </w:tc>
      </w:tr>
      <w:tr w:rsidR="00192DB6" w:rsidRPr="00CB6D10" w:rsidTr="003419B4">
        <w:trPr>
          <w:trHeight w:val="397"/>
          <w:jc w:val="center"/>
        </w:trPr>
        <w:tc>
          <w:tcPr>
            <w:tcW w:w="2531" w:type="dxa"/>
            <w:vAlign w:val="center"/>
          </w:tcPr>
          <w:p w:rsidR="00192DB6" w:rsidRPr="00CB6D10" w:rsidRDefault="00192DB6" w:rsidP="003A55C9">
            <w:pPr>
              <w:spacing w:before="120" w:after="120" w:line="240" w:lineRule="auto"/>
              <w:rPr>
                <w:rFonts w:cs="Times New Roman"/>
                <w:szCs w:val="24"/>
              </w:rPr>
            </w:pPr>
            <w:r w:rsidRPr="00CB6D10">
              <w:rPr>
                <w:rFonts w:cs="Times New Roman"/>
                <w:szCs w:val="24"/>
              </w:rPr>
              <w:t>Goiabeira</w:t>
            </w:r>
          </w:p>
        </w:tc>
        <w:tc>
          <w:tcPr>
            <w:tcW w:w="1559"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112,46</w:t>
            </w:r>
          </w:p>
        </w:tc>
        <w:tc>
          <w:tcPr>
            <w:tcW w:w="1843"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3.053</w:t>
            </w:r>
          </w:p>
        </w:tc>
        <w:tc>
          <w:tcPr>
            <w:tcW w:w="2766" w:type="dxa"/>
            <w:vAlign w:val="center"/>
          </w:tcPr>
          <w:p w:rsidR="00192DB6" w:rsidRPr="00CB6D10" w:rsidRDefault="00192DB6" w:rsidP="003A55C9">
            <w:pPr>
              <w:spacing w:before="120" w:after="120" w:line="240" w:lineRule="auto"/>
              <w:jc w:val="center"/>
              <w:rPr>
                <w:rFonts w:cs="Times New Roman"/>
                <w:szCs w:val="24"/>
              </w:rPr>
            </w:pPr>
            <w:r w:rsidRPr="00CB6D10">
              <w:rPr>
                <w:rFonts w:cs="Times New Roman"/>
                <w:szCs w:val="24"/>
              </w:rPr>
              <w:t>27,1</w:t>
            </w:r>
          </w:p>
        </w:tc>
      </w:tr>
      <w:tr w:rsidR="00192DB6" w:rsidRPr="00CB6D10" w:rsidTr="003419B4">
        <w:trPr>
          <w:trHeight w:val="397"/>
          <w:jc w:val="center"/>
        </w:trPr>
        <w:tc>
          <w:tcPr>
            <w:tcW w:w="2531" w:type="dxa"/>
            <w:vAlign w:val="center"/>
          </w:tcPr>
          <w:p w:rsidR="00192DB6" w:rsidRPr="00CB6D10" w:rsidRDefault="00192DB6" w:rsidP="003A55C9">
            <w:pPr>
              <w:spacing w:before="120" w:after="120" w:line="240" w:lineRule="auto"/>
              <w:rPr>
                <w:rFonts w:cs="Times New Roman"/>
                <w:szCs w:val="24"/>
              </w:rPr>
            </w:pPr>
            <w:r w:rsidRPr="00CB6D10">
              <w:rPr>
                <w:rFonts w:cs="Times New Roman"/>
                <w:szCs w:val="24"/>
              </w:rPr>
              <w:t>Ipanema</w:t>
            </w:r>
          </w:p>
        </w:tc>
        <w:tc>
          <w:tcPr>
            <w:tcW w:w="1559"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457,61</w:t>
            </w:r>
          </w:p>
        </w:tc>
        <w:tc>
          <w:tcPr>
            <w:tcW w:w="1843"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18.170</w:t>
            </w:r>
          </w:p>
        </w:tc>
        <w:tc>
          <w:tcPr>
            <w:tcW w:w="2766" w:type="dxa"/>
            <w:vAlign w:val="center"/>
          </w:tcPr>
          <w:p w:rsidR="00192DB6" w:rsidRPr="00CB6D10" w:rsidRDefault="00192DB6" w:rsidP="003A55C9">
            <w:pPr>
              <w:spacing w:before="120" w:after="120" w:line="240" w:lineRule="auto"/>
              <w:jc w:val="center"/>
              <w:rPr>
                <w:rFonts w:cs="Times New Roman"/>
                <w:szCs w:val="24"/>
              </w:rPr>
            </w:pPr>
            <w:r w:rsidRPr="00CB6D10">
              <w:rPr>
                <w:rFonts w:cs="Times New Roman"/>
                <w:szCs w:val="24"/>
              </w:rPr>
              <w:t>39,7</w:t>
            </w:r>
          </w:p>
        </w:tc>
      </w:tr>
      <w:tr w:rsidR="00192DB6" w:rsidRPr="00CB6D10" w:rsidTr="003419B4">
        <w:trPr>
          <w:trHeight w:val="397"/>
          <w:jc w:val="center"/>
        </w:trPr>
        <w:tc>
          <w:tcPr>
            <w:tcW w:w="2531" w:type="dxa"/>
            <w:vAlign w:val="center"/>
          </w:tcPr>
          <w:p w:rsidR="00192DB6" w:rsidRPr="00CB6D10" w:rsidRDefault="00192DB6" w:rsidP="003A55C9">
            <w:pPr>
              <w:spacing w:before="120" w:after="120" w:line="240" w:lineRule="auto"/>
              <w:rPr>
                <w:rFonts w:cs="Times New Roman"/>
                <w:szCs w:val="24"/>
              </w:rPr>
            </w:pPr>
            <w:r w:rsidRPr="00CB6D10">
              <w:rPr>
                <w:rFonts w:cs="Times New Roman"/>
                <w:szCs w:val="24"/>
              </w:rPr>
              <w:t>Itueta</w:t>
            </w:r>
          </w:p>
        </w:tc>
        <w:tc>
          <w:tcPr>
            <w:tcW w:w="1559"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454,03</w:t>
            </w:r>
          </w:p>
        </w:tc>
        <w:tc>
          <w:tcPr>
            <w:tcW w:w="1843"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5.830</w:t>
            </w:r>
          </w:p>
        </w:tc>
        <w:tc>
          <w:tcPr>
            <w:tcW w:w="2766" w:type="dxa"/>
            <w:vAlign w:val="center"/>
          </w:tcPr>
          <w:p w:rsidR="00192DB6" w:rsidRPr="00CB6D10" w:rsidRDefault="00192DB6" w:rsidP="003A55C9">
            <w:pPr>
              <w:spacing w:before="120" w:after="120" w:line="240" w:lineRule="auto"/>
              <w:jc w:val="center"/>
              <w:rPr>
                <w:rFonts w:cs="Times New Roman"/>
                <w:szCs w:val="24"/>
              </w:rPr>
            </w:pPr>
            <w:r w:rsidRPr="00CB6D10">
              <w:rPr>
                <w:rFonts w:cs="Times New Roman"/>
                <w:szCs w:val="24"/>
              </w:rPr>
              <w:t>12,8</w:t>
            </w:r>
          </w:p>
        </w:tc>
      </w:tr>
      <w:tr w:rsidR="00192DB6" w:rsidRPr="00CB6D10" w:rsidTr="003419B4">
        <w:trPr>
          <w:trHeight w:val="397"/>
          <w:jc w:val="center"/>
        </w:trPr>
        <w:tc>
          <w:tcPr>
            <w:tcW w:w="2531" w:type="dxa"/>
            <w:vAlign w:val="center"/>
          </w:tcPr>
          <w:p w:rsidR="00192DB6" w:rsidRPr="00CB6D10" w:rsidRDefault="00192DB6" w:rsidP="003A55C9">
            <w:pPr>
              <w:spacing w:before="120" w:after="120" w:line="240" w:lineRule="auto"/>
              <w:rPr>
                <w:rFonts w:cs="Times New Roman"/>
                <w:szCs w:val="24"/>
              </w:rPr>
            </w:pPr>
            <w:r w:rsidRPr="00CB6D10">
              <w:rPr>
                <w:rFonts w:cs="Times New Roman"/>
                <w:szCs w:val="24"/>
              </w:rPr>
              <w:t>Mutum</w:t>
            </w:r>
          </w:p>
        </w:tc>
        <w:tc>
          <w:tcPr>
            <w:tcW w:w="1559"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1.253,12</w:t>
            </w:r>
          </w:p>
        </w:tc>
        <w:tc>
          <w:tcPr>
            <w:tcW w:w="1843"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26.661</w:t>
            </w:r>
          </w:p>
        </w:tc>
        <w:tc>
          <w:tcPr>
            <w:tcW w:w="2766" w:type="dxa"/>
            <w:vAlign w:val="center"/>
          </w:tcPr>
          <w:p w:rsidR="00192DB6" w:rsidRPr="00CB6D10" w:rsidRDefault="00192DB6" w:rsidP="003A55C9">
            <w:pPr>
              <w:spacing w:before="120" w:after="120" w:line="240" w:lineRule="auto"/>
              <w:jc w:val="center"/>
              <w:rPr>
                <w:rFonts w:cs="Times New Roman"/>
                <w:szCs w:val="24"/>
              </w:rPr>
            </w:pPr>
            <w:r w:rsidRPr="00CB6D10">
              <w:rPr>
                <w:rFonts w:cs="Times New Roman"/>
                <w:szCs w:val="24"/>
              </w:rPr>
              <w:t>21,3</w:t>
            </w:r>
          </w:p>
        </w:tc>
      </w:tr>
      <w:tr w:rsidR="00192DB6" w:rsidRPr="00CB6D10" w:rsidTr="003419B4">
        <w:trPr>
          <w:trHeight w:val="397"/>
          <w:jc w:val="center"/>
        </w:trPr>
        <w:tc>
          <w:tcPr>
            <w:tcW w:w="2531" w:type="dxa"/>
            <w:vAlign w:val="center"/>
          </w:tcPr>
          <w:p w:rsidR="00192DB6" w:rsidRPr="00CB6D10" w:rsidRDefault="00192DB6" w:rsidP="003A55C9">
            <w:pPr>
              <w:spacing w:before="120" w:after="120" w:line="240" w:lineRule="auto"/>
              <w:rPr>
                <w:rFonts w:cs="Times New Roman"/>
                <w:szCs w:val="24"/>
              </w:rPr>
            </w:pPr>
            <w:r w:rsidRPr="00CB6D10">
              <w:rPr>
                <w:rFonts w:cs="Times New Roman"/>
                <w:szCs w:val="24"/>
              </w:rPr>
              <w:t>Pocrane</w:t>
            </w:r>
          </w:p>
        </w:tc>
        <w:tc>
          <w:tcPr>
            <w:tcW w:w="1559"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690,06</w:t>
            </w:r>
          </w:p>
        </w:tc>
        <w:tc>
          <w:tcPr>
            <w:tcW w:w="1843"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8.986</w:t>
            </w:r>
          </w:p>
        </w:tc>
        <w:tc>
          <w:tcPr>
            <w:tcW w:w="2766" w:type="dxa"/>
            <w:vAlign w:val="center"/>
          </w:tcPr>
          <w:p w:rsidR="00192DB6" w:rsidRPr="00CB6D10" w:rsidRDefault="00192DB6" w:rsidP="003A55C9">
            <w:pPr>
              <w:spacing w:before="120" w:after="120" w:line="240" w:lineRule="auto"/>
              <w:jc w:val="center"/>
              <w:rPr>
                <w:rFonts w:cs="Times New Roman"/>
                <w:szCs w:val="24"/>
              </w:rPr>
            </w:pPr>
            <w:r w:rsidRPr="00CB6D10">
              <w:rPr>
                <w:rFonts w:cs="Times New Roman"/>
                <w:szCs w:val="24"/>
              </w:rPr>
              <w:t>13,0</w:t>
            </w:r>
          </w:p>
        </w:tc>
      </w:tr>
      <w:tr w:rsidR="00192DB6" w:rsidRPr="00CB6D10" w:rsidTr="003419B4">
        <w:trPr>
          <w:trHeight w:val="397"/>
          <w:jc w:val="center"/>
        </w:trPr>
        <w:tc>
          <w:tcPr>
            <w:tcW w:w="2531" w:type="dxa"/>
            <w:vAlign w:val="center"/>
          </w:tcPr>
          <w:p w:rsidR="00192DB6" w:rsidRPr="00CB6D10" w:rsidRDefault="00192DB6" w:rsidP="003A55C9">
            <w:pPr>
              <w:spacing w:before="120" w:after="120" w:line="240" w:lineRule="auto"/>
              <w:rPr>
                <w:rFonts w:cs="Times New Roman"/>
                <w:szCs w:val="24"/>
              </w:rPr>
            </w:pPr>
            <w:r w:rsidRPr="00CB6D10">
              <w:rPr>
                <w:rFonts w:cs="Times New Roman"/>
                <w:szCs w:val="24"/>
              </w:rPr>
              <w:t>Resplendor</w:t>
            </w:r>
          </w:p>
        </w:tc>
        <w:tc>
          <w:tcPr>
            <w:tcW w:w="1559"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1.083,84</w:t>
            </w:r>
          </w:p>
        </w:tc>
        <w:tc>
          <w:tcPr>
            <w:tcW w:w="1843"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17.089</w:t>
            </w:r>
          </w:p>
        </w:tc>
        <w:tc>
          <w:tcPr>
            <w:tcW w:w="2766" w:type="dxa"/>
            <w:vAlign w:val="center"/>
          </w:tcPr>
          <w:p w:rsidR="00192DB6" w:rsidRPr="00CB6D10" w:rsidRDefault="00192DB6" w:rsidP="003A55C9">
            <w:pPr>
              <w:spacing w:before="120" w:after="120" w:line="240" w:lineRule="auto"/>
              <w:jc w:val="center"/>
              <w:rPr>
                <w:rFonts w:cs="Times New Roman"/>
                <w:szCs w:val="24"/>
              </w:rPr>
            </w:pPr>
            <w:r w:rsidRPr="00CB6D10">
              <w:rPr>
                <w:rFonts w:cs="Times New Roman"/>
                <w:szCs w:val="24"/>
              </w:rPr>
              <w:t>15,8</w:t>
            </w:r>
          </w:p>
        </w:tc>
      </w:tr>
      <w:tr w:rsidR="00192DB6" w:rsidRPr="00CB6D10" w:rsidTr="003419B4">
        <w:trPr>
          <w:trHeight w:val="397"/>
          <w:jc w:val="center"/>
        </w:trPr>
        <w:tc>
          <w:tcPr>
            <w:tcW w:w="2531" w:type="dxa"/>
            <w:vAlign w:val="center"/>
          </w:tcPr>
          <w:p w:rsidR="00192DB6" w:rsidRPr="00CB6D10" w:rsidRDefault="00192DB6" w:rsidP="003A55C9">
            <w:pPr>
              <w:spacing w:before="120" w:after="120" w:line="240" w:lineRule="auto"/>
              <w:rPr>
                <w:rFonts w:cs="Times New Roman"/>
                <w:szCs w:val="24"/>
              </w:rPr>
            </w:pPr>
            <w:r w:rsidRPr="00CB6D10">
              <w:rPr>
                <w:rFonts w:cs="Times New Roman"/>
                <w:szCs w:val="24"/>
              </w:rPr>
              <w:t>Santa Rita do Itueto</w:t>
            </w:r>
          </w:p>
        </w:tc>
        <w:tc>
          <w:tcPr>
            <w:tcW w:w="1559"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486,91</w:t>
            </w:r>
          </w:p>
        </w:tc>
        <w:tc>
          <w:tcPr>
            <w:tcW w:w="1843"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5.697</w:t>
            </w:r>
          </w:p>
        </w:tc>
        <w:tc>
          <w:tcPr>
            <w:tcW w:w="2766" w:type="dxa"/>
            <w:vAlign w:val="center"/>
          </w:tcPr>
          <w:p w:rsidR="00192DB6" w:rsidRPr="00CB6D10" w:rsidRDefault="00192DB6" w:rsidP="003A55C9">
            <w:pPr>
              <w:spacing w:before="120" w:after="120" w:line="240" w:lineRule="auto"/>
              <w:jc w:val="center"/>
              <w:rPr>
                <w:rFonts w:cs="Times New Roman"/>
                <w:szCs w:val="24"/>
              </w:rPr>
            </w:pPr>
            <w:r w:rsidRPr="00CB6D10">
              <w:rPr>
                <w:rFonts w:cs="Times New Roman"/>
                <w:szCs w:val="24"/>
              </w:rPr>
              <w:t>11,7</w:t>
            </w:r>
          </w:p>
        </w:tc>
      </w:tr>
      <w:tr w:rsidR="00192DB6" w:rsidRPr="00CB6D10" w:rsidTr="003419B4">
        <w:trPr>
          <w:trHeight w:val="397"/>
          <w:jc w:val="center"/>
        </w:trPr>
        <w:tc>
          <w:tcPr>
            <w:tcW w:w="2531" w:type="dxa"/>
            <w:vAlign w:val="center"/>
          </w:tcPr>
          <w:p w:rsidR="00192DB6" w:rsidRPr="00CB6D10" w:rsidRDefault="00192DB6" w:rsidP="003A55C9">
            <w:pPr>
              <w:spacing w:before="120" w:after="120" w:line="240" w:lineRule="auto"/>
              <w:rPr>
                <w:rFonts w:cs="Times New Roman"/>
                <w:szCs w:val="24"/>
              </w:rPr>
            </w:pPr>
            <w:r w:rsidRPr="00CB6D10">
              <w:rPr>
                <w:rFonts w:cs="Times New Roman"/>
                <w:szCs w:val="24"/>
              </w:rPr>
              <w:t>Taparuba</w:t>
            </w:r>
          </w:p>
        </w:tc>
        <w:tc>
          <w:tcPr>
            <w:tcW w:w="1559"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193,43</w:t>
            </w:r>
          </w:p>
        </w:tc>
        <w:tc>
          <w:tcPr>
            <w:tcW w:w="1843" w:type="dxa"/>
            <w:vAlign w:val="center"/>
          </w:tcPr>
          <w:p w:rsidR="00192DB6" w:rsidRPr="00CB6D10" w:rsidRDefault="00192DB6" w:rsidP="003A55C9">
            <w:pPr>
              <w:spacing w:before="120" w:after="120" w:line="240" w:lineRule="auto"/>
              <w:ind w:right="459"/>
              <w:jc w:val="right"/>
              <w:rPr>
                <w:rFonts w:cs="Times New Roman"/>
                <w:szCs w:val="24"/>
              </w:rPr>
            </w:pPr>
            <w:r w:rsidRPr="00CB6D10">
              <w:rPr>
                <w:rFonts w:cs="Times New Roman"/>
                <w:szCs w:val="24"/>
              </w:rPr>
              <w:t>3.137</w:t>
            </w:r>
          </w:p>
        </w:tc>
        <w:tc>
          <w:tcPr>
            <w:tcW w:w="2766" w:type="dxa"/>
            <w:vAlign w:val="center"/>
          </w:tcPr>
          <w:p w:rsidR="00192DB6" w:rsidRPr="00CB6D10" w:rsidRDefault="00192DB6" w:rsidP="003A55C9">
            <w:pPr>
              <w:spacing w:before="120" w:after="120" w:line="240" w:lineRule="auto"/>
              <w:jc w:val="center"/>
              <w:rPr>
                <w:rFonts w:cs="Times New Roman"/>
                <w:szCs w:val="24"/>
              </w:rPr>
            </w:pPr>
            <w:r w:rsidRPr="00CB6D10">
              <w:rPr>
                <w:rFonts w:cs="Times New Roman"/>
                <w:szCs w:val="24"/>
              </w:rPr>
              <w:t>16,2</w:t>
            </w:r>
          </w:p>
        </w:tc>
      </w:tr>
    </w:tbl>
    <w:p w:rsidR="00192DB6" w:rsidRPr="00BE408D" w:rsidRDefault="00192DB6" w:rsidP="003419B4">
      <w:pPr>
        <w:pStyle w:val="Fonte"/>
        <w:rPr>
          <w:lang w:eastAsia="pt-BR"/>
        </w:rPr>
      </w:pPr>
      <w:r w:rsidRPr="00BE408D">
        <w:rPr>
          <w:lang w:eastAsia="pt-BR"/>
        </w:rPr>
        <w:t>FONTE: FJP (2013).</w:t>
      </w:r>
    </w:p>
    <w:p w:rsidR="00192DB6" w:rsidRDefault="00192DB6" w:rsidP="00CB6D10">
      <w:pPr>
        <w:pStyle w:val="CM72"/>
        <w:spacing w:line="360" w:lineRule="auto"/>
        <w:ind w:firstLine="709"/>
        <w:jc w:val="both"/>
        <w:rPr>
          <w:rFonts w:ascii="Times New Roman" w:hAnsi="Times New Roman" w:cs="Times New Roman"/>
        </w:rPr>
      </w:pPr>
      <w:r w:rsidRPr="00A13597">
        <w:rPr>
          <w:rFonts w:ascii="Times New Roman" w:hAnsi="Times New Roman" w:cs="Times New Roman"/>
        </w:rPr>
        <w:t xml:space="preserve">O aumento da população foi significativo entre 20 e 34 anos, tanto para homens quanto para mulheres, sendo o índice de envelhecimento equivalente a 60,1% (FJP, 2013). A população jovem tende a ser menos expressiva, o que sugere uma perda populacional, em busca de novas oportunidades de emprego ou de estudo fora do município, como mostra a Figura </w:t>
      </w:r>
      <w:r w:rsidR="00CB6D10">
        <w:rPr>
          <w:rFonts w:ascii="Times New Roman" w:hAnsi="Times New Roman" w:cs="Times New Roman"/>
        </w:rPr>
        <w:t>27</w:t>
      </w:r>
      <w:r w:rsidRPr="00A13597">
        <w:rPr>
          <w:rFonts w:ascii="Times New Roman" w:hAnsi="Times New Roman" w:cs="Times New Roman"/>
        </w:rPr>
        <w:t>.</w:t>
      </w:r>
    </w:p>
    <w:p w:rsidR="00CB6D10" w:rsidRDefault="00CB6D10">
      <w:pPr>
        <w:spacing w:after="200" w:line="276" w:lineRule="auto"/>
        <w:rPr>
          <w:rFonts w:eastAsiaTheme="minorEastAsia" w:cs="Times New Roman"/>
          <w:bCs/>
          <w:szCs w:val="24"/>
          <w:lang w:eastAsia="pt-BR"/>
        </w:rPr>
      </w:pPr>
      <w:bookmarkStart w:id="107" w:name="_Toc372117067"/>
      <w:r>
        <w:br w:type="page"/>
      </w:r>
    </w:p>
    <w:p w:rsidR="003419B4" w:rsidRPr="003419B4" w:rsidRDefault="00CB07F3" w:rsidP="00CB07F3">
      <w:pPr>
        <w:pStyle w:val="Legenda"/>
      </w:pPr>
      <w:bookmarkStart w:id="108" w:name="_Toc372740110"/>
      <w:bookmarkEnd w:id="107"/>
      <w:r>
        <w:lastRenderedPageBreak/>
        <w:t xml:space="preserve">Figura </w:t>
      </w:r>
      <w:fldSimple w:instr=" SEQ Figura \* ARABIC ">
        <w:r w:rsidR="004F77E2">
          <w:rPr>
            <w:noProof/>
          </w:rPr>
          <w:t>27</w:t>
        </w:r>
      </w:fldSimple>
      <w:r>
        <w:t xml:space="preserve"> - </w:t>
      </w:r>
      <w:r w:rsidRPr="00004679">
        <w:t>Distribuição da população, por sexo, segundo os grupos de idade, Aimorés, Minas Gerais, 2010.</w:t>
      </w:r>
      <w:bookmarkEnd w:id="108"/>
    </w:p>
    <w:p w:rsidR="00192DB6" w:rsidRDefault="00192DB6" w:rsidP="00192DB6">
      <w:pPr>
        <w:autoSpaceDE w:val="0"/>
        <w:autoSpaceDN w:val="0"/>
        <w:adjustRightInd w:val="0"/>
        <w:spacing w:after="0" w:line="360" w:lineRule="auto"/>
        <w:jc w:val="both"/>
        <w:rPr>
          <w:rFonts w:ascii="Comic Sans MS" w:hAnsi="Comic Sans MS" w:cs="Calibri"/>
          <w:noProof/>
          <w:sz w:val="28"/>
          <w:szCs w:val="28"/>
          <w:lang w:eastAsia="pt-BR"/>
        </w:rPr>
      </w:pPr>
      <w:r w:rsidRPr="00BE408D">
        <w:rPr>
          <w:noProof/>
          <w:lang w:eastAsia="pt-BR"/>
        </w:rPr>
        <w:drawing>
          <wp:inline distT="0" distB="0" distL="0" distR="0" wp14:anchorId="4B03A0B6" wp14:editId="65394234">
            <wp:extent cx="5361024" cy="3150636"/>
            <wp:effectExtent l="19050" t="0" r="0" b="0"/>
            <wp:docPr id="19"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66127" cy="3153635"/>
                    </a:xfrm>
                    <a:prstGeom prst="rect">
                      <a:avLst/>
                    </a:prstGeom>
                    <a:noFill/>
                    <a:ln>
                      <a:noFill/>
                    </a:ln>
                  </pic:spPr>
                </pic:pic>
              </a:graphicData>
            </a:graphic>
          </wp:inline>
        </w:drawing>
      </w:r>
    </w:p>
    <w:p w:rsidR="00192DB6" w:rsidRPr="00A0155C" w:rsidRDefault="00192DB6" w:rsidP="00CE6EAD">
      <w:pPr>
        <w:pStyle w:val="Fonte"/>
        <w:spacing w:before="0"/>
      </w:pPr>
      <w:r>
        <w:t>FONTE: IBGE (2010)</w:t>
      </w:r>
    </w:p>
    <w:p w:rsidR="00192DB6" w:rsidRPr="00A13597" w:rsidRDefault="00192DB6" w:rsidP="00CB6D10">
      <w:pPr>
        <w:pStyle w:val="CM72"/>
        <w:spacing w:line="360" w:lineRule="auto"/>
        <w:ind w:firstLine="709"/>
        <w:jc w:val="both"/>
        <w:rPr>
          <w:rFonts w:ascii="Times New Roman" w:hAnsi="Times New Roman" w:cs="Times New Roman"/>
        </w:rPr>
      </w:pPr>
      <w:r w:rsidRPr="00A13597">
        <w:rPr>
          <w:rFonts w:ascii="Times New Roman" w:hAnsi="Times New Roman" w:cs="Times New Roman"/>
        </w:rPr>
        <w:t>Em 2010, segundo dados do Censo IBGE daquele ano, a população aimoreense era composta por 9786 brancos (39,21%); 1361 negros (5,45%); 203 amarelos (0,81%); 13510 pardos (54,13%); e 99 indígenas (0,4%).</w:t>
      </w:r>
    </w:p>
    <w:p w:rsidR="00192DB6" w:rsidRPr="00BE408D" w:rsidRDefault="008E169C" w:rsidP="00971B37">
      <w:pPr>
        <w:pStyle w:val="Titulo"/>
      </w:pPr>
      <w:bookmarkStart w:id="109" w:name="_Toc372559056"/>
      <w:bookmarkStart w:id="110" w:name="_Toc372789496"/>
      <w:r>
        <w:t xml:space="preserve">8.3.2 </w:t>
      </w:r>
      <w:r w:rsidR="00192DB6" w:rsidRPr="00BE408D">
        <w:t xml:space="preserve">Condições do </w:t>
      </w:r>
      <w:r w:rsidR="00192DB6" w:rsidRPr="00166C63">
        <w:rPr>
          <w:i/>
        </w:rPr>
        <w:t>Habitat</w:t>
      </w:r>
      <w:r w:rsidR="00192DB6" w:rsidRPr="00BE408D">
        <w:t xml:space="preserve"> Familiar e Infraestruturas Disponíveis</w:t>
      </w:r>
      <w:bookmarkEnd w:id="109"/>
      <w:bookmarkEnd w:id="110"/>
    </w:p>
    <w:p w:rsidR="00192DB6" w:rsidRPr="00A13597" w:rsidRDefault="00192DB6" w:rsidP="00CB6D10">
      <w:pPr>
        <w:pStyle w:val="CM72"/>
        <w:spacing w:line="360" w:lineRule="auto"/>
        <w:ind w:firstLine="709"/>
        <w:jc w:val="both"/>
        <w:rPr>
          <w:rFonts w:ascii="Times New Roman" w:hAnsi="Times New Roman" w:cs="Times New Roman"/>
        </w:rPr>
      </w:pPr>
      <w:r w:rsidRPr="00A13597">
        <w:rPr>
          <w:rFonts w:ascii="Times New Roman" w:hAnsi="Times New Roman" w:cs="Times New Roman"/>
        </w:rPr>
        <w:t xml:space="preserve">As condições do </w:t>
      </w:r>
      <w:r w:rsidRPr="00A13597">
        <w:rPr>
          <w:rFonts w:ascii="Times New Roman" w:hAnsi="Times New Roman" w:cs="Times New Roman"/>
          <w:i/>
        </w:rPr>
        <w:t>habitat</w:t>
      </w:r>
      <w:r w:rsidRPr="00A13597">
        <w:rPr>
          <w:rFonts w:ascii="Times New Roman" w:hAnsi="Times New Roman" w:cs="Times New Roman"/>
        </w:rPr>
        <w:t xml:space="preserve"> familiar representam uma das principais dimensões da qualidade de vida </w:t>
      </w:r>
      <w:r w:rsidR="00A13597">
        <w:rPr>
          <w:rFonts w:ascii="Times New Roman" w:hAnsi="Times New Roman" w:cs="Times New Roman"/>
        </w:rPr>
        <w:t>da população,</w:t>
      </w:r>
      <w:r w:rsidRPr="00A13597">
        <w:rPr>
          <w:rFonts w:ascii="Times New Roman" w:hAnsi="Times New Roman" w:cs="Times New Roman"/>
        </w:rPr>
        <w:t xml:space="preserve"> considerando sua relação com a saúde. Na análise dessa categoria considerou-se: tipo de moradia e propriedade do domicilio, a forma de acesso a água, coleta de lixo, esgotamento sanitário, acesso à eletricidade, déficit habitacional (densidade de moradores por dormitório); além da disponibilidade de infraestruturas comunitárias.</w:t>
      </w:r>
    </w:p>
    <w:p w:rsidR="00192DB6" w:rsidRDefault="00192DB6" w:rsidP="00CB6D10">
      <w:pPr>
        <w:pStyle w:val="CM72"/>
        <w:spacing w:line="360" w:lineRule="auto"/>
        <w:ind w:firstLine="709"/>
        <w:jc w:val="both"/>
        <w:rPr>
          <w:rFonts w:ascii="Times New Roman" w:hAnsi="Times New Roman" w:cs="Times New Roman"/>
        </w:rPr>
      </w:pPr>
      <w:r w:rsidRPr="00A13597">
        <w:rPr>
          <w:rFonts w:ascii="Times New Roman" w:hAnsi="Times New Roman" w:cs="Times New Roman"/>
        </w:rPr>
        <w:t>Segundo dados do IBGE, no ano de 2010, a cidade tinha 8</w:t>
      </w:r>
      <w:r w:rsidR="00CB6D10">
        <w:rPr>
          <w:rFonts w:ascii="Times New Roman" w:hAnsi="Times New Roman" w:cs="Times New Roman"/>
        </w:rPr>
        <w:t>.</w:t>
      </w:r>
      <w:r w:rsidRPr="00A13597">
        <w:rPr>
          <w:rFonts w:ascii="Times New Roman" w:hAnsi="Times New Roman" w:cs="Times New Roman"/>
        </w:rPr>
        <w:t>238 domicílios particulares permanentes. Desse total, a maioria eram casas, seguidas por apartamentos, além de casas de vila ou condomínios e habitações em cortiços. Em termos da condição de ocupação, 5</w:t>
      </w:r>
      <w:r w:rsidR="00CB6D10">
        <w:rPr>
          <w:rFonts w:ascii="Times New Roman" w:hAnsi="Times New Roman" w:cs="Times New Roman"/>
        </w:rPr>
        <w:t>.</w:t>
      </w:r>
      <w:r w:rsidRPr="00A13597">
        <w:rPr>
          <w:rFonts w:ascii="Times New Roman" w:hAnsi="Times New Roman" w:cs="Times New Roman"/>
        </w:rPr>
        <w:t>669 eram imóveis próprios (5</w:t>
      </w:r>
      <w:r w:rsidR="00CB6D10">
        <w:rPr>
          <w:rFonts w:ascii="Times New Roman" w:hAnsi="Times New Roman" w:cs="Times New Roman"/>
        </w:rPr>
        <w:t>.</w:t>
      </w:r>
      <w:r w:rsidRPr="00A13597">
        <w:rPr>
          <w:rFonts w:ascii="Times New Roman" w:hAnsi="Times New Roman" w:cs="Times New Roman"/>
        </w:rPr>
        <w:t>320 próprios já quitados e 349 em aquisição); 1</w:t>
      </w:r>
      <w:r w:rsidR="00CB6D10">
        <w:rPr>
          <w:rFonts w:ascii="Times New Roman" w:hAnsi="Times New Roman" w:cs="Times New Roman"/>
        </w:rPr>
        <w:t>.</w:t>
      </w:r>
      <w:r w:rsidRPr="00A13597">
        <w:rPr>
          <w:rFonts w:ascii="Times New Roman" w:hAnsi="Times New Roman" w:cs="Times New Roman"/>
        </w:rPr>
        <w:t>339 foram alugados; 1</w:t>
      </w:r>
      <w:r w:rsidR="00CB6D10">
        <w:rPr>
          <w:rFonts w:ascii="Times New Roman" w:hAnsi="Times New Roman" w:cs="Times New Roman"/>
        </w:rPr>
        <w:t>.</w:t>
      </w:r>
      <w:r w:rsidRPr="00A13597">
        <w:rPr>
          <w:rFonts w:ascii="Times New Roman" w:hAnsi="Times New Roman" w:cs="Times New Roman"/>
        </w:rPr>
        <w:t xml:space="preserve">175 foram cedidos (455 cedidos por empregador e 720 cedidos de </w:t>
      </w:r>
      <w:r w:rsidRPr="00A13597">
        <w:rPr>
          <w:rFonts w:ascii="Times New Roman" w:hAnsi="Times New Roman" w:cs="Times New Roman"/>
        </w:rPr>
        <w:lastRenderedPageBreak/>
        <w:t xml:space="preserve">outra forma) e 55 foram ocupados de outra maneira. Constatou-se, conforme Figura </w:t>
      </w:r>
      <w:r w:rsidR="00CB6D10">
        <w:rPr>
          <w:rFonts w:ascii="Times New Roman" w:hAnsi="Times New Roman" w:cs="Times New Roman"/>
        </w:rPr>
        <w:t>28</w:t>
      </w:r>
      <w:r w:rsidRPr="00A13597">
        <w:rPr>
          <w:rFonts w:ascii="Times New Roman" w:hAnsi="Times New Roman" w:cs="Times New Roman"/>
        </w:rPr>
        <w:t xml:space="preserve">, uma redução do número de domicílios cedidos, com aumento dos próprios e alugados, pelo incremento populacional registrado na área urbana. </w:t>
      </w:r>
    </w:p>
    <w:p w:rsidR="003419B4" w:rsidRPr="003419B4" w:rsidRDefault="00CB07F3" w:rsidP="00CB07F3">
      <w:pPr>
        <w:pStyle w:val="Legenda"/>
      </w:pPr>
      <w:bookmarkStart w:id="111" w:name="_Toc372740111"/>
      <w:r>
        <w:t xml:space="preserve">Figura </w:t>
      </w:r>
      <w:fldSimple w:instr=" SEQ Figura \* ARABIC ">
        <w:r w:rsidR="004F77E2">
          <w:rPr>
            <w:noProof/>
          </w:rPr>
          <w:t>28</w:t>
        </w:r>
      </w:fldSimple>
      <w:r>
        <w:t xml:space="preserve"> - </w:t>
      </w:r>
      <w:r w:rsidRPr="00305796">
        <w:t>Percentual de moradores segundo condição de ocupação, Aimorés/MG, 1991/2010.</w:t>
      </w:r>
      <w:bookmarkEnd w:id="111"/>
    </w:p>
    <w:p w:rsidR="00192DB6" w:rsidRPr="00BE408D" w:rsidRDefault="00192DB6" w:rsidP="00192DB6">
      <w:pPr>
        <w:autoSpaceDE w:val="0"/>
        <w:autoSpaceDN w:val="0"/>
        <w:adjustRightInd w:val="0"/>
        <w:spacing w:after="0" w:line="360" w:lineRule="auto"/>
        <w:jc w:val="both"/>
        <w:rPr>
          <w:rFonts w:ascii="Comic Sans MS" w:hAnsi="Comic Sans MS" w:cs="Calibri"/>
          <w:color w:val="000000" w:themeColor="text1"/>
          <w:sz w:val="26"/>
          <w:szCs w:val="26"/>
        </w:rPr>
      </w:pPr>
      <w:r w:rsidRPr="0090450E">
        <w:rPr>
          <w:noProof/>
          <w:lang w:eastAsia="pt-BR"/>
        </w:rPr>
        <w:drawing>
          <wp:inline distT="0" distB="0" distL="0" distR="0" wp14:anchorId="60ADA7CB" wp14:editId="010B0DF6">
            <wp:extent cx="5411116" cy="3247958"/>
            <wp:effectExtent l="19050" t="0" r="0" b="0"/>
            <wp:docPr id="21"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413384" cy="3249319"/>
                    </a:xfrm>
                    <a:prstGeom prst="rect">
                      <a:avLst/>
                    </a:prstGeom>
                    <a:noFill/>
                    <a:ln>
                      <a:noFill/>
                    </a:ln>
                  </pic:spPr>
                </pic:pic>
              </a:graphicData>
            </a:graphic>
          </wp:inline>
        </w:drawing>
      </w:r>
    </w:p>
    <w:p w:rsidR="00192DB6" w:rsidRDefault="00192DB6" w:rsidP="00CB6D10">
      <w:pPr>
        <w:pStyle w:val="Fonte"/>
        <w:spacing w:before="0"/>
      </w:pPr>
      <w:r>
        <w:t>FONTE: IBGE (2010)</w:t>
      </w:r>
    </w:p>
    <w:p w:rsidR="00192DB6" w:rsidRPr="00A13597" w:rsidRDefault="00192DB6" w:rsidP="003F5401">
      <w:pPr>
        <w:pStyle w:val="CM72"/>
        <w:spacing w:line="360" w:lineRule="auto"/>
        <w:ind w:firstLine="709"/>
        <w:jc w:val="both"/>
        <w:rPr>
          <w:rFonts w:ascii="Times New Roman" w:hAnsi="Times New Roman" w:cs="Times New Roman"/>
        </w:rPr>
      </w:pPr>
      <w:r w:rsidRPr="00A13597">
        <w:rPr>
          <w:rFonts w:ascii="Times New Roman" w:hAnsi="Times New Roman" w:cs="Times New Roman"/>
        </w:rPr>
        <w:t>Não existe no município legislação específica e nem programas que disponham sobre regularização fundiária, existindo, em 2010, 509 moradores urbanos vivendo em aglomerados subnormais (favelas e similares).</w:t>
      </w:r>
    </w:p>
    <w:p w:rsidR="00CB6D10" w:rsidRDefault="00192DB6" w:rsidP="00971B37">
      <w:pPr>
        <w:pStyle w:val="CM72"/>
        <w:spacing w:line="360" w:lineRule="auto"/>
        <w:ind w:firstLine="709"/>
        <w:jc w:val="both"/>
        <w:rPr>
          <w:rFonts w:cs="Times New Roman"/>
          <w:bCs/>
        </w:rPr>
      </w:pPr>
      <w:r w:rsidRPr="00A13597">
        <w:rPr>
          <w:rFonts w:ascii="Times New Roman" w:hAnsi="Times New Roman" w:cs="Times New Roman"/>
        </w:rPr>
        <w:t xml:space="preserve">Informações do DataSUS (2013) mostram que 88,4% da população era atendida por sistema de esgotamento sanitário; 79,6% dos domicílios contam com rede geral de abastecimento de água; enquanto 100% das residências da área urbana dispõem do sistema de coleta e tratamento de lixo, feito por meio </w:t>
      </w:r>
      <w:r w:rsidR="00CB6D10">
        <w:rPr>
          <w:rFonts w:ascii="Times New Roman" w:hAnsi="Times New Roman" w:cs="Times New Roman"/>
        </w:rPr>
        <w:t>caminhões e dispostos em</w:t>
      </w:r>
      <w:r w:rsidRPr="00A13597">
        <w:rPr>
          <w:rFonts w:ascii="Times New Roman" w:hAnsi="Times New Roman" w:cs="Times New Roman"/>
        </w:rPr>
        <w:t xml:space="preserve"> aterro sanitário, conforme dados do Índice Mineiro de Responsabilidade (FJP, 2013), expostos na Figura </w:t>
      </w:r>
      <w:r w:rsidR="00CB6D10">
        <w:rPr>
          <w:rFonts w:ascii="Times New Roman" w:hAnsi="Times New Roman" w:cs="Times New Roman"/>
        </w:rPr>
        <w:t>29</w:t>
      </w:r>
      <w:r w:rsidRPr="00A13597">
        <w:rPr>
          <w:rFonts w:ascii="Times New Roman" w:hAnsi="Times New Roman" w:cs="Times New Roman"/>
        </w:rPr>
        <w:t>. Esse atendimento em termos de saneamento resultava, em um gasto per capita de R$19,42 de dez/2010, por habitante.</w:t>
      </w:r>
      <w:bookmarkStart w:id="112" w:name="_Toc372117069"/>
      <w:r w:rsidR="00CB6D10">
        <w:br w:type="page"/>
      </w:r>
    </w:p>
    <w:p w:rsidR="003419B4" w:rsidRPr="003419B4" w:rsidRDefault="00CB07F3" w:rsidP="00CB07F3">
      <w:pPr>
        <w:pStyle w:val="Legenda"/>
      </w:pPr>
      <w:bookmarkStart w:id="113" w:name="_Toc372740112"/>
      <w:bookmarkEnd w:id="112"/>
      <w:r>
        <w:lastRenderedPageBreak/>
        <w:t xml:space="preserve">Figura </w:t>
      </w:r>
      <w:fldSimple w:instr=" SEQ Figura \* ARABIC ">
        <w:r w:rsidR="004F77E2">
          <w:rPr>
            <w:noProof/>
          </w:rPr>
          <w:t>29</w:t>
        </w:r>
      </w:fldSimple>
      <w:r>
        <w:t xml:space="preserve"> - </w:t>
      </w:r>
      <w:r w:rsidRPr="00B55711">
        <w:rPr>
          <w:noProof/>
        </w:rPr>
        <w:t>Percentual de moradores com acesso a água, sistema de esgoto e de coleta de lixo, Aimorés/MG, 1991/2010.</w:t>
      </w:r>
      <w:bookmarkEnd w:id="113"/>
    </w:p>
    <w:p w:rsidR="00192DB6" w:rsidRDefault="00192DB6" w:rsidP="00192DB6">
      <w:pPr>
        <w:autoSpaceDE w:val="0"/>
        <w:autoSpaceDN w:val="0"/>
        <w:adjustRightInd w:val="0"/>
        <w:spacing w:after="0" w:line="360" w:lineRule="auto"/>
        <w:jc w:val="both"/>
        <w:rPr>
          <w:rFonts w:ascii="Comic Sans MS" w:hAnsi="Comic Sans MS" w:cs="Calibri"/>
          <w:color w:val="000000" w:themeColor="text1"/>
          <w:sz w:val="26"/>
          <w:szCs w:val="26"/>
        </w:rPr>
      </w:pPr>
      <w:r w:rsidRPr="0090450E">
        <w:rPr>
          <w:noProof/>
          <w:lang w:eastAsia="pt-BR"/>
        </w:rPr>
        <w:drawing>
          <wp:inline distT="0" distB="0" distL="0" distR="0" wp14:anchorId="20234978" wp14:editId="04C655CB">
            <wp:extent cx="5401340" cy="3241651"/>
            <wp:effectExtent l="19050" t="0" r="8860" b="0"/>
            <wp:docPr id="22"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04937" cy="3243810"/>
                    </a:xfrm>
                    <a:prstGeom prst="rect">
                      <a:avLst/>
                    </a:prstGeom>
                    <a:noFill/>
                    <a:ln>
                      <a:noFill/>
                    </a:ln>
                  </pic:spPr>
                </pic:pic>
              </a:graphicData>
            </a:graphic>
          </wp:inline>
        </w:drawing>
      </w:r>
    </w:p>
    <w:p w:rsidR="00192DB6" w:rsidRPr="0090450E" w:rsidRDefault="00192DB6" w:rsidP="00CB6D10">
      <w:pPr>
        <w:pStyle w:val="Fonte"/>
        <w:spacing w:before="0"/>
      </w:pPr>
      <w:r w:rsidRPr="0090450E">
        <w:t>FONTE: DATASUS (2013); FJP (2013).</w:t>
      </w:r>
    </w:p>
    <w:p w:rsidR="00192DB6" w:rsidRPr="00A13597" w:rsidRDefault="00192DB6" w:rsidP="00632A7E">
      <w:pPr>
        <w:pStyle w:val="CM72"/>
        <w:spacing w:line="360" w:lineRule="auto"/>
        <w:ind w:firstLine="709"/>
        <w:jc w:val="both"/>
        <w:rPr>
          <w:rFonts w:ascii="Times New Roman" w:hAnsi="Times New Roman" w:cs="Times New Roman"/>
        </w:rPr>
      </w:pPr>
      <w:r w:rsidRPr="00A13597">
        <w:rPr>
          <w:rFonts w:ascii="Times New Roman" w:hAnsi="Times New Roman" w:cs="Times New Roman"/>
        </w:rPr>
        <w:t>Além disso, 8</w:t>
      </w:r>
      <w:r w:rsidR="00CB6D10">
        <w:rPr>
          <w:rFonts w:ascii="Times New Roman" w:hAnsi="Times New Roman" w:cs="Times New Roman"/>
        </w:rPr>
        <w:t>.</w:t>
      </w:r>
      <w:r w:rsidRPr="00A13597">
        <w:rPr>
          <w:rFonts w:ascii="Times New Roman" w:hAnsi="Times New Roman" w:cs="Times New Roman"/>
        </w:rPr>
        <w:t>138 (98,8%) possuíam banheiros para uso exclusivo das residências e 8</w:t>
      </w:r>
      <w:r w:rsidR="00CB6D10">
        <w:rPr>
          <w:rFonts w:ascii="Times New Roman" w:hAnsi="Times New Roman" w:cs="Times New Roman"/>
        </w:rPr>
        <w:t>.</w:t>
      </w:r>
      <w:r w:rsidRPr="00A13597">
        <w:rPr>
          <w:rFonts w:ascii="Times New Roman" w:hAnsi="Times New Roman" w:cs="Times New Roman"/>
        </w:rPr>
        <w:t xml:space="preserve">194 (99,5%) contavam com abastecimento de energia elétrica. O serviço de abastecimento de </w:t>
      </w:r>
      <w:hyperlink r:id="rId58" w:tooltip="Energia elétrica" w:history="1">
        <w:r w:rsidRPr="00A13597">
          <w:rPr>
            <w:rFonts w:ascii="Times New Roman" w:hAnsi="Times New Roman" w:cs="Times New Roman"/>
          </w:rPr>
          <w:t>energia elétrica</w:t>
        </w:r>
      </w:hyperlink>
      <w:r w:rsidRPr="00A13597">
        <w:rPr>
          <w:rFonts w:ascii="Times New Roman" w:hAnsi="Times New Roman" w:cs="Times New Roman"/>
        </w:rPr>
        <w:t xml:space="preserve"> do município é feito pela </w:t>
      </w:r>
      <w:hyperlink r:id="rId59" w:tooltip="Companhia Energética de Minas Gerais" w:history="1">
        <w:r w:rsidRPr="00A13597">
          <w:rPr>
            <w:rFonts w:ascii="Times New Roman" w:hAnsi="Times New Roman" w:cs="Times New Roman"/>
          </w:rPr>
          <w:t>Companhia Energética de Minas Gerais</w:t>
        </w:r>
      </w:hyperlink>
      <w:r w:rsidRPr="00A13597">
        <w:rPr>
          <w:rFonts w:ascii="Times New Roman" w:hAnsi="Times New Roman" w:cs="Times New Roman"/>
        </w:rPr>
        <w:t xml:space="preserve"> (CEMIG). Segundo a empresa, no ano de 2003, havia 8</w:t>
      </w:r>
      <w:r w:rsidR="00CB6D10">
        <w:rPr>
          <w:rFonts w:ascii="Times New Roman" w:hAnsi="Times New Roman" w:cs="Times New Roman"/>
        </w:rPr>
        <w:t>.</w:t>
      </w:r>
      <w:r w:rsidRPr="00A13597">
        <w:rPr>
          <w:rFonts w:ascii="Times New Roman" w:hAnsi="Times New Roman" w:cs="Times New Roman"/>
        </w:rPr>
        <w:t>621 consumidores (sendo 6</w:t>
      </w:r>
      <w:r w:rsidR="00CB6D10">
        <w:rPr>
          <w:rFonts w:ascii="Times New Roman" w:hAnsi="Times New Roman" w:cs="Times New Roman"/>
        </w:rPr>
        <w:t>.</w:t>
      </w:r>
      <w:r w:rsidRPr="00A13597">
        <w:rPr>
          <w:rFonts w:ascii="Times New Roman" w:hAnsi="Times New Roman" w:cs="Times New Roman"/>
        </w:rPr>
        <w:t>582 consumidores residenciais), tendo sido consumidos 24</w:t>
      </w:r>
      <w:r w:rsidR="00CB6D10">
        <w:rPr>
          <w:rFonts w:ascii="Times New Roman" w:hAnsi="Times New Roman" w:cs="Times New Roman"/>
        </w:rPr>
        <w:t>.</w:t>
      </w:r>
      <w:r w:rsidRPr="00A13597">
        <w:rPr>
          <w:rFonts w:ascii="Times New Roman" w:hAnsi="Times New Roman" w:cs="Times New Roman"/>
        </w:rPr>
        <w:t>165</w:t>
      </w:r>
      <w:r w:rsidR="00CB6D10">
        <w:rPr>
          <w:rFonts w:ascii="Times New Roman" w:hAnsi="Times New Roman" w:cs="Times New Roman"/>
        </w:rPr>
        <w:t>.</w:t>
      </w:r>
      <w:r w:rsidRPr="00A13597">
        <w:rPr>
          <w:rFonts w:ascii="Times New Roman" w:hAnsi="Times New Roman" w:cs="Times New Roman"/>
        </w:rPr>
        <w:t xml:space="preserve">730 </w:t>
      </w:r>
      <w:hyperlink r:id="rId60" w:tooltip="KWh" w:history="1">
        <w:r w:rsidRPr="00A13597">
          <w:rPr>
            <w:rFonts w:ascii="Times New Roman" w:hAnsi="Times New Roman" w:cs="Times New Roman"/>
          </w:rPr>
          <w:t>KWh</w:t>
        </w:r>
      </w:hyperlink>
      <w:r w:rsidRPr="00A13597">
        <w:rPr>
          <w:rFonts w:ascii="Times New Roman" w:hAnsi="Times New Roman" w:cs="Times New Roman"/>
        </w:rPr>
        <w:t xml:space="preserve"> de energia. A energia produzida pela Usina Hidrelétrica de Aimorés é direcionada para uma subestação, que </w:t>
      </w:r>
      <w:r w:rsidR="00632A7E">
        <w:rPr>
          <w:rFonts w:ascii="Times New Roman" w:hAnsi="Times New Roman" w:cs="Times New Roman"/>
        </w:rPr>
        <w:t xml:space="preserve">a </w:t>
      </w:r>
      <w:r w:rsidRPr="00A13597">
        <w:rPr>
          <w:rFonts w:ascii="Times New Roman" w:hAnsi="Times New Roman" w:cs="Times New Roman"/>
        </w:rPr>
        <w:t xml:space="preserve">encaminha para o sistema elétrico brasileiro. O serviço de abastecimento de água e coleta de esgoto da cidade é feito pela </w:t>
      </w:r>
      <w:r w:rsidR="00632A7E">
        <w:rPr>
          <w:rFonts w:ascii="Times New Roman" w:hAnsi="Times New Roman" w:cs="Times New Roman"/>
        </w:rPr>
        <w:t>autarquia SAAE</w:t>
      </w:r>
      <w:r w:rsidRPr="00A13597">
        <w:rPr>
          <w:rFonts w:ascii="Times New Roman" w:hAnsi="Times New Roman" w:cs="Times New Roman"/>
        </w:rPr>
        <w:t xml:space="preserve">. </w:t>
      </w:r>
    </w:p>
    <w:p w:rsidR="00192DB6" w:rsidRPr="00A13597" w:rsidRDefault="00192DB6" w:rsidP="00632A7E">
      <w:pPr>
        <w:pStyle w:val="CM72"/>
        <w:spacing w:line="360" w:lineRule="auto"/>
        <w:ind w:firstLine="709"/>
        <w:jc w:val="both"/>
        <w:rPr>
          <w:rFonts w:ascii="Times New Roman" w:hAnsi="Times New Roman" w:cs="Times New Roman"/>
        </w:rPr>
      </w:pPr>
      <w:r w:rsidRPr="00A13597">
        <w:rPr>
          <w:rFonts w:ascii="Times New Roman" w:hAnsi="Times New Roman" w:cs="Times New Roman"/>
        </w:rPr>
        <w:t>Em termos do meio ambiente, o município de Aimorés possui 12,04% de cobertura vegetal por Mata Atlântica; 12,26% por flora nativa e 0,07% por reflorestamento, o que lhe confere, pelo critério ecológico da Lei Robin Hood, um valor de R$</w:t>
      </w:r>
      <w:r w:rsidR="00632A7E">
        <w:rPr>
          <w:rFonts w:ascii="Times New Roman" w:hAnsi="Times New Roman" w:cs="Times New Roman"/>
        </w:rPr>
        <w:t xml:space="preserve"> </w:t>
      </w:r>
      <w:r w:rsidRPr="00A13597">
        <w:rPr>
          <w:rFonts w:ascii="Times New Roman" w:hAnsi="Times New Roman" w:cs="Times New Roman"/>
        </w:rPr>
        <w:t>237</w:t>
      </w:r>
      <w:r w:rsidR="00632A7E">
        <w:rPr>
          <w:rFonts w:ascii="Times New Roman" w:hAnsi="Times New Roman" w:cs="Times New Roman"/>
        </w:rPr>
        <w:t>.</w:t>
      </w:r>
      <w:r w:rsidRPr="00A13597">
        <w:rPr>
          <w:rFonts w:ascii="Times New Roman" w:hAnsi="Times New Roman" w:cs="Times New Roman"/>
        </w:rPr>
        <w:t>720,01</w:t>
      </w:r>
      <w:r w:rsidR="00632A7E">
        <w:rPr>
          <w:rFonts w:ascii="Times New Roman" w:hAnsi="Times New Roman" w:cs="Times New Roman"/>
        </w:rPr>
        <w:t>.</w:t>
      </w:r>
      <w:r w:rsidRPr="00A13597">
        <w:rPr>
          <w:rFonts w:ascii="Times New Roman" w:hAnsi="Times New Roman" w:cs="Times New Roman"/>
        </w:rPr>
        <w:t xml:space="preserve"> Conta com o Conselho Municipal de Meio Ambiente em atividade, com um gasto per capita com</w:t>
      </w:r>
      <w:r w:rsidR="00632A7E">
        <w:rPr>
          <w:rFonts w:ascii="Times New Roman" w:hAnsi="Times New Roman" w:cs="Times New Roman"/>
        </w:rPr>
        <w:t xml:space="preserve"> o</w:t>
      </w:r>
      <w:r w:rsidRPr="00A13597">
        <w:rPr>
          <w:rFonts w:ascii="Times New Roman" w:hAnsi="Times New Roman" w:cs="Times New Roman"/>
        </w:rPr>
        <w:t xml:space="preserve"> meio ambiente no valor de R$</w:t>
      </w:r>
      <w:r w:rsidR="00632A7E">
        <w:rPr>
          <w:rFonts w:ascii="Times New Roman" w:hAnsi="Times New Roman" w:cs="Times New Roman"/>
        </w:rPr>
        <w:t xml:space="preserve"> </w:t>
      </w:r>
      <w:r w:rsidRPr="00A13597">
        <w:rPr>
          <w:rFonts w:ascii="Times New Roman" w:hAnsi="Times New Roman" w:cs="Times New Roman"/>
        </w:rPr>
        <w:t>63,81 (FJP, 2013).</w:t>
      </w:r>
    </w:p>
    <w:p w:rsidR="00192DB6" w:rsidRPr="00A13597" w:rsidRDefault="00192DB6" w:rsidP="00632A7E">
      <w:pPr>
        <w:pStyle w:val="CM72"/>
        <w:spacing w:line="360" w:lineRule="auto"/>
        <w:ind w:firstLine="709"/>
        <w:jc w:val="both"/>
        <w:rPr>
          <w:rFonts w:ascii="Times New Roman" w:hAnsi="Times New Roman" w:cs="Times New Roman"/>
        </w:rPr>
      </w:pPr>
      <w:r w:rsidRPr="00A13597">
        <w:rPr>
          <w:rFonts w:ascii="Times New Roman" w:hAnsi="Times New Roman" w:cs="Times New Roman"/>
        </w:rPr>
        <w:t xml:space="preserve">Quanto à densidade habitacional, resultante da relação entre número de pessoas residentes no domicílio e número de quartos disponíveis, pôde-se constatar que 9,3% dos </w:t>
      </w:r>
      <w:r w:rsidRPr="00A13597">
        <w:rPr>
          <w:rFonts w:ascii="Times New Roman" w:hAnsi="Times New Roman" w:cs="Times New Roman"/>
        </w:rPr>
        <w:lastRenderedPageBreak/>
        <w:t xml:space="preserve">domicílios de Aimorés apresentavam, em 2000, uma situação de déficit (mais de 2 pessoas vivendo em um mesmo quarto). Comparando esse valor com os dados de 1991, constata-se que o déficit habitacional era mais elevado, considerando que 16,59% das pessoas viviam em domicílios com densidade acima de 2,0 pessoas por dormitório. Dentre os municípios da microrregião </w:t>
      </w:r>
      <w:r w:rsidR="00632A7E">
        <w:rPr>
          <w:rFonts w:ascii="Times New Roman" w:hAnsi="Times New Roman" w:cs="Times New Roman"/>
        </w:rPr>
        <w:t xml:space="preserve">de </w:t>
      </w:r>
      <w:r w:rsidRPr="00A13597">
        <w:rPr>
          <w:rFonts w:ascii="Times New Roman" w:hAnsi="Times New Roman" w:cs="Times New Roman"/>
        </w:rPr>
        <w:t>Aimorés</w:t>
      </w:r>
      <w:r w:rsidR="00632A7E">
        <w:rPr>
          <w:rFonts w:ascii="Times New Roman" w:hAnsi="Times New Roman" w:cs="Times New Roman"/>
        </w:rPr>
        <w:t>,</w:t>
      </w:r>
      <w:r w:rsidRPr="00A13597">
        <w:rPr>
          <w:rFonts w:ascii="Times New Roman" w:hAnsi="Times New Roman" w:cs="Times New Roman"/>
        </w:rPr>
        <w:t xml:space="preserve"> o município com o melhor valor era Conceição de Ipanema</w:t>
      </w:r>
      <w:r w:rsidR="00632A7E">
        <w:rPr>
          <w:rFonts w:ascii="Times New Roman" w:hAnsi="Times New Roman" w:cs="Times New Roman"/>
        </w:rPr>
        <w:t>,</w:t>
      </w:r>
      <w:r w:rsidRPr="00A13597">
        <w:rPr>
          <w:rFonts w:ascii="Times New Roman" w:hAnsi="Times New Roman" w:cs="Times New Roman"/>
        </w:rPr>
        <w:t xml:space="preserve"> com 7,10%, e o município com o pior valor era Resplendor, com de 13,28% (PNUD, 2000).</w:t>
      </w:r>
    </w:p>
    <w:p w:rsidR="00192DB6" w:rsidRPr="00A13597" w:rsidRDefault="00192DB6" w:rsidP="00632A7E">
      <w:pPr>
        <w:pStyle w:val="CM72"/>
        <w:spacing w:line="360" w:lineRule="auto"/>
        <w:ind w:firstLine="709"/>
        <w:jc w:val="both"/>
        <w:rPr>
          <w:rFonts w:ascii="Times New Roman" w:hAnsi="Times New Roman" w:cs="Times New Roman"/>
        </w:rPr>
      </w:pPr>
      <w:r w:rsidRPr="00A13597">
        <w:rPr>
          <w:rFonts w:ascii="Times New Roman" w:hAnsi="Times New Roman" w:cs="Times New Roman"/>
        </w:rPr>
        <w:t>Com relação às infraestruturas comunitárias disponíveis, pode-se constatar que diferentes tipos de serviços são oferecidos à população, como: 01 Hospital, com 47 leitos e 04, clínicas; 05 Agências Bancárias (Sicoob, Bradesco, Caixa, Itaú, Brasil); 25 Escolas Fundamentais (públic</w:t>
      </w:r>
      <w:r w:rsidR="00632A7E">
        <w:rPr>
          <w:rFonts w:ascii="Times New Roman" w:hAnsi="Times New Roman" w:cs="Times New Roman"/>
        </w:rPr>
        <w:t>as</w:t>
      </w:r>
      <w:r w:rsidRPr="00A13597">
        <w:rPr>
          <w:rFonts w:ascii="Times New Roman" w:hAnsi="Times New Roman" w:cs="Times New Roman"/>
        </w:rPr>
        <w:t xml:space="preserve"> e privad</w:t>
      </w:r>
      <w:r w:rsidR="00632A7E">
        <w:rPr>
          <w:rFonts w:ascii="Times New Roman" w:hAnsi="Times New Roman" w:cs="Times New Roman"/>
        </w:rPr>
        <w:t>as</w:t>
      </w:r>
      <w:r w:rsidRPr="00A13597">
        <w:rPr>
          <w:rFonts w:ascii="Times New Roman" w:hAnsi="Times New Roman" w:cs="Times New Roman"/>
        </w:rPr>
        <w:t>); 06 Escolas de Ensino Médio (públic</w:t>
      </w:r>
      <w:r w:rsidR="00632A7E">
        <w:rPr>
          <w:rFonts w:ascii="Times New Roman" w:hAnsi="Times New Roman" w:cs="Times New Roman"/>
        </w:rPr>
        <w:t>as</w:t>
      </w:r>
      <w:r w:rsidRPr="00A13597">
        <w:rPr>
          <w:rFonts w:ascii="Times New Roman" w:hAnsi="Times New Roman" w:cs="Times New Roman"/>
        </w:rPr>
        <w:t xml:space="preserve"> e privad</w:t>
      </w:r>
      <w:r w:rsidR="00632A7E">
        <w:rPr>
          <w:rFonts w:ascii="Times New Roman" w:hAnsi="Times New Roman" w:cs="Times New Roman"/>
        </w:rPr>
        <w:t>as</w:t>
      </w:r>
      <w:r w:rsidRPr="00A13597">
        <w:rPr>
          <w:rFonts w:ascii="Times New Roman" w:hAnsi="Times New Roman" w:cs="Times New Roman"/>
        </w:rPr>
        <w:t>); 01 Centro Universitário (UNIPAC); 02 Bibliotecas (UNIPAC e Municipal); 01 Delegacia e 01 Polícia Militar; Telefonia fixa, móvel e rural; 02 emissoras de rádio; 01 Agência de Correio; Instituições de Atendimento a crianças/adolescentes e portadores de deficiência (CAPS e APAE), além de 02 CRAS (sendo um volante) e 01 CREAS; Equipamentos de esporte (02 Academias de rua, 04 Quadras poliesportivas e 05 Campos), praças e parques recreativos; 08 Postos de Combustíveis; 07 Empresas credenciadas em serviços mecânicos; 01 Galeria (Adami); 01 Viveiro (Instituto Terra); 03 Postos de Atendimento ao Turismo (Centro Cultural, Instituto Terra e Parque Botânico), dentre outros.</w:t>
      </w:r>
    </w:p>
    <w:p w:rsidR="00192DB6" w:rsidRPr="00A13597" w:rsidRDefault="00192DB6" w:rsidP="00632A7E">
      <w:pPr>
        <w:pStyle w:val="CM72"/>
        <w:spacing w:line="360" w:lineRule="auto"/>
        <w:ind w:firstLine="709"/>
        <w:jc w:val="both"/>
        <w:rPr>
          <w:rFonts w:ascii="Times New Roman" w:hAnsi="Times New Roman" w:cs="Times New Roman"/>
        </w:rPr>
      </w:pPr>
      <w:r w:rsidRPr="00A13597">
        <w:rPr>
          <w:rFonts w:ascii="Times New Roman" w:hAnsi="Times New Roman" w:cs="Times New Roman"/>
        </w:rPr>
        <w:t>Com respeito à infraestrutura de transporte, o município conta com avenidas duplicadas e pavimentadas e diversos semáforos, visando facilitar o trânsito. Possui transporte ferroviário da Estrada de Ferro Vitória a Minas (EFVM), tendo saídas diárias ligando Belo Horizonte a Vitória; Viações Intermunicipais (Gontijo, Águia Branca, Pretti, Mutum Preto, Suprema, Minastur, Rio Doce); Viações Distritais (Minastur); Linhas Internas de ônibus (Suprema), além de pontos de taxi (na rodoviária, na ferroviária e em frente ao supermercado Frizzerão) e 08 Postos de Combustível.</w:t>
      </w:r>
    </w:p>
    <w:p w:rsidR="00192DB6" w:rsidRPr="00A13597" w:rsidRDefault="00192DB6" w:rsidP="00632A7E">
      <w:pPr>
        <w:pStyle w:val="CM72"/>
        <w:spacing w:line="360" w:lineRule="auto"/>
        <w:ind w:firstLine="709"/>
        <w:jc w:val="both"/>
        <w:rPr>
          <w:rFonts w:ascii="Times New Roman" w:hAnsi="Times New Roman" w:cs="Times New Roman"/>
        </w:rPr>
      </w:pPr>
      <w:r w:rsidRPr="00A13597">
        <w:rPr>
          <w:rFonts w:ascii="Times New Roman" w:hAnsi="Times New Roman" w:cs="Times New Roman"/>
        </w:rPr>
        <w:t xml:space="preserve">Duas rodovias cortam Aimorés, sendo elas a BR-474 e a BR-259, existindo um terminal rodoviário, que liga o município a várias outras cidades de Minas Gerais e do Espírito Santo. Também há um pequeno aeródromo, o Aeroporto de Baixo Guandu/Aimorés, que se situa em Baixo Guandu, próximo à divisa com Aimorés, que é administrado pela prefeitura das duas cidades, estando restrito para operação de aeronaves de pequeno porte e </w:t>
      </w:r>
      <w:r w:rsidRPr="00A13597">
        <w:rPr>
          <w:rFonts w:ascii="Times New Roman" w:hAnsi="Times New Roman" w:cs="Times New Roman"/>
        </w:rPr>
        <w:lastRenderedPageBreak/>
        <w:t xml:space="preserve">em voo livre (WIKIPEDIA, 2013). </w:t>
      </w:r>
    </w:p>
    <w:p w:rsidR="00192DB6" w:rsidRPr="00A13597" w:rsidRDefault="00192DB6" w:rsidP="00632A7E">
      <w:pPr>
        <w:pStyle w:val="CM72"/>
        <w:spacing w:line="360" w:lineRule="auto"/>
        <w:ind w:firstLine="709"/>
        <w:jc w:val="both"/>
        <w:rPr>
          <w:rFonts w:ascii="Times New Roman" w:hAnsi="Times New Roman" w:cs="Times New Roman"/>
        </w:rPr>
      </w:pPr>
      <w:r w:rsidRPr="00A13597">
        <w:rPr>
          <w:rFonts w:ascii="Times New Roman" w:hAnsi="Times New Roman" w:cs="Times New Roman"/>
        </w:rPr>
        <w:t xml:space="preserve">Em termos da assistência espiritual, a cidade de Aimorés dispõe de duas paróquias da Igreja Católica Apostólica Romana, a paróquia de Nossa Senhora do Carmo e a paróquia São Sebastião; além de diversas instituicões protestantes ou reformados, como a </w:t>
      </w:r>
      <w:hyperlink r:id="rId61" w:tooltip="Igreja Cristã Maranata" w:history="1">
        <w:r w:rsidRPr="00A13597">
          <w:rPr>
            <w:rFonts w:ascii="Times New Roman" w:hAnsi="Times New Roman" w:cs="Times New Roman"/>
          </w:rPr>
          <w:t>Igreja Cristã Maranata</w:t>
        </w:r>
      </w:hyperlink>
      <w:r w:rsidRPr="00A13597">
        <w:rPr>
          <w:rFonts w:ascii="Times New Roman" w:hAnsi="Times New Roman" w:cs="Times New Roman"/>
        </w:rPr>
        <w:t xml:space="preserve">, </w:t>
      </w:r>
      <w:hyperlink r:id="rId62" w:tooltip="Igreja Luterana" w:history="1">
        <w:r w:rsidRPr="00A13597">
          <w:rPr>
            <w:rFonts w:ascii="Times New Roman" w:hAnsi="Times New Roman" w:cs="Times New Roman"/>
          </w:rPr>
          <w:t>Igreja Luterana</w:t>
        </w:r>
      </w:hyperlink>
      <w:r w:rsidRPr="00A13597">
        <w:rPr>
          <w:rFonts w:ascii="Times New Roman" w:hAnsi="Times New Roman" w:cs="Times New Roman"/>
        </w:rPr>
        <w:t xml:space="preserve">, a </w:t>
      </w:r>
      <w:hyperlink r:id="rId63" w:tooltip="Igreja Presbiteriana" w:history="1">
        <w:r w:rsidRPr="00A13597">
          <w:rPr>
            <w:rFonts w:ascii="Times New Roman" w:hAnsi="Times New Roman" w:cs="Times New Roman"/>
          </w:rPr>
          <w:t>Igreja Presbiteriana</w:t>
        </w:r>
      </w:hyperlink>
      <w:r w:rsidRPr="00A13597">
        <w:rPr>
          <w:rFonts w:ascii="Times New Roman" w:hAnsi="Times New Roman" w:cs="Times New Roman"/>
        </w:rPr>
        <w:t xml:space="preserve">, a </w:t>
      </w:r>
      <w:hyperlink r:id="rId64" w:tooltip="Igreja Metodista" w:history="1">
        <w:r w:rsidRPr="00A13597">
          <w:rPr>
            <w:rFonts w:ascii="Times New Roman" w:hAnsi="Times New Roman" w:cs="Times New Roman"/>
          </w:rPr>
          <w:t>Igreja Metodista</w:t>
        </w:r>
      </w:hyperlink>
      <w:r w:rsidRPr="00A13597">
        <w:rPr>
          <w:rFonts w:ascii="Times New Roman" w:hAnsi="Times New Roman" w:cs="Times New Roman"/>
        </w:rPr>
        <w:t xml:space="preserve">, as </w:t>
      </w:r>
      <w:hyperlink r:id="rId65" w:tooltip="Igreja Batista" w:history="1">
        <w:r w:rsidRPr="00A13597">
          <w:rPr>
            <w:rFonts w:ascii="Times New Roman" w:hAnsi="Times New Roman" w:cs="Times New Roman"/>
          </w:rPr>
          <w:t>igrejas batistas</w:t>
        </w:r>
      </w:hyperlink>
      <w:r w:rsidRPr="00A13597">
        <w:rPr>
          <w:rFonts w:ascii="Times New Roman" w:hAnsi="Times New Roman" w:cs="Times New Roman"/>
        </w:rPr>
        <w:t xml:space="preserve">, as </w:t>
      </w:r>
      <w:hyperlink r:id="rId66" w:tooltip="Assembleias de Deus (Brasil)" w:history="1">
        <w:r w:rsidRPr="00A13597">
          <w:rPr>
            <w:rFonts w:ascii="Times New Roman" w:hAnsi="Times New Roman" w:cs="Times New Roman"/>
          </w:rPr>
          <w:t>Igrejas Assembleias de Deus</w:t>
        </w:r>
      </w:hyperlink>
      <w:r w:rsidRPr="00A13597">
        <w:rPr>
          <w:rFonts w:ascii="Times New Roman" w:hAnsi="Times New Roman" w:cs="Times New Roman"/>
        </w:rPr>
        <w:t xml:space="preserve">, a </w:t>
      </w:r>
      <w:hyperlink r:id="rId67" w:tooltip="Igreja Adventista do Sétimo Dia" w:history="1">
        <w:r w:rsidRPr="00A13597">
          <w:rPr>
            <w:rFonts w:ascii="Times New Roman" w:hAnsi="Times New Roman" w:cs="Times New Roman"/>
          </w:rPr>
          <w:t>Igreja Adventista do Sétimo Dia</w:t>
        </w:r>
      </w:hyperlink>
      <w:r w:rsidRPr="00A13597">
        <w:rPr>
          <w:rFonts w:ascii="Times New Roman" w:hAnsi="Times New Roman" w:cs="Times New Roman"/>
        </w:rPr>
        <w:t xml:space="preserve">, a </w:t>
      </w:r>
      <w:hyperlink r:id="rId68" w:tooltip="Igreja Mundial do Poder de Deus" w:history="1">
        <w:r w:rsidRPr="00A13597">
          <w:rPr>
            <w:rFonts w:ascii="Times New Roman" w:hAnsi="Times New Roman" w:cs="Times New Roman"/>
          </w:rPr>
          <w:t>Igreja Mundial do Poder de Deus</w:t>
        </w:r>
      </w:hyperlink>
      <w:r w:rsidRPr="00A13597">
        <w:rPr>
          <w:rFonts w:ascii="Times New Roman" w:hAnsi="Times New Roman" w:cs="Times New Roman"/>
        </w:rPr>
        <w:t xml:space="preserve">, a </w:t>
      </w:r>
      <w:hyperlink r:id="rId69" w:tooltip="Igreja Universal do Reino de Deus" w:history="1">
        <w:r w:rsidRPr="00A13597">
          <w:rPr>
            <w:rFonts w:ascii="Times New Roman" w:hAnsi="Times New Roman" w:cs="Times New Roman"/>
          </w:rPr>
          <w:t>Igreja Universal do Reino de Deus</w:t>
        </w:r>
      </w:hyperlink>
      <w:r w:rsidRPr="00A13597">
        <w:rPr>
          <w:rFonts w:ascii="Times New Roman" w:hAnsi="Times New Roman" w:cs="Times New Roman"/>
        </w:rPr>
        <w:t xml:space="preserve">, a </w:t>
      </w:r>
      <w:hyperlink r:id="rId70" w:tooltip="Congregação Cristã no Brasil" w:history="1">
        <w:r w:rsidRPr="00A13597">
          <w:rPr>
            <w:rFonts w:ascii="Times New Roman" w:hAnsi="Times New Roman" w:cs="Times New Roman"/>
          </w:rPr>
          <w:t>Congregação Cristã no Brasil</w:t>
        </w:r>
      </w:hyperlink>
      <w:r w:rsidRPr="00A13597">
        <w:rPr>
          <w:rFonts w:ascii="Times New Roman" w:hAnsi="Times New Roman" w:cs="Times New Roman"/>
        </w:rPr>
        <w:t>, entre outras.</w:t>
      </w:r>
    </w:p>
    <w:p w:rsidR="00192DB6" w:rsidRPr="00971B37" w:rsidRDefault="008E169C" w:rsidP="00971B37">
      <w:pPr>
        <w:pStyle w:val="Titulo"/>
      </w:pPr>
      <w:bookmarkStart w:id="114" w:name="_Toc372559057"/>
      <w:bookmarkStart w:id="115" w:name="_Toc372789497"/>
      <w:r w:rsidRPr="00971B37">
        <w:t xml:space="preserve">8.3.3 </w:t>
      </w:r>
      <w:r w:rsidR="00192DB6" w:rsidRPr="00971B37">
        <w:t>Produção, Emprego, Renda, Pobreza e Desigualdade</w:t>
      </w:r>
      <w:bookmarkEnd w:id="114"/>
      <w:bookmarkEnd w:id="115"/>
    </w:p>
    <w:p w:rsidR="00192DB6" w:rsidRPr="003E1A73" w:rsidRDefault="00192DB6" w:rsidP="00632A7E">
      <w:pPr>
        <w:pStyle w:val="CM72"/>
        <w:spacing w:line="360" w:lineRule="auto"/>
        <w:ind w:firstLine="709"/>
        <w:jc w:val="both"/>
        <w:rPr>
          <w:rFonts w:ascii="Times New Roman" w:hAnsi="Times New Roman" w:cs="Times New Roman"/>
        </w:rPr>
      </w:pPr>
      <w:r w:rsidRPr="003E1A73">
        <w:rPr>
          <w:rFonts w:ascii="Times New Roman" w:hAnsi="Times New Roman" w:cs="Times New Roman"/>
        </w:rPr>
        <w:t xml:space="preserve">Os níveis de produção do município de Aimorés foram dimensionados pelo Produto Interno Bruto (PIB), que é um dos maiores de sua microrregião, destacando-se na área de </w:t>
      </w:r>
      <w:hyperlink r:id="rId71" w:tooltip="Setor terciário" w:history="1">
        <w:r w:rsidRPr="003E1A73">
          <w:rPr>
            <w:rFonts w:ascii="Times New Roman" w:hAnsi="Times New Roman" w:cs="Times New Roman"/>
          </w:rPr>
          <w:t>prestação de serviços</w:t>
        </w:r>
      </w:hyperlink>
      <w:r w:rsidRPr="003E1A73">
        <w:rPr>
          <w:rFonts w:ascii="Times New Roman" w:hAnsi="Times New Roman" w:cs="Times New Roman"/>
        </w:rPr>
        <w:t>. De acordo com dados do IBGE (2011), o PIB do município relativo a 2010 era de R$ 259</w:t>
      </w:r>
      <w:r w:rsidR="00632A7E">
        <w:rPr>
          <w:rFonts w:ascii="Times New Roman" w:hAnsi="Times New Roman" w:cs="Times New Roman"/>
        </w:rPr>
        <w:t>.</w:t>
      </w:r>
      <w:r w:rsidRPr="003E1A73">
        <w:rPr>
          <w:rFonts w:ascii="Times New Roman" w:hAnsi="Times New Roman" w:cs="Times New Roman"/>
        </w:rPr>
        <w:t xml:space="preserve">633 mil e o PIB </w:t>
      </w:r>
      <w:r w:rsidRPr="003E1A73">
        <w:rPr>
          <w:rFonts w:ascii="Times New Roman" w:hAnsi="Times New Roman" w:cs="Times New Roman"/>
          <w:i/>
        </w:rPr>
        <w:t>per capita</w:t>
      </w:r>
      <w:r w:rsidRPr="003E1A73">
        <w:rPr>
          <w:rFonts w:ascii="Times New Roman" w:hAnsi="Times New Roman" w:cs="Times New Roman"/>
        </w:rPr>
        <w:t xml:space="preserve"> equivalente a R$ 10</w:t>
      </w:r>
      <w:r w:rsidR="00632A7E">
        <w:rPr>
          <w:rFonts w:ascii="Times New Roman" w:hAnsi="Times New Roman" w:cs="Times New Roman"/>
        </w:rPr>
        <w:t>.</w:t>
      </w:r>
      <w:r w:rsidRPr="003E1A73">
        <w:rPr>
          <w:rFonts w:ascii="Times New Roman" w:hAnsi="Times New Roman" w:cs="Times New Roman"/>
        </w:rPr>
        <w:t>398,21</w:t>
      </w:r>
    </w:p>
    <w:p w:rsidR="00192DB6" w:rsidRDefault="00192DB6" w:rsidP="00632A7E">
      <w:pPr>
        <w:pStyle w:val="CM72"/>
        <w:spacing w:line="360" w:lineRule="auto"/>
        <w:ind w:firstLine="709"/>
        <w:jc w:val="both"/>
        <w:rPr>
          <w:rFonts w:ascii="Times New Roman" w:hAnsi="Times New Roman" w:cs="Times New Roman"/>
        </w:rPr>
      </w:pPr>
      <w:r w:rsidRPr="003419B4">
        <w:rPr>
          <w:rFonts w:ascii="Times New Roman" w:hAnsi="Times New Roman" w:cs="Times New Roman"/>
        </w:rPr>
        <w:t>O setor terciário é o mais relevante para a economia municipal (F</w:t>
      </w:r>
      <w:r w:rsidR="00632A7E">
        <w:rPr>
          <w:rFonts w:ascii="Times New Roman" w:hAnsi="Times New Roman" w:cs="Times New Roman"/>
        </w:rPr>
        <w:t xml:space="preserve">igura </w:t>
      </w:r>
      <w:r w:rsidR="009E30DF">
        <w:rPr>
          <w:rFonts w:ascii="Times New Roman" w:hAnsi="Times New Roman" w:cs="Times New Roman"/>
        </w:rPr>
        <w:t>30</w:t>
      </w:r>
      <w:r w:rsidRPr="003419B4">
        <w:rPr>
          <w:rFonts w:ascii="Times New Roman" w:hAnsi="Times New Roman" w:cs="Times New Roman"/>
        </w:rPr>
        <w:t>). Em 2010, 144059 mil reais do PIB de Aimorés eram do valor adicionado bruto do setor terciário, principalmente na área do comércio, que se fortaleceu a partir da década de 1990.</w:t>
      </w:r>
    </w:p>
    <w:p w:rsidR="009E30DF" w:rsidRPr="009E30DF" w:rsidRDefault="009E30DF" w:rsidP="009E30DF">
      <w:pPr>
        <w:pStyle w:val="Default"/>
        <w:spacing w:line="360" w:lineRule="auto"/>
        <w:ind w:firstLine="709"/>
      </w:pPr>
      <w:r w:rsidRPr="007A0B11">
        <w:rPr>
          <w:rFonts w:ascii="Times New Roman" w:hAnsi="Times New Roman" w:cs="Times New Roman"/>
        </w:rPr>
        <w:t>A indústria (setor secundário) representa o segundo setor mais representativo da economia do município, sendo seu valor adicionado bruto a preços correntes da ordem de 59</w:t>
      </w:r>
      <w:r>
        <w:rPr>
          <w:rFonts w:ascii="Times New Roman" w:hAnsi="Times New Roman" w:cs="Times New Roman"/>
        </w:rPr>
        <w:t>.</w:t>
      </w:r>
      <w:r w:rsidRPr="007A0B11">
        <w:rPr>
          <w:rFonts w:ascii="Times New Roman" w:hAnsi="Times New Roman" w:cs="Times New Roman"/>
        </w:rPr>
        <w:t>312 mil reais, com destaque para o setor alimentício e extração mineral, com número representativo de serrarias e cerâmicas (IBGE, 2010).</w:t>
      </w:r>
    </w:p>
    <w:p w:rsidR="009E30DF" w:rsidRDefault="009E30DF">
      <w:pPr>
        <w:spacing w:after="200" w:line="276" w:lineRule="auto"/>
        <w:rPr>
          <w:rFonts w:eastAsiaTheme="minorEastAsia" w:cs="Times New Roman"/>
          <w:bCs/>
          <w:szCs w:val="24"/>
          <w:lang w:val="pt-PT" w:eastAsia="pt-BR"/>
        </w:rPr>
      </w:pPr>
      <w:bookmarkStart w:id="116" w:name="_Toc372117070"/>
      <w:r>
        <w:rPr>
          <w:lang w:val="pt-PT"/>
        </w:rPr>
        <w:br w:type="page"/>
      </w:r>
    </w:p>
    <w:p w:rsidR="005320AE" w:rsidRPr="005320AE" w:rsidRDefault="00CB07F3" w:rsidP="00CB07F3">
      <w:pPr>
        <w:pStyle w:val="Legenda"/>
        <w:rPr>
          <w:lang w:val="pt-PT"/>
        </w:rPr>
      </w:pPr>
      <w:bookmarkStart w:id="117" w:name="_Toc372740113"/>
      <w:bookmarkEnd w:id="116"/>
      <w:r>
        <w:lastRenderedPageBreak/>
        <w:t xml:space="preserve">Figura </w:t>
      </w:r>
      <w:fldSimple w:instr=" SEQ Figura \* ARABIC ">
        <w:r w:rsidR="004F77E2">
          <w:rPr>
            <w:noProof/>
          </w:rPr>
          <w:t>30</w:t>
        </w:r>
      </w:fldSimple>
      <w:r>
        <w:t xml:space="preserve"> - </w:t>
      </w:r>
      <w:r w:rsidRPr="00385679">
        <w:rPr>
          <w:noProof/>
        </w:rPr>
        <w:t>Especificação do PIB de Aimorés/MG, 2011.</w:t>
      </w:r>
      <w:bookmarkEnd w:id="117"/>
    </w:p>
    <w:p w:rsidR="00192DB6" w:rsidRDefault="00192DB6" w:rsidP="00192DB6">
      <w:pPr>
        <w:autoSpaceDE w:val="0"/>
        <w:autoSpaceDN w:val="0"/>
        <w:adjustRightInd w:val="0"/>
        <w:spacing w:after="0" w:line="360" w:lineRule="auto"/>
        <w:rPr>
          <w:rFonts w:ascii="Comic Sans MS" w:hAnsi="Comic Sans MS" w:cs="Calibri"/>
          <w:color w:val="000000" w:themeColor="text1"/>
          <w:sz w:val="28"/>
          <w:szCs w:val="28"/>
          <w:lang w:val="pt-PT"/>
        </w:rPr>
      </w:pPr>
      <w:r w:rsidRPr="00053DBE">
        <w:rPr>
          <w:noProof/>
          <w:lang w:eastAsia="pt-BR"/>
        </w:rPr>
        <w:drawing>
          <wp:inline distT="0" distB="0" distL="0" distR="0" wp14:anchorId="47D5F984" wp14:editId="76D217F3">
            <wp:extent cx="5385027" cy="3232298"/>
            <wp:effectExtent l="19050" t="0" r="6123" b="0"/>
            <wp:docPr id="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390751" cy="3235734"/>
                    </a:xfrm>
                    <a:prstGeom prst="rect">
                      <a:avLst/>
                    </a:prstGeom>
                    <a:noFill/>
                    <a:ln>
                      <a:noFill/>
                    </a:ln>
                  </pic:spPr>
                </pic:pic>
              </a:graphicData>
            </a:graphic>
          </wp:inline>
        </w:drawing>
      </w:r>
    </w:p>
    <w:p w:rsidR="00192DB6" w:rsidRPr="003454AB" w:rsidRDefault="00192DB6" w:rsidP="009E30DF">
      <w:pPr>
        <w:pStyle w:val="Fonte"/>
        <w:spacing w:before="0"/>
        <w:rPr>
          <w:lang w:val="pt-PT"/>
        </w:rPr>
      </w:pPr>
      <w:r w:rsidRPr="003454AB">
        <w:rPr>
          <w:lang w:val="pt-PT"/>
        </w:rPr>
        <w:t>FONTE: IBGE (2011)</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Por outro lado, o setor de menor peso da economia de Aimorés é o setor primário</w:t>
      </w:r>
      <w:r w:rsidR="009E30DF">
        <w:rPr>
          <w:rFonts w:ascii="Times New Roman" w:hAnsi="Times New Roman" w:cs="Times New Roman"/>
        </w:rPr>
        <w:t xml:space="preserve"> </w:t>
      </w:r>
      <w:r w:rsidR="009E30DF" w:rsidRPr="007A0B11">
        <w:rPr>
          <w:rFonts w:ascii="Times New Roman" w:hAnsi="Times New Roman" w:cs="Times New Roman"/>
        </w:rPr>
        <w:t>(17,72%)</w:t>
      </w:r>
      <w:r w:rsidRPr="007A0B11">
        <w:rPr>
          <w:rFonts w:ascii="Times New Roman" w:hAnsi="Times New Roman" w:cs="Times New Roman"/>
        </w:rPr>
        <w:t>. De todo o PIB da cidade, 56</w:t>
      </w:r>
      <w:r w:rsidR="009E30DF">
        <w:rPr>
          <w:rFonts w:ascii="Times New Roman" w:hAnsi="Times New Roman" w:cs="Times New Roman"/>
        </w:rPr>
        <w:t>.</w:t>
      </w:r>
      <w:r w:rsidRPr="007A0B11">
        <w:rPr>
          <w:rFonts w:ascii="Times New Roman" w:hAnsi="Times New Roman" w:cs="Times New Roman"/>
        </w:rPr>
        <w:t>263 mil reais é o valor adicionado bruto a preços correntes do setor primário. Segundo o IBGE (2011), em 2011, o município contava com 105</w:t>
      </w:r>
      <w:r w:rsidR="009E30DF">
        <w:rPr>
          <w:rFonts w:ascii="Times New Roman" w:hAnsi="Times New Roman" w:cs="Times New Roman"/>
        </w:rPr>
        <w:t>.</w:t>
      </w:r>
      <w:r w:rsidRPr="007A0B11">
        <w:rPr>
          <w:rFonts w:ascii="Times New Roman" w:hAnsi="Times New Roman" w:cs="Times New Roman"/>
        </w:rPr>
        <w:t>836 bovinos, 2</w:t>
      </w:r>
      <w:r w:rsidR="009E30DF">
        <w:rPr>
          <w:rFonts w:ascii="Times New Roman" w:hAnsi="Times New Roman" w:cs="Times New Roman"/>
        </w:rPr>
        <w:t>.</w:t>
      </w:r>
      <w:r w:rsidRPr="007A0B11">
        <w:rPr>
          <w:rFonts w:ascii="Times New Roman" w:hAnsi="Times New Roman" w:cs="Times New Roman"/>
        </w:rPr>
        <w:t xml:space="preserve">652 equinos, sete bubalinos, </w:t>
      </w:r>
      <w:r w:rsidR="009E30DF">
        <w:rPr>
          <w:rFonts w:ascii="Times New Roman" w:hAnsi="Times New Roman" w:cs="Times New Roman"/>
        </w:rPr>
        <w:t>10</w:t>
      </w:r>
      <w:r w:rsidRPr="007A0B11">
        <w:rPr>
          <w:rFonts w:ascii="Times New Roman" w:hAnsi="Times New Roman" w:cs="Times New Roman"/>
        </w:rPr>
        <w:t xml:space="preserve"> asininos, 241 muares, 2</w:t>
      </w:r>
      <w:r w:rsidR="009E30DF">
        <w:rPr>
          <w:rFonts w:ascii="Times New Roman" w:hAnsi="Times New Roman" w:cs="Times New Roman"/>
        </w:rPr>
        <w:t>.</w:t>
      </w:r>
      <w:r w:rsidRPr="007A0B11">
        <w:rPr>
          <w:rFonts w:ascii="Times New Roman" w:hAnsi="Times New Roman" w:cs="Times New Roman"/>
        </w:rPr>
        <w:t>602 suínos, 763 caprinos, 732 ovinos e 26</w:t>
      </w:r>
      <w:r w:rsidR="009E30DF">
        <w:rPr>
          <w:rFonts w:ascii="Times New Roman" w:hAnsi="Times New Roman" w:cs="Times New Roman"/>
        </w:rPr>
        <w:t>.</w:t>
      </w:r>
      <w:r w:rsidRPr="007A0B11">
        <w:rPr>
          <w:rFonts w:ascii="Times New Roman" w:hAnsi="Times New Roman" w:cs="Times New Roman"/>
        </w:rPr>
        <w:t>152 aves, dentre estas 18</w:t>
      </w:r>
      <w:r w:rsidR="009E30DF">
        <w:rPr>
          <w:rFonts w:ascii="Times New Roman" w:hAnsi="Times New Roman" w:cs="Times New Roman"/>
        </w:rPr>
        <w:t>.</w:t>
      </w:r>
      <w:r w:rsidRPr="007A0B11">
        <w:rPr>
          <w:rFonts w:ascii="Times New Roman" w:hAnsi="Times New Roman" w:cs="Times New Roman"/>
        </w:rPr>
        <w:t>003 eram galos, frangas, frangos e pintinhos e 8</w:t>
      </w:r>
      <w:r w:rsidR="009E30DF">
        <w:rPr>
          <w:rFonts w:ascii="Times New Roman" w:hAnsi="Times New Roman" w:cs="Times New Roman"/>
        </w:rPr>
        <w:t>.</w:t>
      </w:r>
      <w:r w:rsidRPr="007A0B11">
        <w:rPr>
          <w:rFonts w:ascii="Times New Roman" w:hAnsi="Times New Roman" w:cs="Times New Roman"/>
        </w:rPr>
        <w:t xml:space="preserve">149 galinhas, com produção </w:t>
      </w:r>
      <w:r w:rsidR="009E30DF">
        <w:rPr>
          <w:rFonts w:ascii="Times New Roman" w:hAnsi="Times New Roman" w:cs="Times New Roman"/>
        </w:rPr>
        <w:t>anual de</w:t>
      </w:r>
      <w:r w:rsidRPr="007A0B11">
        <w:rPr>
          <w:rFonts w:ascii="Times New Roman" w:hAnsi="Times New Roman" w:cs="Times New Roman"/>
        </w:rPr>
        <w:t xml:space="preserve"> 40 mil dúzias de ovos de galinha. Havia também 19</w:t>
      </w:r>
      <w:r w:rsidR="009E30DF">
        <w:rPr>
          <w:rFonts w:ascii="Times New Roman" w:hAnsi="Times New Roman" w:cs="Times New Roman"/>
        </w:rPr>
        <w:t>.</w:t>
      </w:r>
      <w:r w:rsidRPr="007A0B11">
        <w:rPr>
          <w:rFonts w:ascii="Times New Roman" w:hAnsi="Times New Roman" w:cs="Times New Roman"/>
        </w:rPr>
        <w:t xml:space="preserve">830 vacas, </w:t>
      </w:r>
      <w:r w:rsidR="009E30DF">
        <w:rPr>
          <w:rFonts w:ascii="Times New Roman" w:hAnsi="Times New Roman" w:cs="Times New Roman"/>
        </w:rPr>
        <w:t>com as</w:t>
      </w:r>
      <w:r w:rsidRPr="007A0B11">
        <w:rPr>
          <w:rFonts w:ascii="Times New Roman" w:hAnsi="Times New Roman" w:cs="Times New Roman"/>
        </w:rPr>
        <w:t xml:space="preserve"> quais foram produzidos 24</w:t>
      </w:r>
      <w:r w:rsidR="009E30DF">
        <w:rPr>
          <w:rFonts w:ascii="Times New Roman" w:hAnsi="Times New Roman" w:cs="Times New Roman"/>
        </w:rPr>
        <w:t>.</w:t>
      </w:r>
      <w:r w:rsidRPr="007A0B11">
        <w:rPr>
          <w:rFonts w:ascii="Times New Roman" w:hAnsi="Times New Roman" w:cs="Times New Roman"/>
        </w:rPr>
        <w:t>589 mil litros de leite; além da produção de 700 mil quilos de mel de abelha.</w:t>
      </w:r>
    </w:p>
    <w:p w:rsidR="00192DB6" w:rsidRPr="007A0B11" w:rsidRDefault="00192DB6" w:rsidP="009E30DF">
      <w:pPr>
        <w:pStyle w:val="CM72"/>
        <w:spacing w:line="360" w:lineRule="auto"/>
        <w:ind w:firstLine="709"/>
        <w:jc w:val="both"/>
        <w:rPr>
          <w:rFonts w:ascii="Times New Roman" w:hAnsi="Times New Roman" w:cs="Times New Roman"/>
        </w:rPr>
      </w:pPr>
      <w:r w:rsidRPr="007A0B11">
        <w:rPr>
          <w:rFonts w:ascii="Times New Roman" w:hAnsi="Times New Roman" w:cs="Times New Roman"/>
        </w:rPr>
        <w:t>Na lavoura temporária, destaca-se a produção de milho (13</w:t>
      </w:r>
      <w:r w:rsidR="009E30DF">
        <w:rPr>
          <w:rFonts w:ascii="Times New Roman" w:hAnsi="Times New Roman" w:cs="Times New Roman"/>
        </w:rPr>
        <w:t>.</w:t>
      </w:r>
      <w:r w:rsidRPr="007A0B11">
        <w:rPr>
          <w:rFonts w:ascii="Times New Roman" w:hAnsi="Times New Roman" w:cs="Times New Roman"/>
        </w:rPr>
        <w:t>500 toneladas produzidas e 3 mil hectares cultivados), arroz (4</w:t>
      </w:r>
      <w:r w:rsidR="009E30DF">
        <w:rPr>
          <w:rFonts w:ascii="Times New Roman" w:hAnsi="Times New Roman" w:cs="Times New Roman"/>
        </w:rPr>
        <w:t>.</w:t>
      </w:r>
      <w:r w:rsidRPr="007A0B11">
        <w:rPr>
          <w:rFonts w:ascii="Times New Roman" w:hAnsi="Times New Roman" w:cs="Times New Roman"/>
        </w:rPr>
        <w:t>100 toneladas produzidas e 800 hectares plantados) e cana-de-açúcar (2</w:t>
      </w:r>
      <w:r w:rsidR="009E30DF">
        <w:rPr>
          <w:rFonts w:ascii="Times New Roman" w:hAnsi="Times New Roman" w:cs="Times New Roman"/>
        </w:rPr>
        <w:t>.</w:t>
      </w:r>
      <w:r w:rsidRPr="007A0B11">
        <w:rPr>
          <w:rFonts w:ascii="Times New Roman" w:hAnsi="Times New Roman" w:cs="Times New Roman"/>
        </w:rPr>
        <w:t>668 toneladas rendidas e 55 hectares cultivados), além do feijão, da batata-doce, da mandioca, da melancia e do tomate (IBGE, 2010). Por outro lado, em termos dos cultivos permanentes, destacam-se: o café (2</w:t>
      </w:r>
      <w:r w:rsidR="000D4753">
        <w:rPr>
          <w:rFonts w:ascii="Times New Roman" w:hAnsi="Times New Roman" w:cs="Times New Roman"/>
        </w:rPr>
        <w:t>.</w:t>
      </w:r>
      <w:r w:rsidRPr="007A0B11">
        <w:rPr>
          <w:rFonts w:ascii="Times New Roman" w:hAnsi="Times New Roman" w:cs="Times New Roman"/>
        </w:rPr>
        <w:t>891 toneladas produzidas e 2</w:t>
      </w:r>
      <w:r w:rsidR="000D4753">
        <w:rPr>
          <w:rFonts w:ascii="Times New Roman" w:hAnsi="Times New Roman" w:cs="Times New Roman"/>
        </w:rPr>
        <w:t>.</w:t>
      </w:r>
      <w:r w:rsidRPr="007A0B11">
        <w:rPr>
          <w:rFonts w:ascii="Times New Roman" w:hAnsi="Times New Roman" w:cs="Times New Roman"/>
        </w:rPr>
        <w:t>007 hectares colhidos), o plantio de coco (1</w:t>
      </w:r>
      <w:r w:rsidR="000D4753">
        <w:rPr>
          <w:rFonts w:ascii="Times New Roman" w:hAnsi="Times New Roman" w:cs="Times New Roman"/>
        </w:rPr>
        <w:t>.</w:t>
      </w:r>
      <w:r w:rsidRPr="007A0B11">
        <w:rPr>
          <w:rFonts w:ascii="Times New Roman" w:hAnsi="Times New Roman" w:cs="Times New Roman"/>
        </w:rPr>
        <w:t>600 toneladas produzidas e 80 hectares colhidos) e da manga (1</w:t>
      </w:r>
      <w:r w:rsidR="000D4753">
        <w:rPr>
          <w:rFonts w:ascii="Times New Roman" w:hAnsi="Times New Roman" w:cs="Times New Roman"/>
        </w:rPr>
        <w:t>.</w:t>
      </w:r>
      <w:r w:rsidRPr="007A0B11">
        <w:rPr>
          <w:rFonts w:ascii="Times New Roman" w:hAnsi="Times New Roman" w:cs="Times New Roman"/>
        </w:rPr>
        <w:t xml:space="preserve">120 toneladas produzidas e 100 hectares colhidos), sendo cultivadas outras frutíferas, como: abacate, banana, goiaba, laranja, limão, mamão, maracujá e tangerina (IBGE, 2011). </w:t>
      </w:r>
    </w:p>
    <w:p w:rsidR="00192DB6" w:rsidRPr="007A0B11" w:rsidRDefault="00192DB6" w:rsidP="000D4753">
      <w:pPr>
        <w:pStyle w:val="CM72"/>
        <w:spacing w:line="360" w:lineRule="auto"/>
        <w:ind w:firstLine="709"/>
        <w:jc w:val="both"/>
        <w:rPr>
          <w:rFonts w:ascii="Times New Roman" w:hAnsi="Times New Roman" w:cs="Times New Roman"/>
        </w:rPr>
      </w:pPr>
      <w:r w:rsidRPr="007A0B11">
        <w:rPr>
          <w:rFonts w:ascii="Times New Roman" w:hAnsi="Times New Roman" w:cs="Times New Roman"/>
        </w:rPr>
        <w:lastRenderedPageBreak/>
        <w:t>Os dados do PIB refletem o mercado de trabalho local, existindo, no ano de 2010, 3</w:t>
      </w:r>
      <w:r w:rsidR="000D4753">
        <w:rPr>
          <w:rFonts w:ascii="Times New Roman" w:hAnsi="Times New Roman" w:cs="Times New Roman"/>
        </w:rPr>
        <w:t>.</w:t>
      </w:r>
      <w:r w:rsidRPr="007A0B11">
        <w:rPr>
          <w:rFonts w:ascii="Times New Roman" w:hAnsi="Times New Roman" w:cs="Times New Roman"/>
        </w:rPr>
        <w:t xml:space="preserve">082 empregados no mercado formal, principalmente no setor de comércio e serviços, seguido pelo industrial. Conforme dados do FJP (2013), a taxa de emprego no setor formal era de 19,0%, o que sugere que grande parte da população encontra-se na informalidade. O rendimento médio e per capita, em reais de dez/2010, era de 920,76 e 113,70, respectivamente (Quadro </w:t>
      </w:r>
      <w:r w:rsidR="000D4753">
        <w:rPr>
          <w:rFonts w:ascii="Times New Roman" w:hAnsi="Times New Roman" w:cs="Times New Roman"/>
        </w:rPr>
        <w:t>7</w:t>
      </w:r>
      <w:r w:rsidRPr="007A0B11">
        <w:rPr>
          <w:rFonts w:ascii="Times New Roman" w:hAnsi="Times New Roman" w:cs="Times New Roman"/>
        </w:rPr>
        <w:t>). Além do salário, outra fonte de renda das famílias era proveniente das transferências governamentais, no valor total de 5886,95 mil reais de dez/2010, materializadas na Bolsa Família (2</w:t>
      </w:r>
      <w:r w:rsidR="000D4753">
        <w:rPr>
          <w:rFonts w:ascii="Times New Roman" w:hAnsi="Times New Roman" w:cs="Times New Roman"/>
        </w:rPr>
        <w:t>.</w:t>
      </w:r>
      <w:r w:rsidRPr="007A0B11">
        <w:rPr>
          <w:rFonts w:ascii="Times New Roman" w:hAnsi="Times New Roman" w:cs="Times New Roman"/>
        </w:rPr>
        <w:t>545,06), com 2</w:t>
      </w:r>
      <w:r w:rsidR="000D4753">
        <w:rPr>
          <w:rFonts w:ascii="Times New Roman" w:hAnsi="Times New Roman" w:cs="Times New Roman"/>
        </w:rPr>
        <w:t>.</w:t>
      </w:r>
      <w:r w:rsidRPr="007A0B11">
        <w:rPr>
          <w:rFonts w:ascii="Times New Roman" w:hAnsi="Times New Roman" w:cs="Times New Roman"/>
        </w:rPr>
        <w:t>258 famílias (número somente ultrapassado pelo município de Mutum) e no Benefício de Prestação continuada (3</w:t>
      </w:r>
      <w:r w:rsidR="000D4753">
        <w:rPr>
          <w:rFonts w:ascii="Times New Roman" w:hAnsi="Times New Roman" w:cs="Times New Roman"/>
        </w:rPr>
        <w:t>.</w:t>
      </w:r>
      <w:r w:rsidRPr="007A0B11">
        <w:rPr>
          <w:rFonts w:ascii="Times New Roman" w:hAnsi="Times New Roman" w:cs="Times New Roman"/>
        </w:rPr>
        <w:t xml:space="preserve">341,89). </w:t>
      </w:r>
      <w:hyperlink r:id="rId73" w:tooltip="Salário" w:history="1">
        <w:r w:rsidRPr="007A0B11">
          <w:rPr>
            <w:rFonts w:ascii="Times New Roman" w:hAnsi="Times New Roman" w:cs="Times New Roman"/>
          </w:rPr>
          <w:t>Salários</w:t>
        </w:r>
      </w:hyperlink>
      <w:r w:rsidRPr="007A0B11">
        <w:rPr>
          <w:rFonts w:ascii="Times New Roman" w:hAnsi="Times New Roman" w:cs="Times New Roman"/>
        </w:rPr>
        <w:t xml:space="preserve"> juntamente com outras remunerações resultaram em uma renda </w:t>
      </w:r>
      <w:r w:rsidRPr="007A0B11">
        <w:rPr>
          <w:rFonts w:ascii="Times New Roman" w:hAnsi="Times New Roman" w:cs="Times New Roman"/>
          <w:i/>
        </w:rPr>
        <w:t>per capita</w:t>
      </w:r>
      <w:r w:rsidRPr="007A0B11">
        <w:rPr>
          <w:rFonts w:ascii="Times New Roman" w:hAnsi="Times New Roman" w:cs="Times New Roman"/>
        </w:rPr>
        <w:t xml:space="preserve"> de R$</w:t>
      </w:r>
      <w:r w:rsidR="000D4753">
        <w:rPr>
          <w:rFonts w:ascii="Times New Roman" w:hAnsi="Times New Roman" w:cs="Times New Roman"/>
        </w:rPr>
        <w:t xml:space="preserve"> </w:t>
      </w:r>
      <w:r w:rsidRPr="007A0B11">
        <w:rPr>
          <w:rFonts w:ascii="Times New Roman" w:hAnsi="Times New Roman" w:cs="Times New Roman"/>
        </w:rPr>
        <w:t>589,06.</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A renda média </w:t>
      </w:r>
      <w:r w:rsidRPr="007A0B11">
        <w:rPr>
          <w:rFonts w:ascii="Times New Roman" w:hAnsi="Times New Roman" w:cs="Times New Roman"/>
          <w:i/>
        </w:rPr>
        <w:t>per capita</w:t>
      </w:r>
      <w:r w:rsidRPr="007A0B11">
        <w:rPr>
          <w:rFonts w:ascii="Times New Roman" w:hAnsi="Times New Roman" w:cs="Times New Roman"/>
        </w:rPr>
        <w:t xml:space="preserve"> inferior ao salário mínimo e o fato de existirem, como relata o FJP (2013), 4</w:t>
      </w:r>
      <w:r w:rsidR="000D4753">
        <w:rPr>
          <w:rFonts w:ascii="Times New Roman" w:hAnsi="Times New Roman" w:cs="Times New Roman"/>
        </w:rPr>
        <w:t>.</w:t>
      </w:r>
      <w:r w:rsidRPr="007A0B11">
        <w:rPr>
          <w:rFonts w:ascii="Times New Roman" w:hAnsi="Times New Roman" w:cs="Times New Roman"/>
        </w:rPr>
        <w:t>190 famílias cadastradas no Cadastro Único do Programa Bolsa Família</w:t>
      </w:r>
      <w:r w:rsidRPr="007A0B11">
        <w:rPr>
          <w:rFonts w:ascii="Times New Roman" w:hAnsi="Times New Roman" w:cs="Times New Roman"/>
        </w:rPr>
        <w:footnoteReference w:id="2"/>
      </w:r>
      <w:r w:rsidRPr="007A0B11">
        <w:rPr>
          <w:rFonts w:ascii="Times New Roman" w:hAnsi="Times New Roman" w:cs="Times New Roman"/>
        </w:rPr>
        <w:t xml:space="preserve"> e 532 beneficiários do Benefício de Prestação Continuada</w:t>
      </w:r>
      <w:r w:rsidRPr="007A0B11">
        <w:rPr>
          <w:rFonts w:ascii="Times New Roman" w:hAnsi="Times New Roman" w:cs="Times New Roman"/>
        </w:rPr>
        <w:footnoteReference w:id="3"/>
      </w:r>
      <w:r w:rsidRPr="007A0B11">
        <w:rPr>
          <w:rFonts w:ascii="Times New Roman" w:hAnsi="Times New Roman" w:cs="Times New Roman"/>
        </w:rPr>
        <w:t xml:space="preserve"> (312 deficientes e 220 idosos) sugerem que uma parcela representativa da população encontra-se em estado de pobreza.</w:t>
      </w:r>
    </w:p>
    <w:p w:rsidR="00192DB6" w:rsidRPr="008C3A06" w:rsidRDefault="00192DB6" w:rsidP="00192DB6">
      <w:pPr>
        <w:autoSpaceDE w:val="0"/>
        <w:autoSpaceDN w:val="0"/>
        <w:adjustRightInd w:val="0"/>
        <w:spacing w:after="0" w:line="240" w:lineRule="auto"/>
        <w:jc w:val="both"/>
        <w:rPr>
          <w:rFonts w:ascii="Comic Sans MS" w:hAnsi="Comic Sans MS" w:cs="Calibri"/>
          <w:b/>
          <w:color w:val="000000" w:themeColor="text1"/>
          <w:sz w:val="16"/>
          <w:szCs w:val="16"/>
        </w:rPr>
      </w:pPr>
    </w:p>
    <w:p w:rsidR="007A0B11" w:rsidRDefault="007A0B11">
      <w:pPr>
        <w:spacing w:after="200" w:line="276" w:lineRule="auto"/>
        <w:rPr>
          <w:rFonts w:eastAsiaTheme="minorEastAsia" w:cs="Times New Roman"/>
          <w:bCs/>
          <w:szCs w:val="24"/>
          <w:lang w:val="pt-PT" w:eastAsia="pt-BR"/>
        </w:rPr>
      </w:pPr>
      <w:r>
        <w:rPr>
          <w:lang w:val="pt-PT"/>
        </w:rPr>
        <w:br w:type="page"/>
      </w:r>
    </w:p>
    <w:p w:rsidR="007A0B11" w:rsidRPr="008C3A06" w:rsidRDefault="00B02273" w:rsidP="00B02273">
      <w:pPr>
        <w:pStyle w:val="Legenda"/>
        <w:rPr>
          <w:lang w:val="pt-PT"/>
        </w:rPr>
      </w:pPr>
      <w:bookmarkStart w:id="118" w:name="_Toc372740513"/>
      <w:r>
        <w:lastRenderedPageBreak/>
        <w:t xml:space="preserve">Quadro </w:t>
      </w:r>
      <w:fldSimple w:instr=" SEQ Quadro \* ARABIC ">
        <w:r w:rsidR="004F77E2">
          <w:rPr>
            <w:noProof/>
          </w:rPr>
          <w:t>7</w:t>
        </w:r>
      </w:fldSimple>
      <w:r>
        <w:t xml:space="preserve"> - </w:t>
      </w:r>
      <w:r w:rsidRPr="005843D5">
        <w:rPr>
          <w:noProof/>
        </w:rPr>
        <w:t>Situação de Emprego e Renda de Aimorés/MG. 2010.</w:t>
      </w:r>
      <w:bookmarkEnd w:id="118"/>
    </w:p>
    <w:tbl>
      <w:tblPr>
        <w:tblStyle w:val="Tabelacomgrade"/>
        <w:tblW w:w="8505" w:type="dxa"/>
        <w:tblInd w:w="108" w:type="dxa"/>
        <w:tblLook w:val="04A0" w:firstRow="1" w:lastRow="0" w:firstColumn="1" w:lastColumn="0" w:noHBand="0" w:noVBand="1"/>
      </w:tblPr>
      <w:tblGrid>
        <w:gridCol w:w="5103"/>
        <w:gridCol w:w="1985"/>
        <w:gridCol w:w="1417"/>
      </w:tblGrid>
      <w:tr w:rsidR="00192DB6" w:rsidRPr="007A0B11" w:rsidTr="007A0B11">
        <w:trPr>
          <w:trHeight w:val="510"/>
        </w:trPr>
        <w:tc>
          <w:tcPr>
            <w:tcW w:w="510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7A0B11" w:rsidRDefault="00192DB6" w:rsidP="003A55C9">
            <w:pPr>
              <w:spacing w:before="120" w:after="120" w:line="240" w:lineRule="auto"/>
              <w:jc w:val="center"/>
              <w:rPr>
                <w:rFonts w:cs="Times New Roman"/>
                <w:b/>
                <w:szCs w:val="24"/>
              </w:rPr>
            </w:pPr>
            <w:r w:rsidRPr="007A0B11">
              <w:rPr>
                <w:rFonts w:cs="Times New Roman"/>
                <w:b/>
                <w:szCs w:val="24"/>
              </w:rPr>
              <w:t>Indicadores</w:t>
            </w:r>
          </w:p>
        </w:tc>
        <w:tc>
          <w:tcPr>
            <w:tcW w:w="1985"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7A0B11" w:rsidRDefault="00192DB6" w:rsidP="003A55C9">
            <w:pPr>
              <w:spacing w:before="120" w:after="120" w:line="240" w:lineRule="auto"/>
              <w:jc w:val="center"/>
              <w:rPr>
                <w:rFonts w:cs="Times New Roman"/>
                <w:b/>
                <w:szCs w:val="24"/>
              </w:rPr>
            </w:pPr>
            <w:r w:rsidRPr="007A0B11">
              <w:rPr>
                <w:rFonts w:cs="Times New Roman"/>
                <w:b/>
                <w:szCs w:val="24"/>
              </w:rPr>
              <w:t xml:space="preserve">Unidade </w:t>
            </w:r>
          </w:p>
        </w:tc>
        <w:tc>
          <w:tcPr>
            <w:tcW w:w="1417"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7A0B11" w:rsidRDefault="00192DB6" w:rsidP="003A55C9">
            <w:pPr>
              <w:spacing w:before="120" w:after="120" w:line="240" w:lineRule="auto"/>
              <w:jc w:val="center"/>
              <w:rPr>
                <w:rFonts w:cs="Times New Roman"/>
                <w:b/>
                <w:szCs w:val="24"/>
              </w:rPr>
            </w:pPr>
            <w:r w:rsidRPr="007A0B11">
              <w:rPr>
                <w:rFonts w:cs="Times New Roman"/>
                <w:b/>
                <w:szCs w:val="24"/>
              </w:rPr>
              <w:t>Valores</w:t>
            </w:r>
          </w:p>
        </w:tc>
      </w:tr>
      <w:tr w:rsidR="00192DB6" w:rsidRPr="007A0B11" w:rsidTr="007A0B11">
        <w:trPr>
          <w:trHeight w:val="397"/>
        </w:trPr>
        <w:tc>
          <w:tcPr>
            <w:tcW w:w="5103" w:type="dxa"/>
            <w:tcBorders>
              <w:top w:val="single" w:sz="12" w:space="0" w:color="auto"/>
              <w:left w:val="single" w:sz="12" w:space="0" w:color="auto"/>
              <w:bottom w:val="single" w:sz="6" w:space="0" w:color="auto"/>
              <w:right w:val="single" w:sz="12" w:space="0" w:color="auto"/>
            </w:tcBorders>
            <w:vAlign w:val="center"/>
          </w:tcPr>
          <w:p w:rsidR="00192DB6" w:rsidRPr="007A0B11" w:rsidRDefault="00192DB6" w:rsidP="003A55C9">
            <w:pPr>
              <w:pStyle w:val="PargrafodaLista"/>
              <w:spacing w:before="120" w:after="120" w:line="240" w:lineRule="auto"/>
              <w:ind w:left="284"/>
              <w:rPr>
                <w:rFonts w:cs="Times New Roman"/>
                <w:szCs w:val="24"/>
              </w:rPr>
            </w:pPr>
            <w:r w:rsidRPr="007A0B11">
              <w:rPr>
                <w:rFonts w:cs="Times New Roman"/>
                <w:szCs w:val="24"/>
              </w:rPr>
              <w:t>Renda Per capita</w:t>
            </w:r>
          </w:p>
        </w:tc>
        <w:tc>
          <w:tcPr>
            <w:tcW w:w="1985" w:type="dxa"/>
            <w:tcBorders>
              <w:top w:val="single" w:sz="12" w:space="0" w:color="auto"/>
              <w:left w:val="single" w:sz="12" w:space="0" w:color="auto"/>
              <w:bottom w:val="single" w:sz="6" w:space="0" w:color="auto"/>
              <w:right w:val="single" w:sz="12" w:space="0" w:color="auto"/>
            </w:tcBorders>
            <w:vAlign w:val="center"/>
          </w:tcPr>
          <w:p w:rsidR="00192DB6" w:rsidRPr="007A0B11" w:rsidRDefault="00192DB6" w:rsidP="003A55C9">
            <w:pPr>
              <w:spacing w:before="120" w:after="120" w:line="240" w:lineRule="auto"/>
              <w:jc w:val="center"/>
              <w:rPr>
                <w:rFonts w:cs="Times New Roman"/>
                <w:szCs w:val="24"/>
              </w:rPr>
            </w:pPr>
            <w:r w:rsidRPr="007A0B11">
              <w:rPr>
                <w:rFonts w:cs="Times New Roman"/>
                <w:szCs w:val="24"/>
              </w:rPr>
              <w:t>R$ dez/2010</w:t>
            </w:r>
          </w:p>
        </w:tc>
        <w:tc>
          <w:tcPr>
            <w:tcW w:w="1417" w:type="dxa"/>
            <w:tcBorders>
              <w:top w:val="single" w:sz="12" w:space="0" w:color="auto"/>
              <w:left w:val="single" w:sz="12" w:space="0" w:color="auto"/>
              <w:bottom w:val="single" w:sz="6" w:space="0" w:color="auto"/>
              <w:right w:val="single" w:sz="12" w:space="0" w:color="auto"/>
            </w:tcBorders>
            <w:vAlign w:val="center"/>
          </w:tcPr>
          <w:p w:rsidR="00192DB6" w:rsidRPr="007A0B11" w:rsidRDefault="00192DB6" w:rsidP="003A55C9">
            <w:pPr>
              <w:spacing w:before="120" w:after="120" w:line="240" w:lineRule="auto"/>
              <w:ind w:right="317"/>
              <w:jc w:val="right"/>
              <w:rPr>
                <w:rFonts w:cs="Times New Roman"/>
                <w:szCs w:val="24"/>
              </w:rPr>
            </w:pPr>
            <w:r w:rsidRPr="007A0B11">
              <w:rPr>
                <w:rFonts w:cs="Times New Roman"/>
                <w:szCs w:val="24"/>
              </w:rPr>
              <w:t>589,06</w:t>
            </w:r>
          </w:p>
        </w:tc>
      </w:tr>
      <w:tr w:rsidR="00192DB6" w:rsidRPr="007A0B11" w:rsidTr="007A0B11">
        <w:trPr>
          <w:trHeight w:val="397"/>
        </w:trPr>
        <w:tc>
          <w:tcPr>
            <w:tcW w:w="5103"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pStyle w:val="PargrafodaLista"/>
              <w:spacing w:before="120" w:after="120" w:line="240" w:lineRule="auto"/>
              <w:ind w:left="284"/>
              <w:rPr>
                <w:rFonts w:cs="Times New Roman"/>
                <w:szCs w:val="24"/>
              </w:rPr>
            </w:pPr>
            <w:r w:rsidRPr="007A0B11">
              <w:rPr>
                <w:rFonts w:cs="Times New Roman"/>
                <w:szCs w:val="24"/>
              </w:rPr>
              <w:t>Empregados do Setor Formal</w:t>
            </w:r>
          </w:p>
        </w:tc>
        <w:tc>
          <w:tcPr>
            <w:tcW w:w="1985"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spacing w:before="120" w:after="120" w:line="240" w:lineRule="auto"/>
              <w:jc w:val="center"/>
              <w:rPr>
                <w:rFonts w:cs="Times New Roman"/>
                <w:szCs w:val="24"/>
              </w:rPr>
            </w:pPr>
            <w:r w:rsidRPr="007A0B11">
              <w:rPr>
                <w:rFonts w:cs="Times New Roman"/>
                <w:szCs w:val="24"/>
              </w:rPr>
              <w:t>Nº de pessoas</w:t>
            </w:r>
          </w:p>
        </w:tc>
        <w:tc>
          <w:tcPr>
            <w:tcW w:w="1417" w:type="dxa"/>
            <w:tcBorders>
              <w:top w:val="single" w:sz="6" w:space="0" w:color="auto"/>
              <w:left w:val="single" w:sz="12" w:space="0" w:color="auto"/>
              <w:bottom w:val="single" w:sz="6" w:space="0" w:color="auto"/>
              <w:right w:val="single" w:sz="12" w:space="0" w:color="auto"/>
            </w:tcBorders>
            <w:shd w:val="clear" w:color="auto" w:fill="auto"/>
            <w:vAlign w:val="center"/>
          </w:tcPr>
          <w:p w:rsidR="00192DB6" w:rsidRPr="007A0B11" w:rsidRDefault="00192DB6" w:rsidP="003A55C9">
            <w:pPr>
              <w:spacing w:before="120" w:after="120" w:line="240" w:lineRule="auto"/>
              <w:ind w:right="317"/>
              <w:jc w:val="right"/>
              <w:rPr>
                <w:rFonts w:cs="Times New Roman"/>
                <w:szCs w:val="24"/>
              </w:rPr>
            </w:pPr>
            <w:r w:rsidRPr="007A0B11">
              <w:rPr>
                <w:rFonts w:cs="Times New Roman"/>
                <w:szCs w:val="24"/>
              </w:rPr>
              <w:t>3</w:t>
            </w:r>
            <w:r w:rsidR="003F5401">
              <w:rPr>
                <w:rFonts w:cs="Times New Roman"/>
                <w:szCs w:val="24"/>
              </w:rPr>
              <w:t>.</w:t>
            </w:r>
            <w:r w:rsidRPr="007A0B11">
              <w:rPr>
                <w:rFonts w:cs="Times New Roman"/>
                <w:szCs w:val="24"/>
              </w:rPr>
              <w:t>082</w:t>
            </w:r>
          </w:p>
        </w:tc>
      </w:tr>
      <w:tr w:rsidR="00192DB6" w:rsidRPr="007A0B11" w:rsidTr="007A0B11">
        <w:trPr>
          <w:trHeight w:val="397"/>
        </w:trPr>
        <w:tc>
          <w:tcPr>
            <w:tcW w:w="5103"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pStyle w:val="PargrafodaLista"/>
              <w:spacing w:before="120" w:after="120" w:line="240" w:lineRule="auto"/>
              <w:ind w:left="284"/>
              <w:rPr>
                <w:rFonts w:cs="Times New Roman"/>
                <w:szCs w:val="24"/>
              </w:rPr>
            </w:pPr>
            <w:r w:rsidRPr="007A0B11">
              <w:rPr>
                <w:rFonts w:cs="Times New Roman"/>
                <w:szCs w:val="24"/>
              </w:rPr>
              <w:t>Taxa de emprego no Setor Formal</w:t>
            </w:r>
          </w:p>
        </w:tc>
        <w:tc>
          <w:tcPr>
            <w:tcW w:w="1985"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spacing w:before="120" w:after="120" w:line="240" w:lineRule="auto"/>
              <w:jc w:val="center"/>
              <w:rPr>
                <w:rFonts w:cs="Times New Roman"/>
                <w:szCs w:val="24"/>
              </w:rPr>
            </w:pPr>
            <w:r w:rsidRPr="007A0B11">
              <w:rPr>
                <w:rFonts w:cs="Times New Roman"/>
                <w:szCs w:val="24"/>
              </w:rPr>
              <w:t>%</w:t>
            </w:r>
          </w:p>
        </w:tc>
        <w:tc>
          <w:tcPr>
            <w:tcW w:w="1417"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spacing w:before="120" w:after="120" w:line="240" w:lineRule="auto"/>
              <w:ind w:right="317"/>
              <w:jc w:val="right"/>
              <w:rPr>
                <w:rFonts w:cs="Times New Roman"/>
                <w:szCs w:val="24"/>
              </w:rPr>
            </w:pPr>
            <w:r w:rsidRPr="007A0B11">
              <w:rPr>
                <w:rFonts w:cs="Times New Roman"/>
                <w:szCs w:val="24"/>
              </w:rPr>
              <w:t>19,0</w:t>
            </w:r>
          </w:p>
        </w:tc>
      </w:tr>
      <w:tr w:rsidR="00192DB6" w:rsidRPr="007A0B11" w:rsidTr="007A0B11">
        <w:trPr>
          <w:trHeight w:val="397"/>
        </w:trPr>
        <w:tc>
          <w:tcPr>
            <w:tcW w:w="5103"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pStyle w:val="PargrafodaLista"/>
              <w:spacing w:before="120" w:after="120" w:line="240" w:lineRule="auto"/>
              <w:ind w:left="284"/>
              <w:rPr>
                <w:rFonts w:cs="Times New Roman"/>
                <w:szCs w:val="24"/>
              </w:rPr>
            </w:pPr>
            <w:r w:rsidRPr="007A0B11">
              <w:rPr>
                <w:rFonts w:cs="Times New Roman"/>
                <w:szCs w:val="24"/>
              </w:rPr>
              <w:t>Rendimento Médio no Setor Formal</w:t>
            </w:r>
          </w:p>
        </w:tc>
        <w:tc>
          <w:tcPr>
            <w:tcW w:w="1985"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spacing w:before="120" w:after="120" w:line="240" w:lineRule="auto"/>
              <w:jc w:val="center"/>
              <w:rPr>
                <w:rFonts w:cs="Times New Roman"/>
                <w:szCs w:val="24"/>
              </w:rPr>
            </w:pPr>
            <w:r w:rsidRPr="007A0B11">
              <w:rPr>
                <w:rFonts w:cs="Times New Roman"/>
                <w:szCs w:val="24"/>
              </w:rPr>
              <w:t>R$ dez/2010</w:t>
            </w:r>
          </w:p>
        </w:tc>
        <w:tc>
          <w:tcPr>
            <w:tcW w:w="1417"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spacing w:before="120" w:after="120" w:line="240" w:lineRule="auto"/>
              <w:ind w:right="317"/>
              <w:jc w:val="right"/>
              <w:rPr>
                <w:rFonts w:cs="Times New Roman"/>
                <w:szCs w:val="24"/>
              </w:rPr>
            </w:pPr>
            <w:r w:rsidRPr="007A0B11">
              <w:rPr>
                <w:rFonts w:cs="Times New Roman"/>
                <w:szCs w:val="24"/>
              </w:rPr>
              <w:t>920,76</w:t>
            </w:r>
          </w:p>
        </w:tc>
      </w:tr>
      <w:tr w:rsidR="00192DB6" w:rsidRPr="007A0B11" w:rsidTr="007A0B11">
        <w:trPr>
          <w:trHeight w:val="397"/>
        </w:trPr>
        <w:tc>
          <w:tcPr>
            <w:tcW w:w="5103"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pStyle w:val="PargrafodaLista"/>
              <w:spacing w:before="120" w:after="120" w:line="240" w:lineRule="auto"/>
              <w:ind w:left="284"/>
              <w:rPr>
                <w:rFonts w:cs="Times New Roman"/>
                <w:szCs w:val="24"/>
              </w:rPr>
            </w:pPr>
            <w:r w:rsidRPr="007A0B11">
              <w:rPr>
                <w:rFonts w:cs="Times New Roman"/>
                <w:szCs w:val="24"/>
              </w:rPr>
              <w:t>Rendimento Per capita no Setor Formal</w:t>
            </w:r>
          </w:p>
        </w:tc>
        <w:tc>
          <w:tcPr>
            <w:tcW w:w="1985"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spacing w:before="120" w:after="120" w:line="240" w:lineRule="auto"/>
              <w:jc w:val="center"/>
              <w:rPr>
                <w:rFonts w:cs="Times New Roman"/>
                <w:szCs w:val="24"/>
              </w:rPr>
            </w:pPr>
            <w:r w:rsidRPr="007A0B11">
              <w:rPr>
                <w:rFonts w:cs="Times New Roman"/>
                <w:szCs w:val="24"/>
              </w:rPr>
              <w:t>R$ dez/2010</w:t>
            </w:r>
          </w:p>
        </w:tc>
        <w:tc>
          <w:tcPr>
            <w:tcW w:w="1417"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spacing w:before="120" w:after="120" w:line="240" w:lineRule="auto"/>
              <w:ind w:right="317"/>
              <w:jc w:val="right"/>
              <w:rPr>
                <w:rFonts w:cs="Times New Roman"/>
                <w:szCs w:val="24"/>
              </w:rPr>
            </w:pPr>
            <w:r w:rsidRPr="007A0B11">
              <w:rPr>
                <w:rFonts w:cs="Times New Roman"/>
                <w:szCs w:val="24"/>
              </w:rPr>
              <w:t>113,7</w:t>
            </w:r>
          </w:p>
        </w:tc>
      </w:tr>
      <w:tr w:rsidR="00192DB6" w:rsidRPr="007A0B11" w:rsidTr="007A0B11">
        <w:trPr>
          <w:trHeight w:val="397"/>
        </w:trPr>
        <w:tc>
          <w:tcPr>
            <w:tcW w:w="5103"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pStyle w:val="PargrafodaLista"/>
              <w:spacing w:before="120" w:after="120" w:line="240" w:lineRule="auto"/>
              <w:ind w:left="284"/>
              <w:rPr>
                <w:rFonts w:cs="Times New Roman"/>
                <w:szCs w:val="24"/>
              </w:rPr>
            </w:pPr>
            <w:r w:rsidRPr="007A0B11">
              <w:rPr>
                <w:rFonts w:cs="Times New Roman"/>
                <w:szCs w:val="24"/>
              </w:rPr>
              <w:t>Transferências Totais:</w:t>
            </w:r>
          </w:p>
        </w:tc>
        <w:tc>
          <w:tcPr>
            <w:tcW w:w="1985"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spacing w:before="120" w:after="120" w:line="240" w:lineRule="auto"/>
              <w:jc w:val="center"/>
              <w:rPr>
                <w:rFonts w:cs="Times New Roman"/>
                <w:szCs w:val="24"/>
              </w:rPr>
            </w:pPr>
            <w:r w:rsidRPr="007A0B11">
              <w:rPr>
                <w:rFonts w:cs="Times New Roman"/>
                <w:szCs w:val="24"/>
              </w:rPr>
              <w:t>R$ mil dez/2010</w:t>
            </w:r>
          </w:p>
        </w:tc>
        <w:tc>
          <w:tcPr>
            <w:tcW w:w="1417"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spacing w:before="120" w:after="120" w:line="240" w:lineRule="auto"/>
              <w:ind w:right="317"/>
              <w:jc w:val="right"/>
              <w:rPr>
                <w:rFonts w:cs="Times New Roman"/>
                <w:szCs w:val="24"/>
              </w:rPr>
            </w:pPr>
            <w:r w:rsidRPr="007A0B11">
              <w:rPr>
                <w:rFonts w:cs="Times New Roman"/>
                <w:szCs w:val="24"/>
              </w:rPr>
              <w:t>5.886,95</w:t>
            </w:r>
          </w:p>
        </w:tc>
      </w:tr>
      <w:tr w:rsidR="00192DB6" w:rsidRPr="007A0B11" w:rsidTr="007A0B11">
        <w:trPr>
          <w:trHeight w:val="397"/>
        </w:trPr>
        <w:tc>
          <w:tcPr>
            <w:tcW w:w="5103" w:type="dxa"/>
            <w:tcBorders>
              <w:top w:val="single" w:sz="6" w:space="0" w:color="auto"/>
              <w:left w:val="single" w:sz="12" w:space="0" w:color="auto"/>
              <w:bottom w:val="single" w:sz="6" w:space="0" w:color="auto"/>
              <w:right w:val="single" w:sz="12" w:space="0" w:color="auto"/>
            </w:tcBorders>
            <w:vAlign w:val="center"/>
          </w:tcPr>
          <w:p w:rsidR="00192DB6" w:rsidRPr="000D4753" w:rsidRDefault="00192DB6" w:rsidP="003A55C9">
            <w:pPr>
              <w:spacing w:before="120" w:after="120" w:line="240" w:lineRule="auto"/>
              <w:ind w:left="360"/>
              <w:rPr>
                <w:rFonts w:cs="Times New Roman"/>
                <w:szCs w:val="24"/>
              </w:rPr>
            </w:pPr>
            <w:r w:rsidRPr="000D4753">
              <w:rPr>
                <w:rFonts w:cs="Times New Roman"/>
                <w:szCs w:val="24"/>
              </w:rPr>
              <w:t>Bolsa Família (BF)</w:t>
            </w:r>
          </w:p>
        </w:tc>
        <w:tc>
          <w:tcPr>
            <w:tcW w:w="1985"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spacing w:before="120" w:after="120" w:line="240" w:lineRule="auto"/>
              <w:jc w:val="center"/>
              <w:rPr>
                <w:rFonts w:cs="Times New Roman"/>
                <w:szCs w:val="24"/>
              </w:rPr>
            </w:pPr>
            <w:r w:rsidRPr="007A0B11">
              <w:rPr>
                <w:rFonts w:cs="Times New Roman"/>
                <w:szCs w:val="24"/>
              </w:rPr>
              <w:t>R$ mil dez/2010</w:t>
            </w:r>
          </w:p>
        </w:tc>
        <w:tc>
          <w:tcPr>
            <w:tcW w:w="1417" w:type="dxa"/>
            <w:tcBorders>
              <w:top w:val="single" w:sz="6" w:space="0" w:color="auto"/>
              <w:left w:val="single" w:sz="12" w:space="0" w:color="auto"/>
              <w:bottom w:val="single" w:sz="6" w:space="0" w:color="auto"/>
              <w:right w:val="single" w:sz="12" w:space="0" w:color="auto"/>
            </w:tcBorders>
            <w:vAlign w:val="center"/>
          </w:tcPr>
          <w:p w:rsidR="00192DB6" w:rsidRPr="007A0B11" w:rsidRDefault="00192DB6" w:rsidP="003A55C9">
            <w:pPr>
              <w:spacing w:before="120" w:after="120" w:line="240" w:lineRule="auto"/>
              <w:ind w:right="317"/>
              <w:jc w:val="right"/>
              <w:rPr>
                <w:rFonts w:cs="Times New Roman"/>
                <w:szCs w:val="24"/>
              </w:rPr>
            </w:pPr>
            <w:r w:rsidRPr="007A0B11">
              <w:rPr>
                <w:rFonts w:cs="Times New Roman"/>
                <w:szCs w:val="24"/>
              </w:rPr>
              <w:t>2.545,06</w:t>
            </w:r>
          </w:p>
        </w:tc>
      </w:tr>
      <w:tr w:rsidR="00192DB6" w:rsidRPr="007A0B11" w:rsidTr="007A0B11">
        <w:trPr>
          <w:trHeight w:val="397"/>
        </w:trPr>
        <w:tc>
          <w:tcPr>
            <w:tcW w:w="5103" w:type="dxa"/>
            <w:tcBorders>
              <w:top w:val="single" w:sz="6" w:space="0" w:color="auto"/>
              <w:left w:val="single" w:sz="12" w:space="0" w:color="auto"/>
              <w:bottom w:val="single" w:sz="12" w:space="0" w:color="auto"/>
              <w:right w:val="single" w:sz="12" w:space="0" w:color="auto"/>
            </w:tcBorders>
            <w:vAlign w:val="center"/>
          </w:tcPr>
          <w:p w:rsidR="00192DB6" w:rsidRPr="000D4753" w:rsidRDefault="00192DB6" w:rsidP="003A55C9">
            <w:pPr>
              <w:spacing w:before="120" w:after="120" w:line="240" w:lineRule="auto"/>
              <w:ind w:left="360"/>
              <w:rPr>
                <w:rFonts w:cs="Times New Roman"/>
                <w:szCs w:val="24"/>
              </w:rPr>
            </w:pPr>
            <w:r w:rsidRPr="000D4753">
              <w:rPr>
                <w:rFonts w:cs="Times New Roman"/>
                <w:szCs w:val="24"/>
              </w:rPr>
              <w:t>Benefício de Prestação Continuada (BPC)</w:t>
            </w:r>
          </w:p>
        </w:tc>
        <w:tc>
          <w:tcPr>
            <w:tcW w:w="1985" w:type="dxa"/>
            <w:tcBorders>
              <w:top w:val="single" w:sz="6" w:space="0" w:color="auto"/>
              <w:left w:val="single" w:sz="12" w:space="0" w:color="auto"/>
              <w:bottom w:val="single" w:sz="12" w:space="0" w:color="auto"/>
              <w:right w:val="single" w:sz="12" w:space="0" w:color="auto"/>
            </w:tcBorders>
            <w:vAlign w:val="center"/>
          </w:tcPr>
          <w:p w:rsidR="00192DB6" w:rsidRPr="007A0B11" w:rsidRDefault="00192DB6" w:rsidP="003A55C9">
            <w:pPr>
              <w:spacing w:before="120" w:after="120" w:line="240" w:lineRule="auto"/>
              <w:jc w:val="center"/>
              <w:rPr>
                <w:rFonts w:cs="Times New Roman"/>
                <w:szCs w:val="24"/>
              </w:rPr>
            </w:pPr>
            <w:r w:rsidRPr="007A0B11">
              <w:rPr>
                <w:rFonts w:cs="Times New Roman"/>
                <w:szCs w:val="24"/>
              </w:rPr>
              <w:t>R$ mil dez/2010</w:t>
            </w:r>
          </w:p>
        </w:tc>
        <w:tc>
          <w:tcPr>
            <w:tcW w:w="1417" w:type="dxa"/>
            <w:tcBorders>
              <w:top w:val="single" w:sz="6" w:space="0" w:color="auto"/>
              <w:left w:val="single" w:sz="12" w:space="0" w:color="auto"/>
              <w:bottom w:val="single" w:sz="12" w:space="0" w:color="auto"/>
              <w:right w:val="single" w:sz="12" w:space="0" w:color="auto"/>
            </w:tcBorders>
            <w:vAlign w:val="center"/>
          </w:tcPr>
          <w:p w:rsidR="00192DB6" w:rsidRPr="007A0B11" w:rsidRDefault="00192DB6" w:rsidP="003A55C9">
            <w:pPr>
              <w:spacing w:before="120" w:after="120" w:line="240" w:lineRule="auto"/>
              <w:ind w:right="317"/>
              <w:jc w:val="right"/>
              <w:rPr>
                <w:rFonts w:cs="Times New Roman"/>
                <w:szCs w:val="24"/>
              </w:rPr>
            </w:pPr>
            <w:r w:rsidRPr="007A0B11">
              <w:rPr>
                <w:rFonts w:cs="Times New Roman"/>
                <w:szCs w:val="24"/>
              </w:rPr>
              <w:t>3.341,89</w:t>
            </w:r>
          </w:p>
        </w:tc>
      </w:tr>
    </w:tbl>
    <w:p w:rsidR="00192DB6" w:rsidRPr="008C3A06" w:rsidRDefault="00192DB6" w:rsidP="007A0B11">
      <w:pPr>
        <w:pStyle w:val="Fonte"/>
      </w:pPr>
      <w:r w:rsidRPr="008C3A06">
        <w:t>FONTE: FJP (2013)</w:t>
      </w:r>
    </w:p>
    <w:p w:rsidR="00192DB6" w:rsidRPr="007A0B11" w:rsidRDefault="00192DB6" w:rsidP="000D4753">
      <w:pPr>
        <w:pStyle w:val="CM72"/>
        <w:spacing w:line="360" w:lineRule="auto"/>
        <w:ind w:firstLine="709"/>
        <w:jc w:val="both"/>
        <w:rPr>
          <w:rFonts w:ascii="Times New Roman" w:hAnsi="Times New Roman" w:cs="Times New Roman"/>
        </w:rPr>
      </w:pPr>
      <w:r w:rsidRPr="007A0B11">
        <w:rPr>
          <w:rFonts w:ascii="Times New Roman" w:hAnsi="Times New Roman" w:cs="Times New Roman"/>
        </w:rPr>
        <w:t>Reconhece-se que o termo pobreza não só implica em um estado de privação material, mas também em um modo de vida. Seu caráter multidimensional reforça a necessidade de considerar de que suas causas e explicações estão vinculadas a questões históricas, sociais e culturais.</w:t>
      </w:r>
      <w:r w:rsidRPr="007A0B11">
        <w:rPr>
          <w:rFonts w:ascii="Times New Roman" w:hAnsi="Times New Roman" w:cs="Times New Roman"/>
        </w:rPr>
        <w:tab/>
        <w:t>A principal vantagem do uso do enfoque baseado na renda consiste na possibilidade de se identificar o universo alvo da intervenção e gerar indicadores para a construção de ações de enfrentamento da pobreza (CARNEIRO, 2005)</w:t>
      </w:r>
      <w:r w:rsidR="000D4753">
        <w:rPr>
          <w:rFonts w:ascii="Times New Roman" w:hAnsi="Times New Roman" w:cs="Times New Roman"/>
        </w:rPr>
        <w:t>.</w:t>
      </w:r>
    </w:p>
    <w:p w:rsidR="00192DB6" w:rsidRPr="007A0B11" w:rsidRDefault="00192DB6" w:rsidP="000D4753">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Nesse sentido, são considerados como pobres aqueles com renda situada abaixo do valor estabelecido como linha de pobreza, incapazes, portanto, de atender ao conjunto de necessidades consideradas mínimas naquela sociedade. Por outro lado, os indigentes representam um subconjunto dos pobres cuja renda não consegue atender sequer às necessidades nutricionais. </w:t>
      </w:r>
      <w:r w:rsidR="000D4753">
        <w:rPr>
          <w:rFonts w:ascii="Times New Roman" w:hAnsi="Times New Roman" w:cs="Times New Roman"/>
        </w:rPr>
        <w:t>“</w:t>
      </w:r>
      <w:r w:rsidRPr="007A0B11">
        <w:rPr>
          <w:rFonts w:ascii="Times New Roman" w:hAnsi="Times New Roman" w:cs="Times New Roman"/>
        </w:rPr>
        <w:t>Em última instância, ser pobre significa ter renda insuficiente e não dispor dos meios para operar adequadamente o grupo social em que se vive</w:t>
      </w:r>
      <w:r w:rsidR="000D4753">
        <w:rPr>
          <w:rFonts w:ascii="Times New Roman" w:hAnsi="Times New Roman" w:cs="Times New Roman"/>
        </w:rPr>
        <w:t>”</w:t>
      </w:r>
      <w:r w:rsidRPr="007A0B11">
        <w:rPr>
          <w:rFonts w:ascii="Times New Roman" w:hAnsi="Times New Roman" w:cs="Times New Roman"/>
        </w:rPr>
        <w:t xml:space="preserve"> (ROCHA, 2003, p.10).</w:t>
      </w:r>
    </w:p>
    <w:p w:rsidR="00192DB6" w:rsidRPr="007A0B11" w:rsidRDefault="00192DB6" w:rsidP="000D4753">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Segundo dados da PNUD (2000), em 2000, existiam 44,86% de pessoas pobres no município de Aimorés, superior ao percentual do Brasil, equivalente a 32,75%. Quanto ao percentual de pessoas indigentes, esse valor era da ordem de 16,24%, um pouco inferior à taxa brasileira (16,32%). Em termos da microrregião, o município de melhor situação era </w:t>
      </w:r>
      <w:r w:rsidRPr="007A0B11">
        <w:rPr>
          <w:rFonts w:ascii="Times New Roman" w:hAnsi="Times New Roman" w:cs="Times New Roman"/>
        </w:rPr>
        <w:lastRenderedPageBreak/>
        <w:t>Resplendor (30,15% e 14,63%</w:t>
      </w:r>
      <w:r w:rsidR="000D4753">
        <w:rPr>
          <w:rFonts w:ascii="Times New Roman" w:hAnsi="Times New Roman" w:cs="Times New Roman"/>
        </w:rPr>
        <w:t>, respectivamente</w:t>
      </w:r>
      <w:r w:rsidRPr="007A0B11">
        <w:rPr>
          <w:rFonts w:ascii="Times New Roman" w:hAnsi="Times New Roman" w:cs="Times New Roman"/>
        </w:rPr>
        <w:t>) comparativamente ao município de Alvarenga, com taxas mais elevadas de pobreza e indigência (56,57% e 27,98%</w:t>
      </w:r>
      <w:r w:rsidR="000D4753">
        <w:rPr>
          <w:rFonts w:ascii="Times New Roman" w:hAnsi="Times New Roman" w:cs="Times New Roman"/>
        </w:rPr>
        <w:t>, respectivamente</w:t>
      </w:r>
      <w:r w:rsidRPr="007A0B11">
        <w:rPr>
          <w:rFonts w:ascii="Times New Roman" w:hAnsi="Times New Roman" w:cs="Times New Roman"/>
        </w:rPr>
        <w:t xml:space="preserve">). Em 100,0% dos municípios da Microrregião, o percentual da renda proveniente do rendimento do trabalho estava entre 76,0 e 78,0%; sendo que quase 11,0% das pessoas tinham mais de 50% da renda proveniente de transferências governamentais. </w:t>
      </w:r>
    </w:p>
    <w:p w:rsidR="00192DB6" w:rsidRPr="007A0B11" w:rsidRDefault="00192DB6" w:rsidP="000D4753">
      <w:pPr>
        <w:pStyle w:val="CM72"/>
        <w:spacing w:line="360" w:lineRule="auto"/>
        <w:ind w:firstLine="708"/>
        <w:jc w:val="both"/>
        <w:rPr>
          <w:rFonts w:ascii="Times New Roman" w:hAnsi="Times New Roman" w:cs="Times New Roman"/>
        </w:rPr>
      </w:pPr>
      <w:r w:rsidRPr="007A0B11">
        <w:rPr>
          <w:rFonts w:ascii="Times New Roman" w:hAnsi="Times New Roman" w:cs="Times New Roman"/>
        </w:rPr>
        <w:t xml:space="preserve">Estudos mostram que as transferências governamentais, principalmente por meio do Programa Bolsa Família, têm </w:t>
      </w:r>
      <w:r w:rsidR="00A11184" w:rsidRPr="007A0B11">
        <w:rPr>
          <w:rFonts w:ascii="Times New Roman" w:hAnsi="Times New Roman" w:cs="Times New Roman"/>
        </w:rPr>
        <w:t>contribuído</w:t>
      </w:r>
      <w:r w:rsidRPr="007A0B11">
        <w:rPr>
          <w:rFonts w:ascii="Times New Roman" w:hAnsi="Times New Roman" w:cs="Times New Roman"/>
        </w:rPr>
        <w:t xml:space="preserve"> para a redução da pobreza e indigência</w:t>
      </w:r>
      <w:r w:rsidRPr="001D2F23">
        <w:rPr>
          <w:rFonts w:ascii="Times New Roman" w:hAnsi="Times New Roman" w:cs="Times New Roman"/>
          <w:vertAlign w:val="superscript"/>
        </w:rPr>
        <w:footnoteReference w:id="4"/>
      </w:r>
      <w:r w:rsidRPr="007A0B11">
        <w:rPr>
          <w:rFonts w:ascii="Times New Roman" w:hAnsi="Times New Roman" w:cs="Times New Roman"/>
        </w:rPr>
        <w:t xml:space="preserve"> da população brasileira. Resultado semelhante foi observado em Aimorés, uma vez que houve uma redução da população extremamente pobre; embora, mantenha-se a concentração da renda, pois a participação dos 20% da população mais rica da cidade no rendimento total municipal era de 61,7%, ou seja, 22 vezes superior à dos 20% mais pobres, que era de 2,8%. Em termos microrregionais, em sete municípios (53,8%), com 57,4% da população total, os 20% mais ricos apropriavam de 58,5% a 63,0% da renda, enquanto que no Brasil era 68,06% (PNUD, 2000).</w:t>
      </w:r>
    </w:p>
    <w:p w:rsidR="00192DB6" w:rsidRPr="007A0B11" w:rsidRDefault="00192DB6" w:rsidP="003A55C9">
      <w:pPr>
        <w:pStyle w:val="CM72"/>
        <w:spacing w:line="360" w:lineRule="auto"/>
        <w:ind w:firstLine="709"/>
        <w:jc w:val="both"/>
        <w:rPr>
          <w:rFonts w:ascii="Times New Roman" w:hAnsi="Times New Roman" w:cs="Times New Roman"/>
        </w:rPr>
      </w:pPr>
      <w:r w:rsidRPr="007A0B11">
        <w:rPr>
          <w:rFonts w:ascii="Times New Roman" w:hAnsi="Times New Roman" w:cs="Times New Roman"/>
        </w:rPr>
        <w:t>Essa desigualdade social é retratada pelo Índice de Gini</w:t>
      </w:r>
      <w:r w:rsidRPr="001D2F23">
        <w:rPr>
          <w:rFonts w:ascii="Times New Roman" w:hAnsi="Times New Roman" w:cs="Times New Roman"/>
          <w:vertAlign w:val="superscript"/>
        </w:rPr>
        <w:footnoteReference w:id="5"/>
      </w:r>
      <w:r w:rsidRPr="007A0B11">
        <w:rPr>
          <w:rFonts w:ascii="Times New Roman" w:hAnsi="Times New Roman" w:cs="Times New Roman"/>
        </w:rPr>
        <w:t xml:space="preserve">, que mede a desigualdade na distribuição de renda do país, apresentando variação entre 0 e 1; sendo que quanto mais próximo de 1, maior será a desigualdade registrada para a população em análise. </w:t>
      </w:r>
    </w:p>
    <w:p w:rsidR="00192DB6" w:rsidRPr="007A0B11" w:rsidRDefault="00192DB6" w:rsidP="003A55C9">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Segundo dados da PNUD (2000), o Índice de Gini, nos anos de 1991 e 2000, para Aimorés foi de 0,56 e 0,57; respectivamente, inferior ao do Brasil (0,65); encontrando-se, atualmente em 0,43, o que demonstra uma redução da desigualdade social. </w:t>
      </w:r>
    </w:p>
    <w:p w:rsidR="00192DB6" w:rsidRPr="000933A3" w:rsidRDefault="008E169C" w:rsidP="00971B37">
      <w:pPr>
        <w:pStyle w:val="Titulo"/>
      </w:pPr>
      <w:bookmarkStart w:id="119" w:name="_Toc372559058"/>
      <w:bookmarkStart w:id="120" w:name="_Toc372789498"/>
      <w:r>
        <w:t xml:space="preserve">8.3.4 </w:t>
      </w:r>
      <w:r w:rsidR="00192DB6" w:rsidRPr="000933A3">
        <w:t>Acesso ao Conhecimento/Educação</w:t>
      </w:r>
      <w:bookmarkEnd w:id="119"/>
      <w:bookmarkEnd w:id="120"/>
    </w:p>
    <w:p w:rsidR="00192DB6" w:rsidRPr="007A0B11" w:rsidRDefault="00192DB6" w:rsidP="003A55C9">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A relação que a sociedade tem com o meio ambiente sofre influências sociais, culturais e econômicas, sendo necessária uma reflexão da relação social com o meio que é construído e vivenciado. Nesse contexto, surge a educação como elemento essencial na </w:t>
      </w:r>
      <w:r w:rsidRPr="007A0B11">
        <w:rPr>
          <w:rFonts w:ascii="Times New Roman" w:hAnsi="Times New Roman" w:cs="Times New Roman"/>
        </w:rPr>
        <w:lastRenderedPageBreak/>
        <w:t>formação de novos parâmetros de existência, conscientização, mudança de atitudes e reinvindicações. O acesso e a melhoria do nível educacional da população afetam outras dimensões da sociedade, como o favorecimento do desenvolvimento cultural, a preservação ambiental e a queda na violência e na criminalidade.</w:t>
      </w:r>
    </w:p>
    <w:p w:rsidR="00192DB6" w:rsidRPr="007A0B11" w:rsidRDefault="00192DB6" w:rsidP="003F5401">
      <w:pPr>
        <w:pStyle w:val="CM72"/>
        <w:spacing w:line="360" w:lineRule="auto"/>
        <w:ind w:firstLine="708"/>
        <w:jc w:val="both"/>
        <w:rPr>
          <w:rFonts w:ascii="Times New Roman" w:hAnsi="Times New Roman" w:cs="Times New Roman"/>
        </w:rPr>
      </w:pPr>
      <w:r w:rsidRPr="007A0B11">
        <w:rPr>
          <w:rFonts w:ascii="Times New Roman" w:hAnsi="Times New Roman" w:cs="Times New Roman"/>
        </w:rPr>
        <w:t xml:space="preserve">A análise do acesso ao conhecimento/educação foi baseada em indicadores propostos pela FJP (2013), que contemplam tanto </w:t>
      </w:r>
      <w:r w:rsidR="003A55C9">
        <w:rPr>
          <w:rFonts w:ascii="Times New Roman" w:hAnsi="Times New Roman" w:cs="Times New Roman"/>
        </w:rPr>
        <w:t xml:space="preserve">a </w:t>
      </w:r>
      <w:r w:rsidRPr="007A0B11">
        <w:rPr>
          <w:rFonts w:ascii="Times New Roman" w:hAnsi="Times New Roman" w:cs="Times New Roman"/>
        </w:rPr>
        <w:t>situação quanto as condições de acesso à educação, considerando o nível de escolaridade, a taxa líquida de frequência</w:t>
      </w:r>
      <w:r w:rsidRPr="001D2F23">
        <w:rPr>
          <w:rFonts w:ascii="Times New Roman" w:hAnsi="Times New Roman" w:cs="Times New Roman"/>
          <w:vertAlign w:val="superscript"/>
        </w:rPr>
        <w:footnoteReference w:id="6"/>
      </w:r>
      <w:r w:rsidRPr="007A0B11">
        <w:rPr>
          <w:rFonts w:ascii="Times New Roman" w:hAnsi="Times New Roman" w:cs="Times New Roman"/>
        </w:rPr>
        <w:t xml:space="preserve"> ao fundamental, médio e superior; além da qualidade do ensino e do esforço municipal, em termos de gastos com educação.</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Assim, conforme dados do Índice Mineiro de Responsabilidade Social para o município de Aimorés/MG, apresentados na Figura </w:t>
      </w:r>
      <w:r w:rsidR="003A55C9">
        <w:rPr>
          <w:rFonts w:ascii="Times New Roman" w:hAnsi="Times New Roman" w:cs="Times New Roman"/>
        </w:rPr>
        <w:t>31</w:t>
      </w:r>
      <w:r w:rsidRPr="007A0B11">
        <w:rPr>
          <w:rFonts w:ascii="Times New Roman" w:hAnsi="Times New Roman" w:cs="Times New Roman"/>
        </w:rPr>
        <w:t xml:space="preserve">, a taxa de frequência ao ensino básico foi mais representativa para o ensino fundamental (93,18%), comparativamente ao acesso à educação infantil (61,88%) e ao ensino médio (50,99%). </w:t>
      </w:r>
    </w:p>
    <w:p w:rsidR="00192DB6" w:rsidRPr="007A0B11" w:rsidRDefault="00192DB6" w:rsidP="003F5401">
      <w:pPr>
        <w:pStyle w:val="CM72"/>
        <w:spacing w:line="360" w:lineRule="auto"/>
        <w:ind w:firstLine="708"/>
        <w:jc w:val="both"/>
        <w:rPr>
          <w:rFonts w:ascii="Times New Roman" w:hAnsi="Times New Roman" w:cs="Times New Roman"/>
        </w:rPr>
      </w:pPr>
      <w:r w:rsidRPr="007A0B11">
        <w:rPr>
          <w:rFonts w:ascii="Times New Roman" w:hAnsi="Times New Roman" w:cs="Times New Roman"/>
        </w:rPr>
        <w:t>Os dados mostraram que os problemas educacionais, principalmente ao nível do ensino médio, como o fato de que 53,5% dos adolescentes que frequentam o Ensino Médio não se encontrarem nas séries adequadas e que 20,36% dos que estão matriculados têm 18 anos ou mais de idade, pelos elevados índices de repetência e de evasão escola, não é derivado da oferta de equipamentos educacionais.</w:t>
      </w:r>
    </w:p>
    <w:p w:rsidR="003F5401" w:rsidRDefault="003F5401">
      <w:pPr>
        <w:spacing w:after="200" w:line="276" w:lineRule="auto"/>
        <w:rPr>
          <w:rFonts w:eastAsiaTheme="minorEastAsia" w:cs="Times New Roman"/>
          <w:bCs/>
          <w:szCs w:val="24"/>
          <w:lang w:eastAsia="pt-BR"/>
        </w:rPr>
      </w:pPr>
      <w:bookmarkStart w:id="121" w:name="_Toc372117071"/>
      <w:r>
        <w:br w:type="page"/>
      </w:r>
    </w:p>
    <w:p w:rsidR="00E40FED" w:rsidRDefault="00CB07F3" w:rsidP="00CB07F3">
      <w:pPr>
        <w:pStyle w:val="Legenda"/>
      </w:pPr>
      <w:bookmarkStart w:id="122" w:name="_Toc372740114"/>
      <w:bookmarkEnd w:id="121"/>
      <w:r>
        <w:lastRenderedPageBreak/>
        <w:t xml:space="preserve">Figura </w:t>
      </w:r>
      <w:fldSimple w:instr=" SEQ Figura \* ARABIC ">
        <w:r w:rsidR="004F77E2">
          <w:rPr>
            <w:noProof/>
          </w:rPr>
          <w:t>31</w:t>
        </w:r>
      </w:fldSimple>
      <w:r>
        <w:t xml:space="preserve">- </w:t>
      </w:r>
      <w:r w:rsidRPr="00A024A8">
        <w:t>Indicadores da situação da Educação, Aimorés/MG,2010.</w:t>
      </w:r>
      <w:bookmarkEnd w:id="122"/>
    </w:p>
    <w:p w:rsidR="00192DB6" w:rsidRDefault="00192DB6" w:rsidP="00192DB6">
      <w:pPr>
        <w:spacing w:after="0" w:line="360" w:lineRule="auto"/>
        <w:jc w:val="both"/>
        <w:rPr>
          <w:rFonts w:ascii="Comic Sans MS" w:hAnsi="Comic Sans MS"/>
          <w:sz w:val="28"/>
          <w:szCs w:val="28"/>
        </w:rPr>
      </w:pPr>
      <w:r w:rsidRPr="009D4B82">
        <w:rPr>
          <w:noProof/>
          <w:lang w:eastAsia="pt-BR"/>
        </w:rPr>
        <w:drawing>
          <wp:inline distT="0" distB="0" distL="0" distR="0" wp14:anchorId="74EDC973" wp14:editId="61562A80">
            <wp:extent cx="5414187" cy="3831714"/>
            <wp:effectExtent l="19050" t="0" r="0" b="0"/>
            <wp:docPr id="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418292" cy="3834619"/>
                    </a:xfrm>
                    <a:prstGeom prst="rect">
                      <a:avLst/>
                    </a:prstGeom>
                    <a:noFill/>
                    <a:ln>
                      <a:noFill/>
                    </a:ln>
                  </pic:spPr>
                </pic:pic>
              </a:graphicData>
            </a:graphic>
          </wp:inline>
        </w:drawing>
      </w:r>
    </w:p>
    <w:p w:rsidR="00192DB6" w:rsidRDefault="00192DB6" w:rsidP="00E40FED">
      <w:pPr>
        <w:pStyle w:val="Fonte"/>
      </w:pPr>
      <w:r>
        <w:t>FONTE:FJP (2013).</w:t>
      </w:r>
    </w:p>
    <w:p w:rsidR="00192DB6" w:rsidRPr="007A0B11" w:rsidRDefault="00192DB6" w:rsidP="003F5401">
      <w:pPr>
        <w:pStyle w:val="CM72"/>
        <w:spacing w:line="360" w:lineRule="auto"/>
        <w:ind w:firstLine="708"/>
        <w:jc w:val="both"/>
        <w:rPr>
          <w:rFonts w:ascii="Times New Roman" w:hAnsi="Times New Roman" w:cs="Times New Roman"/>
        </w:rPr>
      </w:pPr>
      <w:r w:rsidRPr="007A0B11">
        <w:rPr>
          <w:rFonts w:ascii="Times New Roman" w:hAnsi="Times New Roman" w:cs="Times New Roman"/>
        </w:rPr>
        <w:t xml:space="preserve">Constatou-se que o município possui: 23 Escolas do Ensino Fundamental (1º ao 5º ano); 13 Escolas que oferecem os anos finais do ensino fundamental (6º ao 9º ano); 12 Escolas que oferecem o Ensino Fundamental completo; 06 Escolas que oferecem o Ensino Médio. Além disso, conforme IBGE (2012), existem 35 docentes do ensino pré-escolar, 214 docentes do ensino fundamental e 75 docentes do ensino médio, que ministram aulas tanto em escolas estaduais, municipais e privadas (Quadro </w:t>
      </w:r>
      <w:r w:rsidR="003A55C9">
        <w:rPr>
          <w:rFonts w:ascii="Times New Roman" w:hAnsi="Times New Roman" w:cs="Times New Roman"/>
        </w:rPr>
        <w:t>8</w:t>
      </w:r>
      <w:r w:rsidRPr="007A0B11">
        <w:rPr>
          <w:rFonts w:ascii="Times New Roman" w:hAnsi="Times New Roman" w:cs="Times New Roman"/>
        </w:rPr>
        <w:t>).</w:t>
      </w:r>
    </w:p>
    <w:p w:rsidR="00E40FED" w:rsidRDefault="00E40FED">
      <w:pPr>
        <w:spacing w:after="200" w:line="276" w:lineRule="auto"/>
        <w:rPr>
          <w:rFonts w:eastAsiaTheme="minorEastAsia" w:cs="Times New Roman"/>
          <w:bCs/>
          <w:szCs w:val="24"/>
          <w:lang w:eastAsia="pt-BR"/>
        </w:rPr>
      </w:pPr>
      <w:r>
        <w:br w:type="page"/>
      </w:r>
    </w:p>
    <w:p w:rsidR="00E40FED" w:rsidRPr="00E40FED" w:rsidRDefault="00B02273" w:rsidP="00B02273">
      <w:pPr>
        <w:pStyle w:val="Legenda"/>
      </w:pPr>
      <w:bookmarkStart w:id="123" w:name="_Toc372740514"/>
      <w:r>
        <w:lastRenderedPageBreak/>
        <w:t xml:space="preserve">Quadro </w:t>
      </w:r>
      <w:fldSimple w:instr=" SEQ Quadro \* ARABIC ">
        <w:r w:rsidR="004F77E2">
          <w:rPr>
            <w:noProof/>
          </w:rPr>
          <w:t>8</w:t>
        </w:r>
      </w:fldSimple>
      <w:r>
        <w:t xml:space="preserve"> - </w:t>
      </w:r>
      <w:r w:rsidRPr="001A7BD5">
        <w:rPr>
          <w:noProof/>
        </w:rPr>
        <w:t>Indicadores de Educação, em termos de Acesso, do Município de Aimorés/MG, 2010.</w:t>
      </w:r>
      <w:bookmarkEnd w:id="123"/>
    </w:p>
    <w:tbl>
      <w:tblPr>
        <w:tblStyle w:val="Tabelacomgrade"/>
        <w:tblW w:w="8505" w:type="dxa"/>
        <w:tblInd w:w="108" w:type="dxa"/>
        <w:tblLayout w:type="fixed"/>
        <w:tblLook w:val="04A0" w:firstRow="1" w:lastRow="0" w:firstColumn="1" w:lastColumn="0" w:noHBand="0" w:noVBand="1"/>
      </w:tblPr>
      <w:tblGrid>
        <w:gridCol w:w="5812"/>
        <w:gridCol w:w="1295"/>
        <w:gridCol w:w="1398"/>
      </w:tblGrid>
      <w:tr w:rsidR="00192DB6" w:rsidRPr="00E40FED" w:rsidTr="007E6423">
        <w:trPr>
          <w:trHeight w:val="510"/>
        </w:trPr>
        <w:tc>
          <w:tcPr>
            <w:tcW w:w="5812"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E40FED" w:rsidRDefault="00192DB6" w:rsidP="003A55C9">
            <w:pPr>
              <w:spacing w:before="120" w:after="120" w:line="240" w:lineRule="auto"/>
              <w:jc w:val="center"/>
              <w:rPr>
                <w:rFonts w:cs="Times New Roman"/>
                <w:b/>
                <w:szCs w:val="24"/>
              </w:rPr>
            </w:pPr>
            <w:r w:rsidRPr="00E40FED">
              <w:rPr>
                <w:rFonts w:cs="Times New Roman"/>
                <w:b/>
                <w:szCs w:val="24"/>
              </w:rPr>
              <w:t>Indicadores</w:t>
            </w:r>
          </w:p>
        </w:tc>
        <w:tc>
          <w:tcPr>
            <w:tcW w:w="1295"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E40FED" w:rsidRDefault="00192DB6" w:rsidP="003A55C9">
            <w:pPr>
              <w:spacing w:before="120" w:after="120" w:line="240" w:lineRule="auto"/>
              <w:jc w:val="center"/>
              <w:rPr>
                <w:rFonts w:cs="Times New Roman"/>
                <w:b/>
                <w:szCs w:val="24"/>
              </w:rPr>
            </w:pPr>
            <w:r w:rsidRPr="00E40FED">
              <w:rPr>
                <w:rFonts w:cs="Times New Roman"/>
                <w:b/>
                <w:szCs w:val="24"/>
              </w:rPr>
              <w:t xml:space="preserve">Unidade </w:t>
            </w:r>
          </w:p>
        </w:tc>
        <w:tc>
          <w:tcPr>
            <w:tcW w:w="1398"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E40FED" w:rsidRDefault="00192DB6" w:rsidP="003A55C9">
            <w:pPr>
              <w:spacing w:before="120" w:after="120" w:line="240" w:lineRule="auto"/>
              <w:jc w:val="center"/>
              <w:rPr>
                <w:rFonts w:cs="Times New Roman"/>
                <w:b/>
                <w:szCs w:val="24"/>
              </w:rPr>
            </w:pPr>
            <w:r w:rsidRPr="00E40FED">
              <w:rPr>
                <w:rFonts w:cs="Times New Roman"/>
                <w:b/>
                <w:szCs w:val="24"/>
              </w:rPr>
              <w:t>Valores</w:t>
            </w:r>
          </w:p>
        </w:tc>
      </w:tr>
      <w:tr w:rsidR="00192DB6" w:rsidRPr="00E40FED" w:rsidTr="007E6423">
        <w:trPr>
          <w:trHeight w:val="567"/>
        </w:trPr>
        <w:tc>
          <w:tcPr>
            <w:tcW w:w="5812"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7E6423">
            <w:pPr>
              <w:pStyle w:val="PargrafodaLista"/>
              <w:spacing w:before="120" w:after="120" w:line="240" w:lineRule="auto"/>
              <w:ind w:left="53"/>
              <w:jc w:val="both"/>
              <w:rPr>
                <w:rFonts w:cs="Times New Roman"/>
                <w:szCs w:val="24"/>
              </w:rPr>
            </w:pPr>
            <w:r w:rsidRPr="00E40FED">
              <w:rPr>
                <w:rFonts w:cs="Times New Roman"/>
                <w:szCs w:val="24"/>
              </w:rPr>
              <w:t>Total de Escolas do Ensino Fundamental (1º ao 5º ano)</w:t>
            </w:r>
          </w:p>
        </w:tc>
        <w:tc>
          <w:tcPr>
            <w:tcW w:w="1295"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3A55C9">
            <w:pPr>
              <w:spacing w:before="120" w:after="120" w:line="240" w:lineRule="auto"/>
              <w:jc w:val="center"/>
              <w:rPr>
                <w:rFonts w:cs="Times New Roman"/>
                <w:szCs w:val="24"/>
              </w:rPr>
            </w:pPr>
            <w:r w:rsidRPr="00E40FED">
              <w:rPr>
                <w:rFonts w:cs="Times New Roman"/>
                <w:szCs w:val="24"/>
              </w:rPr>
              <w:t>Nº</w:t>
            </w:r>
          </w:p>
        </w:tc>
        <w:tc>
          <w:tcPr>
            <w:tcW w:w="1398"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7E6423">
            <w:pPr>
              <w:spacing w:before="120" w:after="120" w:line="240" w:lineRule="auto"/>
              <w:ind w:right="15"/>
              <w:jc w:val="center"/>
              <w:rPr>
                <w:rFonts w:cs="Times New Roman"/>
                <w:szCs w:val="24"/>
              </w:rPr>
            </w:pPr>
            <w:r w:rsidRPr="00E40FED">
              <w:rPr>
                <w:rFonts w:cs="Times New Roman"/>
                <w:szCs w:val="24"/>
              </w:rPr>
              <w:t>23</w:t>
            </w:r>
          </w:p>
        </w:tc>
      </w:tr>
      <w:tr w:rsidR="00192DB6" w:rsidRPr="00E40FED" w:rsidTr="007E6423">
        <w:trPr>
          <w:trHeight w:val="567"/>
        </w:trPr>
        <w:tc>
          <w:tcPr>
            <w:tcW w:w="5812"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7E6423">
            <w:pPr>
              <w:pStyle w:val="PargrafodaLista"/>
              <w:spacing w:before="120" w:after="120" w:line="240" w:lineRule="auto"/>
              <w:ind w:left="53"/>
              <w:jc w:val="both"/>
              <w:rPr>
                <w:rFonts w:cs="Times New Roman"/>
                <w:szCs w:val="24"/>
              </w:rPr>
            </w:pPr>
            <w:r w:rsidRPr="00E40FED">
              <w:rPr>
                <w:rFonts w:cs="Times New Roman"/>
                <w:szCs w:val="24"/>
              </w:rPr>
              <w:t>Total de Escolas que oferecem os anos finais do ensino fundamental (6º ao 9º ano)</w:t>
            </w:r>
          </w:p>
        </w:tc>
        <w:tc>
          <w:tcPr>
            <w:tcW w:w="1295"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3A55C9">
            <w:pPr>
              <w:spacing w:before="120" w:after="120" w:line="240" w:lineRule="auto"/>
              <w:jc w:val="center"/>
              <w:rPr>
                <w:rFonts w:cs="Times New Roman"/>
                <w:szCs w:val="24"/>
              </w:rPr>
            </w:pPr>
            <w:r w:rsidRPr="00E40FED">
              <w:rPr>
                <w:rFonts w:cs="Times New Roman"/>
                <w:szCs w:val="24"/>
              </w:rPr>
              <w:t>Nº</w:t>
            </w:r>
          </w:p>
        </w:tc>
        <w:tc>
          <w:tcPr>
            <w:tcW w:w="1398"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7E6423">
            <w:pPr>
              <w:spacing w:before="120" w:after="120" w:line="240" w:lineRule="auto"/>
              <w:ind w:right="15"/>
              <w:jc w:val="center"/>
              <w:rPr>
                <w:rFonts w:cs="Times New Roman"/>
                <w:szCs w:val="24"/>
              </w:rPr>
            </w:pPr>
            <w:r w:rsidRPr="00E40FED">
              <w:rPr>
                <w:rFonts w:cs="Times New Roman"/>
                <w:szCs w:val="24"/>
              </w:rPr>
              <w:t>13</w:t>
            </w:r>
          </w:p>
        </w:tc>
      </w:tr>
      <w:tr w:rsidR="00192DB6" w:rsidRPr="00E40FED" w:rsidTr="007E6423">
        <w:trPr>
          <w:trHeight w:val="567"/>
        </w:trPr>
        <w:tc>
          <w:tcPr>
            <w:tcW w:w="5812"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7E6423">
            <w:pPr>
              <w:pStyle w:val="PargrafodaLista"/>
              <w:spacing w:before="120" w:after="120" w:line="240" w:lineRule="auto"/>
              <w:ind w:left="53"/>
              <w:jc w:val="both"/>
              <w:rPr>
                <w:rFonts w:cs="Times New Roman"/>
                <w:szCs w:val="24"/>
              </w:rPr>
            </w:pPr>
            <w:r w:rsidRPr="00E40FED">
              <w:rPr>
                <w:rFonts w:cs="Times New Roman"/>
                <w:szCs w:val="24"/>
              </w:rPr>
              <w:t>Total de Escolas que oferecem o Ensino Fundamental completo</w:t>
            </w:r>
          </w:p>
        </w:tc>
        <w:tc>
          <w:tcPr>
            <w:tcW w:w="1295"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3A55C9">
            <w:pPr>
              <w:spacing w:before="120" w:after="120" w:line="240" w:lineRule="auto"/>
              <w:jc w:val="center"/>
              <w:rPr>
                <w:rFonts w:cs="Times New Roman"/>
                <w:szCs w:val="24"/>
              </w:rPr>
            </w:pPr>
            <w:r w:rsidRPr="00E40FED">
              <w:rPr>
                <w:rFonts w:cs="Times New Roman"/>
                <w:szCs w:val="24"/>
              </w:rPr>
              <w:t>Nº</w:t>
            </w:r>
          </w:p>
        </w:tc>
        <w:tc>
          <w:tcPr>
            <w:tcW w:w="1398"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7E6423">
            <w:pPr>
              <w:spacing w:before="120" w:after="120" w:line="240" w:lineRule="auto"/>
              <w:ind w:right="15"/>
              <w:jc w:val="center"/>
              <w:rPr>
                <w:rFonts w:cs="Times New Roman"/>
                <w:szCs w:val="24"/>
              </w:rPr>
            </w:pPr>
            <w:r w:rsidRPr="00E40FED">
              <w:rPr>
                <w:rFonts w:cs="Times New Roman"/>
                <w:szCs w:val="24"/>
              </w:rPr>
              <w:t>12</w:t>
            </w:r>
          </w:p>
        </w:tc>
      </w:tr>
      <w:tr w:rsidR="00192DB6" w:rsidRPr="00E40FED" w:rsidTr="007E6423">
        <w:trPr>
          <w:trHeight w:val="567"/>
        </w:trPr>
        <w:tc>
          <w:tcPr>
            <w:tcW w:w="5812"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7E6423">
            <w:pPr>
              <w:pStyle w:val="PargrafodaLista"/>
              <w:spacing w:before="120" w:after="120" w:line="240" w:lineRule="auto"/>
              <w:ind w:left="53"/>
              <w:jc w:val="both"/>
              <w:rPr>
                <w:rFonts w:cs="Times New Roman"/>
                <w:szCs w:val="24"/>
              </w:rPr>
            </w:pPr>
            <w:r w:rsidRPr="00E40FED">
              <w:rPr>
                <w:rFonts w:cs="Times New Roman"/>
                <w:szCs w:val="24"/>
              </w:rPr>
              <w:t xml:space="preserve">Total de Escolas que oferecem o Ensino Médio </w:t>
            </w:r>
          </w:p>
        </w:tc>
        <w:tc>
          <w:tcPr>
            <w:tcW w:w="1295"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3A55C9">
            <w:pPr>
              <w:spacing w:before="120" w:after="120" w:line="240" w:lineRule="auto"/>
              <w:jc w:val="center"/>
              <w:rPr>
                <w:rFonts w:cs="Times New Roman"/>
                <w:szCs w:val="24"/>
              </w:rPr>
            </w:pPr>
            <w:r w:rsidRPr="00E40FED">
              <w:rPr>
                <w:rFonts w:cs="Times New Roman"/>
                <w:szCs w:val="24"/>
              </w:rPr>
              <w:t>Nº</w:t>
            </w:r>
          </w:p>
        </w:tc>
        <w:tc>
          <w:tcPr>
            <w:tcW w:w="1398"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7E6423">
            <w:pPr>
              <w:spacing w:before="120" w:after="120" w:line="240" w:lineRule="auto"/>
              <w:ind w:right="15"/>
              <w:jc w:val="center"/>
              <w:rPr>
                <w:rFonts w:cs="Times New Roman"/>
                <w:szCs w:val="24"/>
              </w:rPr>
            </w:pPr>
            <w:r w:rsidRPr="00E40FED">
              <w:rPr>
                <w:rFonts w:cs="Times New Roman"/>
                <w:szCs w:val="24"/>
              </w:rPr>
              <w:t>6</w:t>
            </w:r>
          </w:p>
        </w:tc>
      </w:tr>
      <w:tr w:rsidR="00192DB6" w:rsidRPr="00E40FED" w:rsidTr="007E6423">
        <w:trPr>
          <w:trHeight w:val="567"/>
        </w:trPr>
        <w:tc>
          <w:tcPr>
            <w:tcW w:w="5812"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7E6423">
            <w:pPr>
              <w:pStyle w:val="PargrafodaLista"/>
              <w:spacing w:before="120" w:after="120" w:line="240" w:lineRule="auto"/>
              <w:ind w:left="53"/>
              <w:jc w:val="both"/>
              <w:rPr>
                <w:rFonts w:cs="Times New Roman"/>
                <w:szCs w:val="24"/>
              </w:rPr>
            </w:pPr>
            <w:r w:rsidRPr="00E40FED">
              <w:rPr>
                <w:rFonts w:cs="Times New Roman"/>
                <w:szCs w:val="24"/>
              </w:rPr>
              <w:t>Taxa de Matriculados no Fundamental com 15 anos ou mais de idade</w:t>
            </w:r>
          </w:p>
        </w:tc>
        <w:tc>
          <w:tcPr>
            <w:tcW w:w="1295"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3A55C9">
            <w:pPr>
              <w:spacing w:before="120" w:after="120" w:line="240" w:lineRule="auto"/>
              <w:jc w:val="center"/>
              <w:rPr>
                <w:rFonts w:cs="Times New Roman"/>
                <w:szCs w:val="24"/>
              </w:rPr>
            </w:pPr>
            <w:r w:rsidRPr="00E40FED">
              <w:rPr>
                <w:rFonts w:cs="Times New Roman"/>
                <w:szCs w:val="24"/>
              </w:rPr>
              <w:t>%</w:t>
            </w:r>
          </w:p>
        </w:tc>
        <w:tc>
          <w:tcPr>
            <w:tcW w:w="1398"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7E6423">
            <w:pPr>
              <w:spacing w:before="120" w:after="120" w:line="240" w:lineRule="auto"/>
              <w:ind w:right="15"/>
              <w:jc w:val="center"/>
              <w:rPr>
                <w:rFonts w:cs="Times New Roman"/>
                <w:szCs w:val="24"/>
              </w:rPr>
            </w:pPr>
            <w:r w:rsidRPr="00E40FED">
              <w:rPr>
                <w:rFonts w:cs="Times New Roman"/>
                <w:szCs w:val="24"/>
              </w:rPr>
              <w:t>10,67</w:t>
            </w:r>
          </w:p>
        </w:tc>
      </w:tr>
      <w:tr w:rsidR="00192DB6" w:rsidRPr="00E40FED" w:rsidTr="007E6423">
        <w:trPr>
          <w:trHeight w:val="567"/>
        </w:trPr>
        <w:tc>
          <w:tcPr>
            <w:tcW w:w="5812"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7E6423">
            <w:pPr>
              <w:pStyle w:val="PargrafodaLista"/>
              <w:spacing w:before="120" w:after="120" w:line="240" w:lineRule="auto"/>
              <w:ind w:left="53"/>
              <w:jc w:val="both"/>
              <w:rPr>
                <w:rFonts w:cs="Times New Roman"/>
                <w:szCs w:val="24"/>
              </w:rPr>
            </w:pPr>
            <w:r w:rsidRPr="00E40FED">
              <w:rPr>
                <w:rFonts w:cs="Times New Roman"/>
                <w:szCs w:val="24"/>
              </w:rPr>
              <w:t>Taxa de Matriculados no Ensino Médio com 18 anos ou mais de idade</w:t>
            </w:r>
          </w:p>
        </w:tc>
        <w:tc>
          <w:tcPr>
            <w:tcW w:w="1295"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3A55C9">
            <w:pPr>
              <w:spacing w:before="120" w:after="120" w:line="240" w:lineRule="auto"/>
              <w:jc w:val="center"/>
              <w:rPr>
                <w:rFonts w:cs="Times New Roman"/>
                <w:szCs w:val="24"/>
              </w:rPr>
            </w:pPr>
            <w:r w:rsidRPr="00E40FED">
              <w:rPr>
                <w:rFonts w:cs="Times New Roman"/>
                <w:szCs w:val="24"/>
              </w:rPr>
              <w:t>%</w:t>
            </w:r>
          </w:p>
        </w:tc>
        <w:tc>
          <w:tcPr>
            <w:tcW w:w="1398" w:type="dxa"/>
            <w:tcBorders>
              <w:top w:val="single" w:sz="6" w:space="0" w:color="auto"/>
              <w:left w:val="single" w:sz="12" w:space="0" w:color="auto"/>
              <w:bottom w:val="single" w:sz="6" w:space="0" w:color="auto"/>
              <w:right w:val="single" w:sz="12" w:space="0" w:color="auto"/>
            </w:tcBorders>
            <w:vAlign w:val="center"/>
          </w:tcPr>
          <w:p w:rsidR="00192DB6" w:rsidRPr="00E40FED" w:rsidRDefault="00192DB6" w:rsidP="007E6423">
            <w:pPr>
              <w:spacing w:before="120" w:after="120" w:line="240" w:lineRule="auto"/>
              <w:ind w:right="15"/>
              <w:jc w:val="center"/>
              <w:rPr>
                <w:rFonts w:cs="Times New Roman"/>
                <w:szCs w:val="24"/>
              </w:rPr>
            </w:pPr>
            <w:r w:rsidRPr="00E40FED">
              <w:rPr>
                <w:rFonts w:cs="Times New Roman"/>
                <w:szCs w:val="24"/>
              </w:rPr>
              <w:t>20,36</w:t>
            </w:r>
          </w:p>
        </w:tc>
      </w:tr>
    </w:tbl>
    <w:p w:rsidR="00192DB6" w:rsidRDefault="00192DB6" w:rsidP="007E6423">
      <w:pPr>
        <w:pStyle w:val="Fonte"/>
        <w:spacing w:before="120"/>
        <w:ind w:left="142"/>
      </w:pPr>
      <w:r w:rsidRPr="00B21813">
        <w:t>FONTE: FJP</w:t>
      </w:r>
      <w:r>
        <w:t xml:space="preserve"> </w:t>
      </w:r>
      <w:r w:rsidRPr="00B21813">
        <w:t>(2013)</w:t>
      </w:r>
    </w:p>
    <w:p w:rsidR="00192DB6" w:rsidRPr="00E40FED" w:rsidRDefault="00192DB6" w:rsidP="007E6423">
      <w:pPr>
        <w:pStyle w:val="CM72"/>
        <w:spacing w:line="360" w:lineRule="auto"/>
        <w:ind w:firstLine="709"/>
        <w:jc w:val="both"/>
        <w:rPr>
          <w:rFonts w:ascii="Times New Roman" w:hAnsi="Times New Roman" w:cs="Times New Roman"/>
          <w:spacing w:val="-2"/>
        </w:rPr>
      </w:pPr>
      <w:r w:rsidRPr="00E40FED">
        <w:rPr>
          <w:rFonts w:ascii="Times New Roman" w:hAnsi="Times New Roman" w:cs="Times New Roman"/>
          <w:spacing w:val="-2"/>
        </w:rPr>
        <w:t>Por outro lado, o nível médio de escolaridade do município, representado pela taxa de analfabetismo, está em torno de 85</w:t>
      </w:r>
      <w:r w:rsidR="007E6423">
        <w:rPr>
          <w:rFonts w:ascii="Times New Roman" w:hAnsi="Times New Roman" w:cs="Times New Roman"/>
          <w:spacing w:val="-2"/>
        </w:rPr>
        <w:t>,00</w:t>
      </w:r>
      <w:r w:rsidRPr="00E40FED">
        <w:rPr>
          <w:rFonts w:ascii="Times New Roman" w:hAnsi="Times New Roman" w:cs="Times New Roman"/>
          <w:spacing w:val="-2"/>
        </w:rPr>
        <w:t xml:space="preserve">%, considerando que o percentual da população analfabeta de 15 anos ou mais era de 14,49%, tendo Ipanema a melhor taxa de alfabetização e frequência escolar; embora Aimorés tenha a média mais elevada de anos de estudo (4,59 anos) e menor número de pessoas com menos de 4,0 anos de estudo da sua microrregião, conforme dados da PNUD (2000), apresentados no Quadro </w:t>
      </w:r>
      <w:r w:rsidR="007E6423">
        <w:rPr>
          <w:rFonts w:ascii="Times New Roman" w:hAnsi="Times New Roman" w:cs="Times New Roman"/>
          <w:spacing w:val="-2"/>
        </w:rPr>
        <w:t>9</w:t>
      </w:r>
      <w:r w:rsidRPr="00E40FED">
        <w:rPr>
          <w:rFonts w:ascii="Times New Roman" w:hAnsi="Times New Roman" w:cs="Times New Roman"/>
          <w:spacing w:val="-2"/>
        </w:rPr>
        <w:t xml:space="preserve">. </w:t>
      </w:r>
    </w:p>
    <w:p w:rsidR="007E6423" w:rsidRDefault="007E6423">
      <w:pPr>
        <w:spacing w:after="200" w:line="276" w:lineRule="auto"/>
        <w:rPr>
          <w:rFonts w:eastAsiaTheme="minorEastAsia" w:cs="Times New Roman"/>
          <w:bCs/>
          <w:szCs w:val="24"/>
          <w:lang w:eastAsia="pt-BR"/>
        </w:rPr>
      </w:pPr>
      <w:bookmarkStart w:id="124" w:name="_Toc372117251"/>
      <w:r>
        <w:br w:type="page"/>
      </w:r>
    </w:p>
    <w:p w:rsidR="00E40FED" w:rsidRPr="00C66007" w:rsidRDefault="00B02273" w:rsidP="00B02273">
      <w:pPr>
        <w:pStyle w:val="Legenda"/>
      </w:pPr>
      <w:bookmarkStart w:id="125" w:name="_Toc372740515"/>
      <w:bookmarkEnd w:id="124"/>
      <w:r>
        <w:lastRenderedPageBreak/>
        <w:t xml:space="preserve">Quadro </w:t>
      </w:r>
      <w:fldSimple w:instr=" SEQ Quadro \* ARABIC ">
        <w:r w:rsidR="004F77E2">
          <w:rPr>
            <w:noProof/>
          </w:rPr>
          <w:t>9</w:t>
        </w:r>
      </w:fldSimple>
      <w:r>
        <w:t xml:space="preserve"> - </w:t>
      </w:r>
      <w:r w:rsidRPr="00086663">
        <w:rPr>
          <w:noProof/>
        </w:rPr>
        <w:t>Nível Educacional na Microrregião de Aimorés, por faixa etária, 2000.</w:t>
      </w:r>
      <w:bookmarkEnd w:id="125"/>
    </w:p>
    <w:tbl>
      <w:tblPr>
        <w:tblStyle w:val="Tabelacomgrade"/>
        <w:tblW w:w="9498" w:type="dxa"/>
        <w:tblInd w:w="108" w:type="dxa"/>
        <w:tblLayout w:type="fixed"/>
        <w:tblLook w:val="04A0" w:firstRow="1" w:lastRow="0" w:firstColumn="1" w:lastColumn="0" w:noHBand="0" w:noVBand="1"/>
      </w:tblPr>
      <w:tblGrid>
        <w:gridCol w:w="3119"/>
        <w:gridCol w:w="1559"/>
        <w:gridCol w:w="1418"/>
        <w:gridCol w:w="850"/>
        <w:gridCol w:w="1701"/>
        <w:gridCol w:w="851"/>
      </w:tblGrid>
      <w:tr w:rsidR="00192DB6" w:rsidRPr="007E6423" w:rsidTr="00E40FED">
        <w:trPr>
          <w:trHeight w:val="510"/>
        </w:trPr>
        <w:tc>
          <w:tcPr>
            <w:tcW w:w="3119" w:type="dxa"/>
            <w:vMerge w:val="restart"/>
            <w:tcBorders>
              <w:top w:val="single" w:sz="12" w:space="0" w:color="auto"/>
              <w:left w:val="single" w:sz="12" w:space="0" w:color="auto"/>
              <w:right w:val="single" w:sz="12" w:space="0" w:color="auto"/>
            </w:tcBorders>
            <w:shd w:val="clear" w:color="auto" w:fill="BFBFBF" w:themeFill="background1" w:themeFillShade="BF"/>
            <w:vAlign w:val="center"/>
          </w:tcPr>
          <w:p w:rsidR="00192DB6" w:rsidRPr="007E6423" w:rsidRDefault="00192DB6" w:rsidP="007E6423">
            <w:pPr>
              <w:spacing w:before="80" w:after="80" w:line="240" w:lineRule="auto"/>
              <w:jc w:val="center"/>
              <w:rPr>
                <w:rFonts w:cs="Times New Roman"/>
                <w:b/>
                <w:sz w:val="20"/>
                <w:szCs w:val="20"/>
              </w:rPr>
            </w:pPr>
            <w:r w:rsidRPr="007E6423">
              <w:rPr>
                <w:rFonts w:cs="Times New Roman"/>
                <w:b/>
                <w:sz w:val="20"/>
                <w:szCs w:val="20"/>
              </w:rPr>
              <w:t>Pessoas/Faixa Etária/Nível</w:t>
            </w:r>
          </w:p>
        </w:tc>
        <w:tc>
          <w:tcPr>
            <w:tcW w:w="1559" w:type="dxa"/>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7E6423" w:rsidRDefault="00192DB6" w:rsidP="007E6423">
            <w:pPr>
              <w:spacing w:before="80" w:after="80" w:line="240" w:lineRule="auto"/>
              <w:jc w:val="center"/>
              <w:rPr>
                <w:rFonts w:cs="Times New Roman"/>
                <w:b/>
                <w:sz w:val="20"/>
                <w:szCs w:val="20"/>
              </w:rPr>
            </w:pPr>
            <w:r w:rsidRPr="007E6423">
              <w:rPr>
                <w:rFonts w:cs="Times New Roman"/>
                <w:b/>
                <w:sz w:val="20"/>
                <w:szCs w:val="20"/>
              </w:rPr>
              <w:t>Brasil (%)</w:t>
            </w:r>
          </w:p>
        </w:tc>
        <w:tc>
          <w:tcPr>
            <w:tcW w:w="4820" w:type="dxa"/>
            <w:gridSpan w:val="4"/>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7E6423" w:rsidRDefault="00192DB6" w:rsidP="007E6423">
            <w:pPr>
              <w:spacing w:before="80" w:after="80" w:line="240" w:lineRule="auto"/>
              <w:jc w:val="center"/>
              <w:rPr>
                <w:rFonts w:cs="Times New Roman"/>
                <w:b/>
                <w:sz w:val="20"/>
                <w:szCs w:val="20"/>
              </w:rPr>
            </w:pPr>
            <w:r w:rsidRPr="007E6423">
              <w:rPr>
                <w:rFonts w:cs="Times New Roman"/>
                <w:b/>
                <w:sz w:val="20"/>
                <w:szCs w:val="20"/>
              </w:rPr>
              <w:t>Microrregião de Aimorés</w:t>
            </w:r>
          </w:p>
        </w:tc>
      </w:tr>
      <w:tr w:rsidR="00192DB6" w:rsidRPr="007E6423" w:rsidTr="00E40FED">
        <w:trPr>
          <w:trHeight w:val="510"/>
        </w:trPr>
        <w:tc>
          <w:tcPr>
            <w:tcW w:w="3119" w:type="dxa"/>
            <w:vMerge/>
            <w:tcBorders>
              <w:left w:val="single" w:sz="12" w:space="0" w:color="auto"/>
              <w:right w:val="single" w:sz="12" w:space="0" w:color="auto"/>
            </w:tcBorders>
            <w:shd w:val="clear" w:color="auto" w:fill="BFBFBF" w:themeFill="background1" w:themeFillShade="BF"/>
            <w:vAlign w:val="center"/>
          </w:tcPr>
          <w:p w:rsidR="00192DB6" w:rsidRPr="007E6423" w:rsidRDefault="00192DB6" w:rsidP="007E6423">
            <w:pPr>
              <w:spacing w:before="80" w:after="80" w:line="240" w:lineRule="auto"/>
              <w:jc w:val="center"/>
              <w:rPr>
                <w:rFonts w:cs="Times New Roman"/>
                <w:b/>
                <w:sz w:val="20"/>
                <w:szCs w:val="20"/>
              </w:rPr>
            </w:pPr>
          </w:p>
        </w:tc>
        <w:tc>
          <w:tcPr>
            <w:tcW w:w="1559" w:type="dxa"/>
            <w:vMerge/>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7E6423" w:rsidRDefault="00192DB6" w:rsidP="007E6423">
            <w:pPr>
              <w:spacing w:before="80" w:after="80" w:line="240" w:lineRule="auto"/>
              <w:jc w:val="center"/>
              <w:rPr>
                <w:rFonts w:cs="Times New Roman"/>
                <w:b/>
                <w:sz w:val="20"/>
                <w:szCs w:val="20"/>
              </w:rPr>
            </w:pPr>
          </w:p>
        </w:tc>
        <w:tc>
          <w:tcPr>
            <w:tcW w:w="2268" w:type="dxa"/>
            <w:gridSpan w:val="2"/>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7E6423" w:rsidRDefault="00192DB6" w:rsidP="007E6423">
            <w:pPr>
              <w:spacing w:before="80" w:after="80" w:line="240" w:lineRule="auto"/>
              <w:jc w:val="center"/>
              <w:rPr>
                <w:rFonts w:cs="Times New Roman"/>
                <w:b/>
                <w:sz w:val="20"/>
                <w:szCs w:val="20"/>
              </w:rPr>
            </w:pPr>
            <w:r w:rsidRPr="007E6423">
              <w:rPr>
                <w:rFonts w:cs="Times New Roman"/>
                <w:b/>
                <w:sz w:val="20"/>
                <w:szCs w:val="20"/>
              </w:rPr>
              <w:t>Melhor Valor</w:t>
            </w:r>
          </w:p>
        </w:tc>
        <w:tc>
          <w:tcPr>
            <w:tcW w:w="2552" w:type="dxa"/>
            <w:gridSpan w:val="2"/>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7E6423" w:rsidRDefault="00192DB6" w:rsidP="007E6423">
            <w:pPr>
              <w:spacing w:before="80" w:after="80" w:line="240" w:lineRule="auto"/>
              <w:jc w:val="center"/>
              <w:rPr>
                <w:rFonts w:cs="Times New Roman"/>
                <w:b/>
                <w:sz w:val="20"/>
                <w:szCs w:val="20"/>
              </w:rPr>
            </w:pPr>
            <w:r w:rsidRPr="007E6423">
              <w:rPr>
                <w:rFonts w:cs="Times New Roman"/>
                <w:b/>
                <w:sz w:val="20"/>
                <w:szCs w:val="20"/>
              </w:rPr>
              <w:t>Pior Valor</w:t>
            </w:r>
          </w:p>
        </w:tc>
      </w:tr>
      <w:tr w:rsidR="00192DB6" w:rsidRPr="007E6423" w:rsidTr="00E40FED">
        <w:trPr>
          <w:trHeight w:val="510"/>
        </w:trPr>
        <w:tc>
          <w:tcPr>
            <w:tcW w:w="3119" w:type="dxa"/>
            <w:vMerge/>
            <w:tcBorders>
              <w:left w:val="single" w:sz="12" w:space="0" w:color="auto"/>
              <w:bottom w:val="single" w:sz="12" w:space="0" w:color="auto"/>
              <w:right w:val="single" w:sz="12" w:space="0" w:color="auto"/>
            </w:tcBorders>
            <w:shd w:val="clear" w:color="auto" w:fill="BFBFBF" w:themeFill="background1" w:themeFillShade="BF"/>
            <w:vAlign w:val="center"/>
          </w:tcPr>
          <w:p w:rsidR="00192DB6" w:rsidRPr="007E6423" w:rsidRDefault="00192DB6" w:rsidP="007E6423">
            <w:pPr>
              <w:spacing w:before="80" w:after="80" w:line="240" w:lineRule="auto"/>
              <w:jc w:val="center"/>
              <w:rPr>
                <w:rFonts w:cs="Times New Roman"/>
                <w:b/>
                <w:sz w:val="20"/>
                <w:szCs w:val="20"/>
              </w:rPr>
            </w:pPr>
          </w:p>
        </w:tc>
        <w:tc>
          <w:tcPr>
            <w:tcW w:w="1559" w:type="dxa"/>
            <w:vMerge/>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7E6423" w:rsidRDefault="00192DB6" w:rsidP="007E6423">
            <w:pPr>
              <w:spacing w:before="80" w:after="80" w:line="240" w:lineRule="auto"/>
              <w:jc w:val="center"/>
              <w:rPr>
                <w:rFonts w:cs="Times New Roman"/>
                <w:b/>
                <w:sz w:val="20"/>
                <w:szCs w:val="20"/>
              </w:rPr>
            </w:pPr>
          </w:p>
        </w:tc>
        <w:tc>
          <w:tcPr>
            <w:tcW w:w="1418"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7E6423" w:rsidRDefault="00192DB6" w:rsidP="007E6423">
            <w:pPr>
              <w:spacing w:before="80" w:after="80" w:line="240" w:lineRule="auto"/>
              <w:jc w:val="center"/>
              <w:rPr>
                <w:rFonts w:cs="Times New Roman"/>
                <w:b/>
                <w:sz w:val="20"/>
                <w:szCs w:val="20"/>
              </w:rPr>
            </w:pPr>
            <w:r w:rsidRPr="007E6423">
              <w:rPr>
                <w:rFonts w:cs="Times New Roman"/>
                <w:b/>
                <w:sz w:val="20"/>
                <w:szCs w:val="20"/>
              </w:rPr>
              <w:t>Município</w:t>
            </w:r>
          </w:p>
        </w:tc>
        <w:tc>
          <w:tcPr>
            <w:tcW w:w="850"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7E6423" w:rsidRDefault="00192DB6" w:rsidP="007E6423">
            <w:pPr>
              <w:spacing w:before="80" w:after="80" w:line="240" w:lineRule="auto"/>
              <w:ind w:left="-3"/>
              <w:jc w:val="center"/>
              <w:rPr>
                <w:rFonts w:cs="Times New Roman"/>
                <w:b/>
                <w:sz w:val="20"/>
                <w:szCs w:val="20"/>
              </w:rPr>
            </w:pPr>
            <w:r w:rsidRPr="007E6423">
              <w:rPr>
                <w:rFonts w:cs="Times New Roman"/>
                <w:b/>
                <w:sz w:val="20"/>
                <w:szCs w:val="20"/>
              </w:rPr>
              <w:t>%</w:t>
            </w:r>
          </w:p>
        </w:tc>
        <w:tc>
          <w:tcPr>
            <w:tcW w:w="1701"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7E6423" w:rsidRDefault="00192DB6" w:rsidP="007E6423">
            <w:pPr>
              <w:spacing w:before="80" w:after="80" w:line="240" w:lineRule="auto"/>
              <w:jc w:val="center"/>
              <w:rPr>
                <w:rFonts w:cs="Times New Roman"/>
                <w:b/>
                <w:sz w:val="20"/>
                <w:szCs w:val="20"/>
              </w:rPr>
            </w:pPr>
            <w:r w:rsidRPr="007E6423">
              <w:rPr>
                <w:rFonts w:cs="Times New Roman"/>
                <w:b/>
                <w:sz w:val="20"/>
                <w:szCs w:val="20"/>
              </w:rPr>
              <w:t>Município</w:t>
            </w:r>
          </w:p>
        </w:tc>
        <w:tc>
          <w:tcPr>
            <w:tcW w:w="851"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7E6423" w:rsidRDefault="00192DB6" w:rsidP="007E6423">
            <w:pPr>
              <w:spacing w:before="80" w:after="80" w:line="240" w:lineRule="auto"/>
              <w:jc w:val="center"/>
              <w:rPr>
                <w:rFonts w:cs="Times New Roman"/>
                <w:b/>
                <w:sz w:val="20"/>
                <w:szCs w:val="20"/>
              </w:rPr>
            </w:pPr>
            <w:r w:rsidRPr="007E6423">
              <w:rPr>
                <w:rFonts w:cs="Times New Roman"/>
                <w:b/>
                <w:sz w:val="20"/>
                <w:szCs w:val="20"/>
              </w:rPr>
              <w:t>%</w:t>
            </w:r>
          </w:p>
        </w:tc>
      </w:tr>
      <w:tr w:rsidR="00192DB6" w:rsidRPr="007E6423" w:rsidTr="00E40FED">
        <w:trPr>
          <w:trHeight w:val="510"/>
        </w:trPr>
        <w:tc>
          <w:tcPr>
            <w:tcW w:w="3119" w:type="dxa"/>
            <w:tcBorders>
              <w:top w:val="single" w:sz="12"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
              </w:numPr>
              <w:spacing w:before="80" w:after="80" w:line="240" w:lineRule="auto"/>
              <w:ind w:left="459" w:hanging="141"/>
              <w:rPr>
                <w:rFonts w:cs="Times New Roman"/>
                <w:b/>
                <w:sz w:val="20"/>
                <w:szCs w:val="20"/>
                <w:u w:val="single"/>
              </w:rPr>
            </w:pPr>
            <w:r w:rsidRPr="007E6423">
              <w:rPr>
                <w:rFonts w:cs="Times New Roman"/>
                <w:b/>
                <w:sz w:val="20"/>
                <w:szCs w:val="20"/>
                <w:u w:val="single"/>
              </w:rPr>
              <w:t>Pessoas Analfabetas</w:t>
            </w:r>
          </w:p>
        </w:tc>
        <w:tc>
          <w:tcPr>
            <w:tcW w:w="1559" w:type="dxa"/>
            <w:tcBorders>
              <w:top w:val="single" w:sz="12"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p>
        </w:tc>
        <w:tc>
          <w:tcPr>
            <w:tcW w:w="1418" w:type="dxa"/>
            <w:tcBorders>
              <w:top w:val="single" w:sz="12"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p>
        </w:tc>
        <w:tc>
          <w:tcPr>
            <w:tcW w:w="850" w:type="dxa"/>
            <w:tcBorders>
              <w:top w:val="single" w:sz="12"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p>
        </w:tc>
        <w:tc>
          <w:tcPr>
            <w:tcW w:w="1701" w:type="dxa"/>
            <w:tcBorders>
              <w:top w:val="single" w:sz="12"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609"/>
              <w:jc w:val="right"/>
              <w:rPr>
                <w:rFonts w:cs="Times New Roman"/>
                <w:sz w:val="20"/>
                <w:szCs w:val="20"/>
              </w:rPr>
            </w:pPr>
          </w:p>
        </w:tc>
        <w:tc>
          <w:tcPr>
            <w:tcW w:w="851" w:type="dxa"/>
            <w:tcBorders>
              <w:top w:val="single" w:sz="12"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609"/>
              <w:jc w:val="center"/>
              <w:rPr>
                <w:rFonts w:cs="Times New Roman"/>
                <w:sz w:val="20"/>
                <w:szCs w:val="20"/>
              </w:rPr>
            </w:pP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5"/>
              </w:numPr>
              <w:spacing w:before="80" w:after="80" w:line="240" w:lineRule="auto"/>
              <w:ind w:left="336"/>
              <w:rPr>
                <w:rFonts w:cs="Times New Roman"/>
                <w:sz w:val="20"/>
                <w:szCs w:val="20"/>
              </w:rPr>
            </w:pPr>
            <w:r w:rsidRPr="007E6423">
              <w:rPr>
                <w:rFonts w:cs="Times New Roman"/>
                <w:sz w:val="20"/>
                <w:szCs w:val="20"/>
              </w:rPr>
              <w:t>Pessoas de 15 anos ou mais</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tabs>
                <w:tab w:val="left" w:pos="1045"/>
              </w:tabs>
              <w:spacing w:before="80" w:after="80" w:line="240" w:lineRule="auto"/>
              <w:jc w:val="center"/>
              <w:rPr>
                <w:rFonts w:cs="Times New Roman"/>
                <w:sz w:val="20"/>
                <w:szCs w:val="20"/>
              </w:rPr>
            </w:pPr>
            <w:r w:rsidRPr="007E6423">
              <w:rPr>
                <w:rFonts w:cs="Times New Roman"/>
                <w:sz w:val="20"/>
                <w:szCs w:val="20"/>
              </w:rPr>
              <w:t>12,94</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Ipanema</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19,06</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Goiabeira</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27,60</w:t>
            </w: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5"/>
              </w:numPr>
              <w:spacing w:before="80" w:after="80" w:line="240" w:lineRule="auto"/>
              <w:ind w:left="336"/>
              <w:rPr>
                <w:rFonts w:cs="Times New Roman"/>
                <w:sz w:val="20"/>
                <w:szCs w:val="20"/>
              </w:rPr>
            </w:pPr>
            <w:r w:rsidRPr="007E6423">
              <w:rPr>
                <w:rFonts w:cs="Times New Roman"/>
                <w:sz w:val="20"/>
                <w:szCs w:val="20"/>
              </w:rPr>
              <w:t>Adolescentes de 15 a 17 anos</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tabs>
                <w:tab w:val="left" w:pos="1045"/>
              </w:tabs>
              <w:spacing w:before="80" w:after="80" w:line="240" w:lineRule="auto"/>
              <w:jc w:val="center"/>
              <w:rPr>
                <w:rFonts w:cs="Times New Roman"/>
                <w:sz w:val="20"/>
                <w:szCs w:val="20"/>
              </w:rPr>
            </w:pPr>
            <w:r w:rsidRPr="007E6423">
              <w:rPr>
                <w:rFonts w:cs="Times New Roman"/>
                <w:sz w:val="20"/>
                <w:szCs w:val="20"/>
              </w:rPr>
              <w:t>4,0</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Pocrane</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0,40</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Conselheiro Pena</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3,79</w:t>
            </w: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5"/>
              </w:numPr>
              <w:spacing w:before="80" w:after="80" w:line="240" w:lineRule="auto"/>
              <w:ind w:left="336"/>
              <w:rPr>
                <w:rFonts w:cs="Times New Roman"/>
                <w:sz w:val="20"/>
                <w:szCs w:val="20"/>
              </w:rPr>
            </w:pPr>
            <w:r w:rsidRPr="007E6423">
              <w:rPr>
                <w:rFonts w:cs="Times New Roman"/>
                <w:sz w:val="20"/>
                <w:szCs w:val="20"/>
              </w:rPr>
              <w:t>Pessoas de 18 a 24 anos</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tabs>
                <w:tab w:val="left" w:pos="1045"/>
              </w:tabs>
              <w:spacing w:before="80" w:after="80" w:line="240" w:lineRule="auto"/>
              <w:jc w:val="center"/>
              <w:rPr>
                <w:rFonts w:cs="Times New Roman"/>
                <w:sz w:val="20"/>
                <w:szCs w:val="20"/>
              </w:rPr>
            </w:pPr>
            <w:r w:rsidRPr="007E6423">
              <w:rPr>
                <w:rFonts w:cs="Times New Roman"/>
                <w:sz w:val="20"/>
                <w:szCs w:val="20"/>
              </w:rPr>
              <w:t>5,68</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Resplendor</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2,71</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Alvarenga</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10,05</w:t>
            </w: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5"/>
              </w:numPr>
              <w:spacing w:before="80" w:after="80" w:line="240" w:lineRule="auto"/>
              <w:ind w:left="336"/>
              <w:rPr>
                <w:rFonts w:cs="Times New Roman"/>
                <w:sz w:val="20"/>
                <w:szCs w:val="20"/>
              </w:rPr>
            </w:pPr>
            <w:r w:rsidRPr="007E6423">
              <w:rPr>
                <w:rFonts w:cs="Times New Roman"/>
                <w:sz w:val="20"/>
                <w:szCs w:val="20"/>
              </w:rPr>
              <w:t>Pessoas de 25 anos ou mais</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tabs>
                <w:tab w:val="left" w:pos="1045"/>
              </w:tabs>
              <w:spacing w:before="80" w:after="80" w:line="240" w:lineRule="auto"/>
              <w:jc w:val="center"/>
              <w:rPr>
                <w:rFonts w:cs="Times New Roman"/>
                <w:sz w:val="20"/>
                <w:szCs w:val="20"/>
              </w:rPr>
            </w:pPr>
            <w:r w:rsidRPr="007E6423">
              <w:rPr>
                <w:rFonts w:cs="Times New Roman"/>
                <w:sz w:val="20"/>
                <w:szCs w:val="20"/>
              </w:rPr>
              <w:t>16,04</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Aimorés</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22,54</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Goiabeira</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36,96</w:t>
            </w: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
              </w:numPr>
              <w:spacing w:before="80" w:after="80" w:line="240" w:lineRule="auto"/>
              <w:ind w:left="601" w:hanging="567"/>
              <w:rPr>
                <w:rFonts w:cs="Times New Roman"/>
                <w:b/>
                <w:sz w:val="20"/>
                <w:szCs w:val="20"/>
                <w:u w:val="single"/>
              </w:rPr>
            </w:pPr>
            <w:r w:rsidRPr="007E6423">
              <w:rPr>
                <w:rFonts w:cs="Times New Roman"/>
                <w:b/>
                <w:sz w:val="20"/>
                <w:szCs w:val="20"/>
                <w:u w:val="single"/>
              </w:rPr>
              <w:t>Pessoas com Menos de 4 anos de estudo</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609"/>
              <w:jc w:val="right"/>
              <w:rPr>
                <w:rFonts w:cs="Times New Roman"/>
                <w:sz w:val="20"/>
                <w:szCs w:val="20"/>
              </w:rPr>
            </w:pP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6"/>
              </w:numPr>
              <w:spacing w:before="80" w:after="80" w:line="240" w:lineRule="auto"/>
              <w:ind w:left="336"/>
              <w:rPr>
                <w:rFonts w:cs="Times New Roman"/>
                <w:sz w:val="20"/>
                <w:szCs w:val="20"/>
              </w:rPr>
            </w:pPr>
            <w:r w:rsidRPr="007E6423">
              <w:rPr>
                <w:rFonts w:cs="Times New Roman"/>
                <w:sz w:val="20"/>
                <w:szCs w:val="20"/>
              </w:rPr>
              <w:t>Pessoas de 15 anos ou mais</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28,30</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Aimorés</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35,54</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Santa Rita do Itueto</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48,63</w:t>
            </w: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6"/>
              </w:numPr>
              <w:spacing w:before="80" w:after="80" w:line="240" w:lineRule="auto"/>
              <w:ind w:left="336"/>
              <w:rPr>
                <w:rFonts w:cs="Times New Roman"/>
                <w:sz w:val="20"/>
                <w:szCs w:val="20"/>
              </w:rPr>
            </w:pPr>
            <w:r w:rsidRPr="007E6423">
              <w:rPr>
                <w:rFonts w:cs="Times New Roman"/>
                <w:sz w:val="20"/>
                <w:szCs w:val="20"/>
              </w:rPr>
              <w:t>Adolescentes de 15 a 17 anos</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16,38</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Pocrane</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7,10</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Cuparaque</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15,70</w:t>
            </w: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6"/>
              </w:numPr>
              <w:spacing w:before="80" w:after="80" w:line="240" w:lineRule="auto"/>
              <w:ind w:left="336"/>
              <w:rPr>
                <w:rFonts w:cs="Times New Roman"/>
                <w:sz w:val="20"/>
                <w:szCs w:val="20"/>
              </w:rPr>
            </w:pPr>
            <w:r w:rsidRPr="007E6423">
              <w:rPr>
                <w:rFonts w:cs="Times New Roman"/>
                <w:sz w:val="20"/>
                <w:szCs w:val="20"/>
              </w:rPr>
              <w:t>Pessoas de 18 a 24 anos</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16,03</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Aimorés</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12,22</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Alvarenga</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26,91</w:t>
            </w: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6"/>
              </w:numPr>
              <w:spacing w:before="80" w:after="80" w:line="240" w:lineRule="auto"/>
              <w:ind w:left="336"/>
              <w:rPr>
                <w:rFonts w:cs="Times New Roman"/>
                <w:sz w:val="20"/>
                <w:szCs w:val="20"/>
              </w:rPr>
            </w:pPr>
            <w:r w:rsidRPr="007E6423">
              <w:rPr>
                <w:rFonts w:cs="Times New Roman"/>
                <w:sz w:val="20"/>
                <w:szCs w:val="20"/>
              </w:rPr>
              <w:t>Pessoas de 25 anos ou mais</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33,02</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Aimorés</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44,11</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Santa Rita do Itueto</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60,47</w:t>
            </w: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
              </w:numPr>
              <w:spacing w:before="80" w:after="80" w:line="240" w:lineRule="auto"/>
              <w:ind w:left="601" w:hanging="567"/>
              <w:rPr>
                <w:rFonts w:cs="Times New Roman"/>
                <w:b/>
                <w:sz w:val="20"/>
                <w:szCs w:val="20"/>
                <w:u w:val="single"/>
              </w:rPr>
            </w:pPr>
            <w:r w:rsidRPr="007E6423">
              <w:rPr>
                <w:rFonts w:cs="Times New Roman"/>
                <w:b/>
                <w:sz w:val="20"/>
                <w:szCs w:val="20"/>
                <w:u w:val="single"/>
              </w:rPr>
              <w:t>Frequência Escolar</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609"/>
              <w:jc w:val="right"/>
              <w:rPr>
                <w:rFonts w:cs="Times New Roman"/>
                <w:sz w:val="20"/>
                <w:szCs w:val="20"/>
              </w:rPr>
            </w:pP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1"/>
              </w:numPr>
              <w:spacing w:before="80" w:after="80" w:line="240" w:lineRule="auto"/>
              <w:ind w:left="318" w:hanging="284"/>
              <w:rPr>
                <w:rFonts w:cs="Times New Roman"/>
                <w:sz w:val="20"/>
                <w:szCs w:val="20"/>
              </w:rPr>
            </w:pPr>
            <w:r w:rsidRPr="007E6423">
              <w:rPr>
                <w:rFonts w:cs="Times New Roman"/>
                <w:sz w:val="20"/>
                <w:szCs w:val="20"/>
              </w:rPr>
              <w:t>Crianças de 7 a 14 anos frequentando Ensino Fundamental</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89,81</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Ipanema</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92,68</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Resplendor</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80,96</w:t>
            </w: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7"/>
              </w:numPr>
              <w:spacing w:before="80" w:after="80" w:line="240" w:lineRule="auto"/>
              <w:ind w:left="336"/>
              <w:rPr>
                <w:rFonts w:cs="Times New Roman"/>
                <w:sz w:val="20"/>
                <w:szCs w:val="20"/>
              </w:rPr>
            </w:pPr>
            <w:r w:rsidRPr="007E6423">
              <w:rPr>
                <w:rFonts w:cs="Times New Roman"/>
                <w:sz w:val="20"/>
                <w:szCs w:val="20"/>
              </w:rPr>
              <w:t>Adolescentes de 15 a 17 anos frequentando Ensino Médio</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34,53</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Resplendor</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44,35</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Alvarenga</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17,58</w:t>
            </w: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7"/>
              </w:numPr>
              <w:spacing w:before="80" w:after="80" w:line="240" w:lineRule="auto"/>
              <w:ind w:left="336"/>
              <w:rPr>
                <w:rFonts w:cs="Times New Roman"/>
                <w:sz w:val="20"/>
                <w:szCs w:val="20"/>
              </w:rPr>
            </w:pPr>
            <w:r w:rsidRPr="007E6423">
              <w:rPr>
                <w:rFonts w:cs="Times New Roman"/>
                <w:sz w:val="20"/>
                <w:szCs w:val="20"/>
              </w:rPr>
              <w:t>Pessoas de 25 anos ou mais frequentando o Curso Superior</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1,45</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Goiabeira</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0,79</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Alvarenga</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0,03</w:t>
            </w: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
              </w:numPr>
              <w:spacing w:before="80" w:after="80" w:line="240" w:lineRule="auto"/>
              <w:ind w:left="601" w:hanging="601"/>
              <w:rPr>
                <w:rFonts w:cs="Times New Roman"/>
                <w:b/>
                <w:sz w:val="20"/>
                <w:szCs w:val="20"/>
                <w:u w:val="single"/>
              </w:rPr>
            </w:pPr>
            <w:r w:rsidRPr="007E6423">
              <w:rPr>
                <w:rFonts w:cs="Times New Roman"/>
                <w:b/>
                <w:sz w:val="20"/>
                <w:szCs w:val="20"/>
                <w:u w:val="single"/>
              </w:rPr>
              <w:t>Taxa Bruta de Frequência Escolar</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81,89</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Ipanema</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75,21</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Mutum</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61,55</w:t>
            </w: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
              </w:numPr>
              <w:spacing w:before="80" w:after="80" w:line="240" w:lineRule="auto"/>
              <w:ind w:left="601" w:hanging="601"/>
              <w:rPr>
                <w:rFonts w:cs="Times New Roman"/>
                <w:b/>
                <w:sz w:val="20"/>
                <w:szCs w:val="20"/>
                <w:u w:val="single"/>
              </w:rPr>
            </w:pPr>
            <w:r w:rsidRPr="007E6423">
              <w:rPr>
                <w:rFonts w:cs="Times New Roman"/>
                <w:b/>
                <w:sz w:val="20"/>
                <w:szCs w:val="20"/>
                <w:u w:val="single"/>
              </w:rPr>
              <w:t>Taxa de Alfabetização</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86,37</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Ipanema</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80,94</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Goiabeira</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72,40</w:t>
            </w:r>
          </w:p>
        </w:tc>
      </w:tr>
      <w:tr w:rsidR="00192DB6" w:rsidRPr="007E6423" w:rsidTr="00E40FED">
        <w:trPr>
          <w:trHeight w:val="510"/>
        </w:trPr>
        <w:tc>
          <w:tcPr>
            <w:tcW w:w="311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53477A">
            <w:pPr>
              <w:pStyle w:val="PargrafodaLista"/>
              <w:numPr>
                <w:ilvl w:val="0"/>
                <w:numId w:val="2"/>
              </w:numPr>
              <w:spacing w:before="80" w:after="80" w:line="240" w:lineRule="auto"/>
              <w:ind w:left="601" w:hanging="601"/>
              <w:rPr>
                <w:rFonts w:cs="Times New Roman"/>
                <w:b/>
                <w:sz w:val="20"/>
                <w:szCs w:val="20"/>
                <w:u w:val="single"/>
              </w:rPr>
            </w:pPr>
            <w:r w:rsidRPr="007E6423">
              <w:rPr>
                <w:rFonts w:cs="Times New Roman"/>
                <w:b/>
                <w:sz w:val="20"/>
                <w:szCs w:val="20"/>
                <w:u w:val="single"/>
              </w:rPr>
              <w:t>Média de Anos de Estudo</w:t>
            </w:r>
          </w:p>
        </w:tc>
        <w:tc>
          <w:tcPr>
            <w:tcW w:w="1559"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5,87</w:t>
            </w:r>
          </w:p>
        </w:tc>
        <w:tc>
          <w:tcPr>
            <w:tcW w:w="1418"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jc w:val="center"/>
              <w:rPr>
                <w:rFonts w:cs="Times New Roman"/>
                <w:sz w:val="20"/>
                <w:szCs w:val="20"/>
              </w:rPr>
            </w:pPr>
            <w:r w:rsidRPr="007E6423">
              <w:rPr>
                <w:rFonts w:cs="Times New Roman"/>
                <w:sz w:val="20"/>
                <w:szCs w:val="20"/>
              </w:rPr>
              <w:t>Aimorés</w:t>
            </w:r>
          </w:p>
        </w:tc>
        <w:tc>
          <w:tcPr>
            <w:tcW w:w="850"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left="-3"/>
              <w:jc w:val="center"/>
              <w:rPr>
                <w:rFonts w:cs="Times New Roman"/>
                <w:sz w:val="20"/>
                <w:szCs w:val="20"/>
              </w:rPr>
            </w:pPr>
            <w:r w:rsidRPr="007E6423">
              <w:rPr>
                <w:rFonts w:cs="Times New Roman"/>
                <w:sz w:val="20"/>
                <w:szCs w:val="20"/>
              </w:rPr>
              <w:t>4,59</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3"/>
              <w:jc w:val="center"/>
              <w:rPr>
                <w:rFonts w:cs="Times New Roman"/>
                <w:sz w:val="20"/>
                <w:szCs w:val="20"/>
              </w:rPr>
            </w:pPr>
            <w:r w:rsidRPr="007E6423">
              <w:rPr>
                <w:rFonts w:cs="Times New Roman"/>
                <w:sz w:val="20"/>
                <w:szCs w:val="20"/>
              </w:rPr>
              <w:t>Santa Rita do Itueto</w:t>
            </w:r>
          </w:p>
        </w:tc>
        <w:tc>
          <w:tcPr>
            <w:tcW w:w="851" w:type="dxa"/>
            <w:tcBorders>
              <w:top w:val="single" w:sz="6" w:space="0" w:color="auto"/>
              <w:left w:val="single" w:sz="12" w:space="0" w:color="auto"/>
              <w:bottom w:val="single" w:sz="6" w:space="0" w:color="auto"/>
              <w:right w:val="single" w:sz="12" w:space="0" w:color="auto"/>
            </w:tcBorders>
            <w:vAlign w:val="center"/>
          </w:tcPr>
          <w:p w:rsidR="00192DB6" w:rsidRPr="007E6423" w:rsidRDefault="00192DB6" w:rsidP="007E6423">
            <w:pPr>
              <w:spacing w:before="80" w:after="80" w:line="240" w:lineRule="auto"/>
              <w:ind w:right="34"/>
              <w:jc w:val="center"/>
              <w:rPr>
                <w:rFonts w:cs="Times New Roman"/>
                <w:sz w:val="20"/>
                <w:szCs w:val="20"/>
              </w:rPr>
            </w:pPr>
            <w:r w:rsidRPr="007E6423">
              <w:rPr>
                <w:rFonts w:cs="Times New Roman"/>
                <w:sz w:val="20"/>
                <w:szCs w:val="20"/>
              </w:rPr>
              <w:t>2,95</w:t>
            </w:r>
          </w:p>
        </w:tc>
      </w:tr>
    </w:tbl>
    <w:p w:rsidR="00192DB6" w:rsidRPr="006B4F16" w:rsidRDefault="00192DB6" w:rsidP="007E6423">
      <w:pPr>
        <w:pStyle w:val="Fonte"/>
        <w:ind w:left="142"/>
      </w:pPr>
      <w:r w:rsidRPr="006B4F16">
        <w:t>FONTE: PNUD (2000)</w:t>
      </w:r>
    </w:p>
    <w:p w:rsidR="00192DB6" w:rsidRPr="007A0B11" w:rsidRDefault="00192DB6" w:rsidP="003F5401">
      <w:pPr>
        <w:pStyle w:val="CM72"/>
        <w:spacing w:line="360" w:lineRule="auto"/>
        <w:ind w:firstLine="709"/>
        <w:jc w:val="both"/>
        <w:rPr>
          <w:rFonts w:ascii="Times New Roman" w:hAnsi="Times New Roman" w:cs="Times New Roman"/>
        </w:rPr>
      </w:pPr>
      <w:r w:rsidRPr="0015306A">
        <w:rPr>
          <w:rFonts w:ascii="Times New Roman" w:hAnsi="Times New Roman" w:cs="Times New Roman"/>
        </w:rPr>
        <w:lastRenderedPageBreak/>
        <w:t>Nos últimos anos, têm ocorrido avanços significativos em termos de acesso e</w:t>
      </w:r>
      <w:r w:rsidRPr="007A0B11">
        <w:rPr>
          <w:rFonts w:ascii="Times New Roman" w:hAnsi="Times New Roman" w:cs="Times New Roman"/>
        </w:rPr>
        <w:t xml:space="preserve"> rendimento escolar de crianças e jovens no Brasil, principalmente </w:t>
      </w:r>
      <w:r w:rsidR="00EB041C">
        <w:rPr>
          <w:rFonts w:ascii="Times New Roman" w:hAnsi="Times New Roman" w:cs="Times New Roman"/>
        </w:rPr>
        <w:t>na</w:t>
      </w:r>
      <w:r w:rsidRPr="007A0B11">
        <w:rPr>
          <w:rFonts w:ascii="Times New Roman" w:hAnsi="Times New Roman" w:cs="Times New Roman"/>
        </w:rPr>
        <w:t xml:space="preserve"> educação básica, </w:t>
      </w:r>
      <w:r w:rsidR="00EB041C">
        <w:rPr>
          <w:rFonts w:ascii="Times New Roman" w:hAnsi="Times New Roman" w:cs="Times New Roman"/>
        </w:rPr>
        <w:t xml:space="preserve">em função do </w:t>
      </w:r>
      <w:r w:rsidRPr="007A0B11">
        <w:rPr>
          <w:rFonts w:ascii="Times New Roman" w:hAnsi="Times New Roman" w:cs="Times New Roman"/>
        </w:rPr>
        <w:t xml:space="preserve">aumentando </w:t>
      </w:r>
      <w:r w:rsidR="00EB041C">
        <w:rPr>
          <w:rFonts w:ascii="Times New Roman" w:hAnsi="Times New Roman" w:cs="Times New Roman"/>
        </w:rPr>
        <w:t>d</w:t>
      </w:r>
      <w:r w:rsidRPr="007A0B11">
        <w:rPr>
          <w:rFonts w:ascii="Times New Roman" w:hAnsi="Times New Roman" w:cs="Times New Roman"/>
        </w:rPr>
        <w:t>os investimentos. O reajuste foi de 19,12% em relação a 2011 (R$ 114,3 bilhões em 2012), com incremento de 21,2% no valor mínimo investido por aluno (ODM, 2013). No caso específico do município de Aimorés, o gasto per capita em educação foi um dos mais elevados (R$</w:t>
      </w:r>
      <w:r w:rsidR="00EB041C">
        <w:rPr>
          <w:rFonts w:ascii="Times New Roman" w:hAnsi="Times New Roman" w:cs="Times New Roman"/>
        </w:rPr>
        <w:t xml:space="preserve"> </w:t>
      </w:r>
      <w:r w:rsidRPr="007A0B11">
        <w:rPr>
          <w:rFonts w:ascii="Times New Roman" w:hAnsi="Times New Roman" w:cs="Times New Roman"/>
        </w:rPr>
        <w:t>247,13), representando 16,0% do orçamento público.</w:t>
      </w:r>
    </w:p>
    <w:p w:rsidR="00192DB6" w:rsidRPr="007A0B11" w:rsidRDefault="00192DB6" w:rsidP="00EB041C">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Esses investimentos têm melhorado o desempenho dos alunos, dimensionado pelo Índice de Desenvolvimento da Educação Básica (IDEB), criado em 2007 pelo governo federal, para medir a cada dois anos a qualidade das escolas, O objetivo é que o país, a partir do alcance das metas municipais e estaduais, tenha nota 6,0, em 2022 (ODM, 2013). </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O IDEB é um indicador de qualidade educacional, uma vez que combina informações de desempenho em exames padronizados (Prova Brasil) – obtido pelos estudantes ao final das etapas de ensino (4ª e 8ª séries do ensino fundamental e 3ª série do ensino médio) – com informações sobre rendimento escolar (taxa média de aprovação dos estudantes na etapa de ensino). </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O Quadro </w:t>
      </w:r>
      <w:r w:rsidR="00EB041C">
        <w:rPr>
          <w:rFonts w:ascii="Times New Roman" w:hAnsi="Times New Roman" w:cs="Times New Roman"/>
        </w:rPr>
        <w:t>10</w:t>
      </w:r>
      <w:r w:rsidRPr="007A0B11">
        <w:rPr>
          <w:rFonts w:ascii="Times New Roman" w:hAnsi="Times New Roman" w:cs="Times New Roman"/>
        </w:rPr>
        <w:t xml:space="preserve"> apresenta os resultados do IDEB de Aimorés, no período de 2005 a 2011, onde se constata que o índice médio, no ano de 2011, foi mais elevado entre as escolas da rede estadual, principalmente no 5º ano (antiga 4ª série), cuja nota foi 5,7 (numa escala de avaliação que vai de nota 1 a 10), Por outro lado, a nota obtida por alunos do 9º ano (antiga 8ª série), equivalente a 4,0, foi mais elevado nas escolas da rede municipal (IDEB, 2013). </w:t>
      </w:r>
    </w:p>
    <w:p w:rsidR="00192DB6" w:rsidRPr="002558A4" w:rsidRDefault="00192DB6" w:rsidP="003F5401">
      <w:pPr>
        <w:pStyle w:val="CM72"/>
        <w:spacing w:line="360" w:lineRule="auto"/>
        <w:ind w:firstLine="709"/>
        <w:jc w:val="both"/>
        <w:rPr>
          <w:rFonts w:ascii="Times New Roman" w:hAnsi="Times New Roman" w:cs="Times New Roman"/>
          <w:spacing w:val="2"/>
        </w:rPr>
      </w:pPr>
      <w:r w:rsidRPr="002558A4">
        <w:rPr>
          <w:rFonts w:ascii="Times New Roman" w:hAnsi="Times New Roman" w:cs="Times New Roman"/>
          <w:spacing w:val="2"/>
        </w:rPr>
        <w:t>Assim, é possível observar um importante crescimento na qualidade do ensino nas séries iniciais do ensino fundamental, um incremento médio de 36,15%, no período de 2005 a 2011. A nota de 5,7 dos alunos da 4° série/ 5° ano da rede estadual ultrapassou a meta estabelecida pelo governo para 2011 (5,2) e já alcançou a meta para 2015.</w:t>
      </w:r>
    </w:p>
    <w:p w:rsidR="00EB041C" w:rsidRDefault="00EB041C">
      <w:pPr>
        <w:spacing w:after="200" w:line="276" w:lineRule="auto"/>
        <w:rPr>
          <w:rFonts w:eastAsiaTheme="minorEastAsia" w:cs="Times New Roman"/>
          <w:bCs/>
          <w:szCs w:val="24"/>
          <w:lang w:eastAsia="pt-BR"/>
        </w:rPr>
      </w:pPr>
      <w:bookmarkStart w:id="126" w:name="_Toc372117252"/>
      <w:r>
        <w:br w:type="page"/>
      </w:r>
    </w:p>
    <w:p w:rsidR="002558A4" w:rsidRPr="00C66007" w:rsidRDefault="00B02273" w:rsidP="00B02273">
      <w:pPr>
        <w:pStyle w:val="Legenda"/>
      </w:pPr>
      <w:bookmarkStart w:id="127" w:name="_Toc372740516"/>
      <w:bookmarkEnd w:id="126"/>
      <w:r>
        <w:lastRenderedPageBreak/>
        <w:t xml:space="preserve">Quadro </w:t>
      </w:r>
      <w:fldSimple w:instr=" SEQ Quadro \* ARABIC ">
        <w:r w:rsidR="004F77E2">
          <w:rPr>
            <w:noProof/>
          </w:rPr>
          <w:t>10</w:t>
        </w:r>
      </w:fldSimple>
      <w:r>
        <w:t xml:space="preserve"> - </w:t>
      </w:r>
      <w:r w:rsidRPr="00A2049F">
        <w:rPr>
          <w:noProof/>
        </w:rPr>
        <w:t>Índice de Desenvolvimento de Educação Básica de Aimorés/MG, 2005 A 2011.</w:t>
      </w:r>
      <w:bookmarkEnd w:id="127"/>
    </w:p>
    <w:tbl>
      <w:tblPr>
        <w:tblStyle w:val="Tabelacomgrade2"/>
        <w:tblW w:w="8613" w:type="dxa"/>
        <w:tblLook w:val="04A0" w:firstRow="1" w:lastRow="0" w:firstColumn="1" w:lastColumn="0" w:noHBand="0" w:noVBand="1"/>
      </w:tblPr>
      <w:tblGrid>
        <w:gridCol w:w="2802"/>
        <w:gridCol w:w="1559"/>
        <w:gridCol w:w="1417"/>
        <w:gridCol w:w="1418"/>
        <w:gridCol w:w="1417"/>
      </w:tblGrid>
      <w:tr w:rsidR="00192DB6" w:rsidRPr="002558A4" w:rsidTr="002558A4">
        <w:tc>
          <w:tcPr>
            <w:tcW w:w="2802" w:type="dxa"/>
            <w:vMerge w:val="restart"/>
            <w:tcBorders>
              <w:top w:val="single" w:sz="12" w:space="0" w:color="auto"/>
              <w:left w:val="single" w:sz="12" w:space="0" w:color="auto"/>
              <w:bottom w:val="single" w:sz="6" w:space="0" w:color="auto"/>
              <w:right w:val="single" w:sz="6" w:space="0" w:color="auto"/>
            </w:tcBorders>
            <w:shd w:val="clear" w:color="auto" w:fill="D9D9D9" w:themeFill="background1" w:themeFillShade="D9"/>
            <w:vAlign w:val="center"/>
          </w:tcPr>
          <w:p w:rsidR="00192DB6" w:rsidRPr="002558A4" w:rsidRDefault="00192DB6" w:rsidP="00EB041C">
            <w:pPr>
              <w:spacing w:before="120" w:after="120" w:line="240" w:lineRule="auto"/>
              <w:jc w:val="center"/>
              <w:rPr>
                <w:rFonts w:cs="Times New Roman"/>
                <w:b/>
                <w:szCs w:val="24"/>
                <w:lang w:val="en-US"/>
              </w:rPr>
            </w:pPr>
            <w:r w:rsidRPr="002558A4">
              <w:rPr>
                <w:rFonts w:cs="Times New Roman"/>
                <w:b/>
                <w:szCs w:val="24"/>
                <w:lang w:val="en-US"/>
              </w:rPr>
              <w:t>IDEB</w:t>
            </w:r>
          </w:p>
        </w:tc>
        <w:tc>
          <w:tcPr>
            <w:tcW w:w="5811" w:type="dxa"/>
            <w:gridSpan w:val="4"/>
            <w:tcBorders>
              <w:top w:val="single" w:sz="12" w:space="0" w:color="auto"/>
              <w:left w:val="single" w:sz="6" w:space="0" w:color="auto"/>
              <w:bottom w:val="single" w:sz="6" w:space="0" w:color="auto"/>
              <w:right w:val="single" w:sz="12" w:space="0" w:color="auto"/>
            </w:tcBorders>
            <w:shd w:val="clear" w:color="auto" w:fill="D9D9D9" w:themeFill="background1" w:themeFillShade="D9"/>
            <w:vAlign w:val="bottom"/>
          </w:tcPr>
          <w:p w:rsidR="00192DB6" w:rsidRPr="002558A4" w:rsidRDefault="00192DB6" w:rsidP="00EB041C">
            <w:pPr>
              <w:spacing w:before="120" w:after="120" w:line="240" w:lineRule="auto"/>
              <w:jc w:val="center"/>
              <w:rPr>
                <w:rFonts w:cs="Times New Roman"/>
                <w:b/>
                <w:szCs w:val="24"/>
                <w:lang w:val="en-US"/>
              </w:rPr>
            </w:pPr>
            <w:r w:rsidRPr="002558A4">
              <w:rPr>
                <w:rFonts w:cs="Times New Roman"/>
                <w:b/>
                <w:szCs w:val="24"/>
                <w:lang w:val="en-US"/>
              </w:rPr>
              <w:t>ANOS</w:t>
            </w:r>
          </w:p>
        </w:tc>
      </w:tr>
      <w:tr w:rsidR="00192DB6" w:rsidRPr="002558A4" w:rsidTr="002558A4">
        <w:tc>
          <w:tcPr>
            <w:tcW w:w="2802" w:type="dxa"/>
            <w:vMerge/>
            <w:tcBorders>
              <w:top w:val="single" w:sz="6" w:space="0" w:color="auto"/>
              <w:left w:val="single" w:sz="12" w:space="0" w:color="auto"/>
              <w:bottom w:val="single" w:sz="12" w:space="0" w:color="auto"/>
              <w:right w:val="single" w:sz="6" w:space="0" w:color="auto"/>
            </w:tcBorders>
            <w:shd w:val="clear" w:color="auto" w:fill="D9D9D9" w:themeFill="background1" w:themeFillShade="D9"/>
            <w:vAlign w:val="center"/>
          </w:tcPr>
          <w:p w:rsidR="00192DB6" w:rsidRPr="002558A4" w:rsidRDefault="00192DB6" w:rsidP="00EB041C">
            <w:pPr>
              <w:spacing w:before="120" w:after="120" w:line="240" w:lineRule="auto"/>
              <w:jc w:val="center"/>
              <w:rPr>
                <w:rFonts w:cs="Times New Roman"/>
                <w:b/>
                <w:szCs w:val="24"/>
                <w:lang w:val="en-US"/>
              </w:rPr>
            </w:pPr>
          </w:p>
        </w:tc>
        <w:tc>
          <w:tcPr>
            <w:tcW w:w="1559"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bottom"/>
          </w:tcPr>
          <w:p w:rsidR="00192DB6" w:rsidRPr="002558A4" w:rsidRDefault="00192DB6" w:rsidP="00EB041C">
            <w:pPr>
              <w:spacing w:before="120" w:after="120" w:line="240" w:lineRule="auto"/>
              <w:jc w:val="center"/>
              <w:rPr>
                <w:rFonts w:cs="Times New Roman"/>
                <w:b/>
                <w:szCs w:val="24"/>
                <w:lang w:val="en-US"/>
              </w:rPr>
            </w:pPr>
            <w:r w:rsidRPr="002558A4">
              <w:rPr>
                <w:rFonts w:cs="Times New Roman"/>
                <w:b/>
                <w:szCs w:val="24"/>
                <w:lang w:val="en-US"/>
              </w:rPr>
              <w:t>2005</w:t>
            </w:r>
          </w:p>
        </w:tc>
        <w:tc>
          <w:tcPr>
            <w:tcW w:w="1417"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bottom"/>
          </w:tcPr>
          <w:p w:rsidR="00192DB6" w:rsidRPr="002558A4" w:rsidRDefault="00192DB6" w:rsidP="00EB041C">
            <w:pPr>
              <w:spacing w:before="120" w:after="120" w:line="240" w:lineRule="auto"/>
              <w:jc w:val="center"/>
              <w:rPr>
                <w:rFonts w:cs="Times New Roman"/>
                <w:b/>
                <w:szCs w:val="24"/>
                <w:lang w:val="en-US"/>
              </w:rPr>
            </w:pPr>
            <w:r w:rsidRPr="002558A4">
              <w:rPr>
                <w:rFonts w:cs="Times New Roman"/>
                <w:b/>
                <w:szCs w:val="24"/>
                <w:lang w:val="en-US"/>
              </w:rPr>
              <w:t>2007</w:t>
            </w:r>
          </w:p>
        </w:tc>
        <w:tc>
          <w:tcPr>
            <w:tcW w:w="1418" w:type="dxa"/>
            <w:tcBorders>
              <w:top w:val="single" w:sz="6" w:space="0" w:color="auto"/>
              <w:left w:val="single" w:sz="6" w:space="0" w:color="auto"/>
              <w:bottom w:val="single" w:sz="12" w:space="0" w:color="auto"/>
              <w:right w:val="single" w:sz="6" w:space="0" w:color="auto"/>
            </w:tcBorders>
            <w:shd w:val="clear" w:color="auto" w:fill="D9D9D9" w:themeFill="background1" w:themeFillShade="D9"/>
            <w:vAlign w:val="bottom"/>
          </w:tcPr>
          <w:p w:rsidR="00192DB6" w:rsidRPr="002558A4" w:rsidRDefault="00192DB6" w:rsidP="00EB041C">
            <w:pPr>
              <w:spacing w:before="120" w:after="120" w:line="240" w:lineRule="auto"/>
              <w:jc w:val="center"/>
              <w:rPr>
                <w:rFonts w:cs="Times New Roman"/>
                <w:b/>
                <w:szCs w:val="24"/>
                <w:lang w:val="en-US"/>
              </w:rPr>
            </w:pPr>
            <w:r w:rsidRPr="002558A4">
              <w:rPr>
                <w:rFonts w:cs="Times New Roman"/>
                <w:b/>
                <w:szCs w:val="24"/>
                <w:lang w:val="en-US"/>
              </w:rPr>
              <w:t>2009</w:t>
            </w:r>
          </w:p>
        </w:tc>
        <w:tc>
          <w:tcPr>
            <w:tcW w:w="1417" w:type="dxa"/>
            <w:tcBorders>
              <w:top w:val="single" w:sz="6" w:space="0" w:color="auto"/>
              <w:left w:val="single" w:sz="6" w:space="0" w:color="auto"/>
              <w:bottom w:val="single" w:sz="12" w:space="0" w:color="auto"/>
              <w:right w:val="single" w:sz="12" w:space="0" w:color="auto"/>
            </w:tcBorders>
            <w:shd w:val="clear" w:color="auto" w:fill="D9D9D9" w:themeFill="background1" w:themeFillShade="D9"/>
            <w:vAlign w:val="bottom"/>
          </w:tcPr>
          <w:p w:rsidR="00192DB6" w:rsidRPr="002558A4" w:rsidRDefault="00192DB6" w:rsidP="00EB041C">
            <w:pPr>
              <w:spacing w:before="120" w:after="120" w:line="240" w:lineRule="auto"/>
              <w:jc w:val="center"/>
              <w:rPr>
                <w:rFonts w:cs="Times New Roman"/>
                <w:b/>
                <w:szCs w:val="24"/>
                <w:lang w:val="en-US"/>
              </w:rPr>
            </w:pPr>
            <w:r w:rsidRPr="002558A4">
              <w:rPr>
                <w:rFonts w:cs="Times New Roman"/>
                <w:b/>
                <w:szCs w:val="24"/>
                <w:lang w:val="en-US"/>
              </w:rPr>
              <w:t>2011</w:t>
            </w:r>
          </w:p>
        </w:tc>
      </w:tr>
      <w:tr w:rsidR="00192DB6" w:rsidRPr="002558A4" w:rsidTr="00EB041C">
        <w:trPr>
          <w:trHeight w:val="275"/>
        </w:trPr>
        <w:tc>
          <w:tcPr>
            <w:tcW w:w="2802" w:type="dxa"/>
            <w:tcBorders>
              <w:top w:val="single" w:sz="12" w:space="0" w:color="auto"/>
              <w:left w:val="single" w:sz="12" w:space="0" w:color="auto"/>
              <w:bottom w:val="single" w:sz="6" w:space="0" w:color="auto"/>
              <w:right w:val="single" w:sz="6" w:space="0" w:color="auto"/>
            </w:tcBorders>
          </w:tcPr>
          <w:p w:rsidR="00192DB6" w:rsidRPr="002558A4" w:rsidRDefault="00192DB6" w:rsidP="00EB041C">
            <w:pPr>
              <w:spacing w:before="120" w:after="120" w:line="240" w:lineRule="auto"/>
              <w:rPr>
                <w:rFonts w:cs="Times New Roman"/>
                <w:b/>
                <w:szCs w:val="24"/>
                <w:lang w:val="en-US"/>
              </w:rPr>
            </w:pPr>
            <w:r w:rsidRPr="002558A4">
              <w:rPr>
                <w:rFonts w:cs="Times New Roman"/>
                <w:b/>
                <w:szCs w:val="24"/>
                <w:lang w:val="en-US"/>
              </w:rPr>
              <w:t>Rede Municipal</w:t>
            </w:r>
          </w:p>
        </w:tc>
        <w:tc>
          <w:tcPr>
            <w:tcW w:w="1559" w:type="dxa"/>
            <w:tcBorders>
              <w:top w:val="single" w:sz="12"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p>
        </w:tc>
        <w:tc>
          <w:tcPr>
            <w:tcW w:w="1417" w:type="dxa"/>
            <w:tcBorders>
              <w:top w:val="single" w:sz="12"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p>
        </w:tc>
        <w:tc>
          <w:tcPr>
            <w:tcW w:w="1418" w:type="dxa"/>
            <w:tcBorders>
              <w:top w:val="single" w:sz="12"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b/>
                <w:szCs w:val="24"/>
                <w:lang w:val="en-US"/>
              </w:rPr>
            </w:pPr>
          </w:p>
        </w:tc>
        <w:tc>
          <w:tcPr>
            <w:tcW w:w="1417" w:type="dxa"/>
            <w:tcBorders>
              <w:top w:val="single" w:sz="12" w:space="0" w:color="auto"/>
              <w:left w:val="single" w:sz="6" w:space="0" w:color="auto"/>
              <w:bottom w:val="single" w:sz="6" w:space="0" w:color="auto"/>
              <w:right w:val="single" w:sz="12" w:space="0" w:color="auto"/>
            </w:tcBorders>
            <w:vAlign w:val="center"/>
          </w:tcPr>
          <w:p w:rsidR="00192DB6" w:rsidRPr="002558A4" w:rsidRDefault="00192DB6" w:rsidP="00EB041C">
            <w:pPr>
              <w:spacing w:before="120" w:after="120" w:line="240" w:lineRule="auto"/>
              <w:jc w:val="center"/>
              <w:rPr>
                <w:rFonts w:cs="Times New Roman"/>
                <w:b/>
                <w:szCs w:val="24"/>
                <w:lang w:val="en-US"/>
              </w:rPr>
            </w:pPr>
          </w:p>
        </w:tc>
      </w:tr>
      <w:tr w:rsidR="00192DB6" w:rsidRPr="002558A4" w:rsidTr="00EB041C">
        <w:trPr>
          <w:trHeight w:val="275"/>
        </w:trPr>
        <w:tc>
          <w:tcPr>
            <w:tcW w:w="2802" w:type="dxa"/>
            <w:tcBorders>
              <w:top w:val="single" w:sz="6" w:space="0" w:color="auto"/>
              <w:left w:val="single" w:sz="12" w:space="0" w:color="auto"/>
              <w:bottom w:val="single" w:sz="6" w:space="0" w:color="auto"/>
              <w:right w:val="single" w:sz="6" w:space="0" w:color="auto"/>
            </w:tcBorders>
            <w:vAlign w:val="center"/>
          </w:tcPr>
          <w:p w:rsidR="00192DB6" w:rsidRPr="002558A4" w:rsidRDefault="00192DB6" w:rsidP="0053477A">
            <w:pPr>
              <w:numPr>
                <w:ilvl w:val="0"/>
                <w:numId w:val="23"/>
              </w:numPr>
              <w:spacing w:before="120" w:after="120" w:line="240" w:lineRule="auto"/>
              <w:ind w:left="303" w:hanging="284"/>
              <w:contextualSpacing/>
              <w:rPr>
                <w:rFonts w:cs="Times New Roman"/>
                <w:szCs w:val="24"/>
              </w:rPr>
            </w:pPr>
            <w:r w:rsidRPr="002558A4">
              <w:rPr>
                <w:rFonts w:cs="Times New Roman"/>
                <w:szCs w:val="24"/>
              </w:rPr>
              <w:t>4</w:t>
            </w:r>
            <w:r w:rsidRPr="002558A4">
              <w:rPr>
                <w:rFonts w:cs="Times New Roman"/>
                <w:szCs w:val="24"/>
                <w:shd w:val="clear" w:color="auto" w:fill="FFFFFF"/>
              </w:rPr>
              <w:t>°</w:t>
            </w:r>
            <w:r w:rsidRPr="002558A4">
              <w:rPr>
                <w:rFonts w:cs="Times New Roman"/>
                <w:szCs w:val="24"/>
              </w:rPr>
              <w:t xml:space="preserve"> série/ 5</w:t>
            </w:r>
            <w:r w:rsidRPr="002558A4">
              <w:rPr>
                <w:rFonts w:cs="Times New Roman"/>
                <w:szCs w:val="24"/>
                <w:shd w:val="clear" w:color="auto" w:fill="FFFFFF"/>
              </w:rPr>
              <w:t>°</w:t>
            </w:r>
            <w:r w:rsidRPr="002558A4">
              <w:rPr>
                <w:rFonts w:cs="Times New Roman"/>
                <w:szCs w:val="24"/>
              </w:rPr>
              <w:t xml:space="preserve"> ano</w:t>
            </w:r>
          </w:p>
        </w:tc>
        <w:tc>
          <w:tcPr>
            <w:tcW w:w="1559"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3,6</w:t>
            </w:r>
          </w:p>
        </w:tc>
        <w:tc>
          <w:tcPr>
            <w:tcW w:w="1417"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4,0</w:t>
            </w:r>
          </w:p>
        </w:tc>
        <w:tc>
          <w:tcPr>
            <w:tcW w:w="1418"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5,1</w:t>
            </w:r>
          </w:p>
        </w:tc>
        <w:tc>
          <w:tcPr>
            <w:tcW w:w="1417" w:type="dxa"/>
            <w:tcBorders>
              <w:top w:val="single" w:sz="6" w:space="0" w:color="auto"/>
              <w:left w:val="single" w:sz="6" w:space="0" w:color="auto"/>
              <w:bottom w:val="single" w:sz="6" w:space="0" w:color="auto"/>
              <w:right w:val="single" w:sz="12"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4,8</w:t>
            </w:r>
          </w:p>
        </w:tc>
      </w:tr>
      <w:tr w:rsidR="00192DB6" w:rsidRPr="002558A4" w:rsidTr="00EB041C">
        <w:trPr>
          <w:trHeight w:val="276"/>
        </w:trPr>
        <w:tc>
          <w:tcPr>
            <w:tcW w:w="2802" w:type="dxa"/>
            <w:tcBorders>
              <w:top w:val="single" w:sz="6" w:space="0" w:color="auto"/>
              <w:left w:val="single" w:sz="12" w:space="0" w:color="auto"/>
              <w:bottom w:val="single" w:sz="6" w:space="0" w:color="auto"/>
              <w:right w:val="single" w:sz="6" w:space="0" w:color="auto"/>
            </w:tcBorders>
            <w:vAlign w:val="center"/>
          </w:tcPr>
          <w:p w:rsidR="00192DB6" w:rsidRPr="002558A4" w:rsidRDefault="00192DB6" w:rsidP="0053477A">
            <w:pPr>
              <w:numPr>
                <w:ilvl w:val="0"/>
                <w:numId w:val="23"/>
              </w:numPr>
              <w:spacing w:before="120" w:after="120" w:line="240" w:lineRule="auto"/>
              <w:ind w:left="303" w:hanging="284"/>
              <w:contextualSpacing/>
              <w:rPr>
                <w:rFonts w:cs="Times New Roman"/>
                <w:szCs w:val="24"/>
                <w:lang w:val="en-US"/>
              </w:rPr>
            </w:pPr>
            <w:r w:rsidRPr="002558A4">
              <w:rPr>
                <w:rFonts w:cs="Times New Roman"/>
                <w:szCs w:val="24"/>
                <w:lang w:val="en-US"/>
              </w:rPr>
              <w:t>8</w:t>
            </w:r>
            <w:r w:rsidRPr="002558A4">
              <w:rPr>
                <w:rFonts w:cs="Times New Roman"/>
                <w:szCs w:val="24"/>
                <w:shd w:val="clear" w:color="auto" w:fill="FFFFFF"/>
              </w:rPr>
              <w:t>°</w:t>
            </w:r>
            <w:r w:rsidRPr="002558A4">
              <w:rPr>
                <w:rFonts w:cs="Times New Roman"/>
                <w:szCs w:val="24"/>
                <w:lang w:val="en-US"/>
              </w:rPr>
              <w:t xml:space="preserve"> série/ 9</w:t>
            </w:r>
            <w:r w:rsidRPr="002558A4">
              <w:rPr>
                <w:rFonts w:cs="Times New Roman"/>
                <w:szCs w:val="24"/>
                <w:shd w:val="clear" w:color="auto" w:fill="FFFFFF"/>
              </w:rPr>
              <w:t>°</w:t>
            </w:r>
            <w:r w:rsidRPr="002558A4">
              <w:rPr>
                <w:rFonts w:cs="Times New Roman"/>
                <w:szCs w:val="24"/>
                <w:lang w:val="en-US"/>
              </w:rPr>
              <w:t xml:space="preserve"> ano</w:t>
            </w:r>
          </w:p>
        </w:tc>
        <w:tc>
          <w:tcPr>
            <w:tcW w:w="1559"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3,5</w:t>
            </w:r>
          </w:p>
        </w:tc>
        <w:tc>
          <w:tcPr>
            <w:tcW w:w="1417"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3,5</w:t>
            </w:r>
          </w:p>
        </w:tc>
        <w:tc>
          <w:tcPr>
            <w:tcW w:w="1418"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3,5</w:t>
            </w:r>
          </w:p>
        </w:tc>
        <w:tc>
          <w:tcPr>
            <w:tcW w:w="1417" w:type="dxa"/>
            <w:tcBorders>
              <w:top w:val="single" w:sz="6" w:space="0" w:color="auto"/>
              <w:left w:val="single" w:sz="6" w:space="0" w:color="auto"/>
              <w:bottom w:val="single" w:sz="6" w:space="0" w:color="auto"/>
              <w:right w:val="single" w:sz="12"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4,0</w:t>
            </w:r>
          </w:p>
        </w:tc>
      </w:tr>
      <w:tr w:rsidR="00192DB6" w:rsidRPr="002558A4" w:rsidTr="00EB041C">
        <w:trPr>
          <w:trHeight w:val="276"/>
        </w:trPr>
        <w:tc>
          <w:tcPr>
            <w:tcW w:w="2802" w:type="dxa"/>
            <w:tcBorders>
              <w:top w:val="single" w:sz="6" w:space="0" w:color="auto"/>
              <w:left w:val="single" w:sz="12" w:space="0" w:color="auto"/>
              <w:bottom w:val="single" w:sz="6" w:space="0" w:color="auto"/>
              <w:right w:val="single" w:sz="6" w:space="0" w:color="auto"/>
            </w:tcBorders>
          </w:tcPr>
          <w:p w:rsidR="00192DB6" w:rsidRPr="002558A4" w:rsidRDefault="00192DB6" w:rsidP="00EB041C">
            <w:pPr>
              <w:spacing w:before="120" w:after="120" w:line="240" w:lineRule="auto"/>
              <w:rPr>
                <w:rFonts w:cs="Times New Roman"/>
                <w:b/>
                <w:szCs w:val="24"/>
                <w:lang w:val="en-US"/>
              </w:rPr>
            </w:pPr>
            <w:r w:rsidRPr="002558A4">
              <w:rPr>
                <w:rFonts w:cs="Times New Roman"/>
                <w:b/>
                <w:szCs w:val="24"/>
                <w:lang w:val="en-US"/>
              </w:rPr>
              <w:t>Rede Estadual</w:t>
            </w:r>
          </w:p>
        </w:tc>
        <w:tc>
          <w:tcPr>
            <w:tcW w:w="1559"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b/>
                <w:szCs w:val="24"/>
                <w:lang w:val="en-US"/>
              </w:rPr>
            </w:pPr>
          </w:p>
        </w:tc>
        <w:tc>
          <w:tcPr>
            <w:tcW w:w="1417"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b/>
                <w:szCs w:val="24"/>
                <w:lang w:val="en-US"/>
              </w:rPr>
            </w:pPr>
          </w:p>
        </w:tc>
        <w:tc>
          <w:tcPr>
            <w:tcW w:w="1418"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b/>
                <w:szCs w:val="24"/>
                <w:lang w:val="en-US"/>
              </w:rPr>
            </w:pPr>
          </w:p>
        </w:tc>
        <w:tc>
          <w:tcPr>
            <w:tcW w:w="1417" w:type="dxa"/>
            <w:tcBorders>
              <w:top w:val="single" w:sz="6" w:space="0" w:color="auto"/>
              <w:left w:val="single" w:sz="6" w:space="0" w:color="auto"/>
              <w:bottom w:val="single" w:sz="6" w:space="0" w:color="auto"/>
              <w:right w:val="single" w:sz="12" w:space="0" w:color="auto"/>
            </w:tcBorders>
            <w:vAlign w:val="center"/>
          </w:tcPr>
          <w:p w:rsidR="00192DB6" w:rsidRPr="002558A4" w:rsidRDefault="00192DB6" w:rsidP="00EB041C">
            <w:pPr>
              <w:spacing w:before="120" w:after="120" w:line="240" w:lineRule="auto"/>
              <w:jc w:val="center"/>
              <w:rPr>
                <w:rFonts w:cs="Times New Roman"/>
                <w:b/>
                <w:szCs w:val="24"/>
                <w:lang w:val="en-US"/>
              </w:rPr>
            </w:pPr>
          </w:p>
        </w:tc>
      </w:tr>
      <w:tr w:rsidR="00192DB6" w:rsidRPr="002558A4" w:rsidTr="00EB041C">
        <w:trPr>
          <w:trHeight w:val="275"/>
        </w:trPr>
        <w:tc>
          <w:tcPr>
            <w:tcW w:w="2802" w:type="dxa"/>
            <w:tcBorders>
              <w:top w:val="single" w:sz="6" w:space="0" w:color="auto"/>
              <w:left w:val="single" w:sz="12" w:space="0" w:color="auto"/>
              <w:bottom w:val="single" w:sz="6" w:space="0" w:color="auto"/>
              <w:right w:val="single" w:sz="6" w:space="0" w:color="auto"/>
            </w:tcBorders>
            <w:vAlign w:val="center"/>
          </w:tcPr>
          <w:p w:rsidR="00192DB6" w:rsidRPr="002558A4" w:rsidRDefault="00192DB6" w:rsidP="0053477A">
            <w:pPr>
              <w:numPr>
                <w:ilvl w:val="0"/>
                <w:numId w:val="24"/>
              </w:numPr>
              <w:spacing w:before="120" w:after="120" w:line="240" w:lineRule="auto"/>
              <w:ind w:left="303" w:hanging="284"/>
              <w:contextualSpacing/>
              <w:rPr>
                <w:rFonts w:cs="Times New Roman"/>
                <w:szCs w:val="24"/>
              </w:rPr>
            </w:pPr>
            <w:r w:rsidRPr="002558A4">
              <w:rPr>
                <w:rFonts w:cs="Times New Roman"/>
                <w:szCs w:val="24"/>
              </w:rPr>
              <w:t>4</w:t>
            </w:r>
            <w:r w:rsidRPr="002558A4">
              <w:rPr>
                <w:rFonts w:cs="Times New Roman"/>
                <w:szCs w:val="24"/>
                <w:shd w:val="clear" w:color="auto" w:fill="FFFFFF"/>
              </w:rPr>
              <w:t>°</w:t>
            </w:r>
            <w:r w:rsidRPr="002558A4">
              <w:rPr>
                <w:rFonts w:cs="Times New Roman"/>
                <w:szCs w:val="24"/>
              </w:rPr>
              <w:t xml:space="preserve"> série/ 5</w:t>
            </w:r>
            <w:r w:rsidRPr="002558A4">
              <w:rPr>
                <w:rFonts w:cs="Times New Roman"/>
                <w:szCs w:val="24"/>
                <w:shd w:val="clear" w:color="auto" w:fill="FFFFFF"/>
              </w:rPr>
              <w:t>°</w:t>
            </w:r>
            <w:r w:rsidRPr="002558A4">
              <w:rPr>
                <w:rFonts w:cs="Times New Roman"/>
                <w:szCs w:val="24"/>
              </w:rPr>
              <w:t xml:space="preserve"> ano</w:t>
            </w:r>
          </w:p>
        </w:tc>
        <w:tc>
          <w:tcPr>
            <w:tcW w:w="1559"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4,1</w:t>
            </w:r>
          </w:p>
        </w:tc>
        <w:tc>
          <w:tcPr>
            <w:tcW w:w="1417"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4,4</w:t>
            </w:r>
          </w:p>
        </w:tc>
        <w:tc>
          <w:tcPr>
            <w:tcW w:w="1418"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5,6</w:t>
            </w:r>
          </w:p>
        </w:tc>
        <w:tc>
          <w:tcPr>
            <w:tcW w:w="1417" w:type="dxa"/>
            <w:tcBorders>
              <w:top w:val="single" w:sz="6" w:space="0" w:color="auto"/>
              <w:left w:val="single" w:sz="6" w:space="0" w:color="auto"/>
              <w:bottom w:val="single" w:sz="6" w:space="0" w:color="auto"/>
              <w:right w:val="single" w:sz="12"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5,7</w:t>
            </w:r>
          </w:p>
        </w:tc>
      </w:tr>
      <w:tr w:rsidR="00192DB6" w:rsidRPr="002558A4" w:rsidTr="00EB041C">
        <w:trPr>
          <w:trHeight w:val="275"/>
        </w:trPr>
        <w:tc>
          <w:tcPr>
            <w:tcW w:w="2802" w:type="dxa"/>
            <w:tcBorders>
              <w:top w:val="single" w:sz="6" w:space="0" w:color="auto"/>
              <w:left w:val="single" w:sz="12" w:space="0" w:color="auto"/>
              <w:bottom w:val="single" w:sz="6" w:space="0" w:color="auto"/>
              <w:right w:val="single" w:sz="6" w:space="0" w:color="auto"/>
            </w:tcBorders>
            <w:vAlign w:val="center"/>
          </w:tcPr>
          <w:p w:rsidR="00192DB6" w:rsidRPr="002558A4" w:rsidRDefault="00192DB6" w:rsidP="0053477A">
            <w:pPr>
              <w:numPr>
                <w:ilvl w:val="0"/>
                <w:numId w:val="24"/>
              </w:numPr>
              <w:spacing w:before="120" w:after="120" w:line="240" w:lineRule="auto"/>
              <w:ind w:left="303" w:hanging="284"/>
              <w:contextualSpacing/>
              <w:rPr>
                <w:rFonts w:cs="Times New Roman"/>
                <w:szCs w:val="24"/>
                <w:lang w:val="en-US"/>
              </w:rPr>
            </w:pPr>
            <w:r w:rsidRPr="002558A4">
              <w:rPr>
                <w:rFonts w:cs="Times New Roman"/>
                <w:szCs w:val="24"/>
                <w:lang w:val="en-US"/>
              </w:rPr>
              <w:t>8</w:t>
            </w:r>
            <w:r w:rsidRPr="002558A4">
              <w:rPr>
                <w:rFonts w:cs="Times New Roman"/>
                <w:szCs w:val="24"/>
                <w:shd w:val="clear" w:color="auto" w:fill="FFFFFF"/>
              </w:rPr>
              <w:t>°</w:t>
            </w:r>
            <w:r w:rsidRPr="002558A4">
              <w:rPr>
                <w:rFonts w:cs="Times New Roman"/>
                <w:szCs w:val="24"/>
                <w:lang w:val="en-US"/>
              </w:rPr>
              <w:t xml:space="preserve"> série/ 9</w:t>
            </w:r>
            <w:r w:rsidRPr="002558A4">
              <w:rPr>
                <w:rFonts w:cs="Times New Roman"/>
                <w:szCs w:val="24"/>
                <w:shd w:val="clear" w:color="auto" w:fill="FFFFFF"/>
              </w:rPr>
              <w:t>°</w:t>
            </w:r>
            <w:r w:rsidRPr="002558A4">
              <w:rPr>
                <w:rFonts w:cs="Times New Roman"/>
                <w:szCs w:val="24"/>
                <w:lang w:val="en-US"/>
              </w:rPr>
              <w:t xml:space="preserve"> ano</w:t>
            </w:r>
          </w:p>
        </w:tc>
        <w:tc>
          <w:tcPr>
            <w:tcW w:w="1559"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2,9</w:t>
            </w:r>
          </w:p>
        </w:tc>
        <w:tc>
          <w:tcPr>
            <w:tcW w:w="1417"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3,4</w:t>
            </w:r>
          </w:p>
        </w:tc>
        <w:tc>
          <w:tcPr>
            <w:tcW w:w="1418" w:type="dxa"/>
            <w:tcBorders>
              <w:top w:val="single" w:sz="6" w:space="0" w:color="auto"/>
              <w:left w:val="single" w:sz="6" w:space="0" w:color="auto"/>
              <w:bottom w:val="single" w:sz="6" w:space="0" w:color="auto"/>
              <w:right w:val="single" w:sz="6"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3,9</w:t>
            </w:r>
          </w:p>
        </w:tc>
        <w:tc>
          <w:tcPr>
            <w:tcW w:w="1417" w:type="dxa"/>
            <w:tcBorders>
              <w:top w:val="single" w:sz="6" w:space="0" w:color="auto"/>
              <w:left w:val="single" w:sz="6" w:space="0" w:color="auto"/>
              <w:bottom w:val="single" w:sz="6" w:space="0" w:color="auto"/>
              <w:right w:val="single" w:sz="12" w:space="0" w:color="auto"/>
            </w:tcBorders>
            <w:vAlign w:val="center"/>
          </w:tcPr>
          <w:p w:rsidR="00192DB6" w:rsidRPr="002558A4" w:rsidRDefault="00192DB6" w:rsidP="00EB041C">
            <w:pPr>
              <w:spacing w:before="120" w:after="120" w:line="240" w:lineRule="auto"/>
              <w:jc w:val="center"/>
              <w:rPr>
                <w:rFonts w:cs="Times New Roman"/>
                <w:szCs w:val="24"/>
                <w:lang w:val="en-US"/>
              </w:rPr>
            </w:pPr>
            <w:r w:rsidRPr="002558A4">
              <w:rPr>
                <w:rFonts w:cs="Times New Roman"/>
                <w:szCs w:val="24"/>
                <w:lang w:val="en-US"/>
              </w:rPr>
              <w:t>3,7</w:t>
            </w:r>
          </w:p>
        </w:tc>
      </w:tr>
    </w:tbl>
    <w:p w:rsidR="00192DB6" w:rsidRPr="0002530A" w:rsidRDefault="00192DB6" w:rsidP="002558A4">
      <w:pPr>
        <w:pStyle w:val="Fonte"/>
        <w:rPr>
          <w:lang w:eastAsia="pt-BR"/>
        </w:rPr>
      </w:pPr>
      <w:r w:rsidRPr="0002530A">
        <w:rPr>
          <w:lang w:eastAsia="pt-BR"/>
        </w:rPr>
        <w:t xml:space="preserve">FONTE: IDEB (2013) </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Esse resultado de melhoria educacional, como destaca DRZ (2012), influencia na formação e no desenvolvimento da consciência crítica do cidadão, o que pode ajudar aos gestores municipais a manterem a cidade mais limpa, com controle mais fácil das endemias, maior receptividade dos programas de coleta seletiva, com influências sobre o aumento da vida útil das áreas de disposição final dos resíduos sólidos. </w:t>
      </w:r>
    </w:p>
    <w:p w:rsidR="00192DB6" w:rsidRPr="00C66007" w:rsidRDefault="008E169C" w:rsidP="00971B37">
      <w:pPr>
        <w:pStyle w:val="Titulo"/>
      </w:pPr>
      <w:bookmarkStart w:id="128" w:name="_Toc372559059"/>
      <w:bookmarkStart w:id="129" w:name="_Toc372789499"/>
      <w:r>
        <w:t xml:space="preserve">8.3.5 </w:t>
      </w:r>
      <w:r w:rsidR="00192DB6" w:rsidRPr="00C66007">
        <w:t>Situação e Indicadores de Saúde</w:t>
      </w:r>
      <w:bookmarkEnd w:id="128"/>
      <w:bookmarkEnd w:id="129"/>
      <w:r w:rsidR="00192DB6" w:rsidRPr="00C66007">
        <w:t xml:space="preserve"> </w:t>
      </w:r>
    </w:p>
    <w:p w:rsidR="00192DB6" w:rsidRPr="007A0B11" w:rsidRDefault="00192DB6" w:rsidP="00EB041C">
      <w:pPr>
        <w:pStyle w:val="CM72"/>
        <w:spacing w:line="360" w:lineRule="auto"/>
        <w:ind w:firstLine="709"/>
        <w:jc w:val="both"/>
        <w:rPr>
          <w:rFonts w:ascii="Times New Roman" w:hAnsi="Times New Roman" w:cs="Times New Roman"/>
        </w:rPr>
      </w:pPr>
      <w:r w:rsidRPr="007A0B11">
        <w:rPr>
          <w:rFonts w:ascii="Times New Roman" w:hAnsi="Times New Roman" w:cs="Times New Roman"/>
        </w:rPr>
        <w:t>A Organização Mundial da Saúde estabelece que o gozo do melhor estado de saúde é um direito fundamental de todos os seres humanos e que saúde é o estado de completo de bem estar físico, mental e social e não apenas a ausência de doenças.</w:t>
      </w:r>
    </w:p>
    <w:p w:rsidR="00192DB6" w:rsidRPr="007A0B11" w:rsidRDefault="00192DB6" w:rsidP="00EB041C">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Segundo Guimarães et al. (2007), a maioria dos problemas sanitários que afetam a população mundial estão intrinsecamente relacionados com o meio ambiente. Um exemplo disso é a diarreia que, com mais de quatro bilhões de casos por ano, é uma das doenças que mais aflige a humanidade, já que causa 30% das mortes de crianças com menos de um ano de idade. Entre as causas dessa doença destacam-se as condições inadequadas de saneamento. </w:t>
      </w:r>
    </w:p>
    <w:p w:rsidR="00192DB6" w:rsidRPr="007A0B11" w:rsidRDefault="00192DB6" w:rsidP="00EB041C">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Dados da OMS, citados por Trata Brasil (2012), sobre os impactos negativos da falta </w:t>
      </w:r>
      <w:r w:rsidRPr="007A0B11">
        <w:rPr>
          <w:rFonts w:ascii="Times New Roman" w:hAnsi="Times New Roman" w:cs="Times New Roman"/>
        </w:rPr>
        <w:lastRenderedPageBreak/>
        <w:t xml:space="preserve">de adequação do esgotamento sanitário sobre a saúde da população mostram que 88% das mortes por diarreias no mundo são causadas pelo saneamento inadequado. </w:t>
      </w:r>
    </w:p>
    <w:p w:rsidR="00192DB6" w:rsidRPr="007A0B11" w:rsidRDefault="00192DB6" w:rsidP="00EB041C">
      <w:pPr>
        <w:pStyle w:val="CM72"/>
        <w:spacing w:line="360" w:lineRule="auto"/>
        <w:ind w:firstLine="709"/>
        <w:jc w:val="both"/>
        <w:rPr>
          <w:rFonts w:ascii="Times New Roman" w:hAnsi="Times New Roman" w:cs="Times New Roman"/>
        </w:rPr>
      </w:pPr>
      <w:r w:rsidRPr="007A0B11">
        <w:rPr>
          <w:rFonts w:ascii="Times New Roman" w:hAnsi="Times New Roman" w:cs="Times New Roman"/>
        </w:rPr>
        <w:t>Destas mortes, aproximadamente 84% são de crianças, sendo a segunda maior causa de mortes em crianças menores de 5 anos de idade. Estima-se que 1,5 milhões de crianças nesta idade morram a cada ano vítimas de doenças diarreicas, sobretudo em países em desenvolvimento.</w:t>
      </w:r>
    </w:p>
    <w:p w:rsidR="00192DB6" w:rsidRPr="007A0B11" w:rsidRDefault="00192DB6" w:rsidP="00EB041C">
      <w:pPr>
        <w:pStyle w:val="CM72"/>
        <w:spacing w:line="360" w:lineRule="auto"/>
        <w:ind w:firstLine="709"/>
        <w:jc w:val="both"/>
        <w:rPr>
          <w:rFonts w:ascii="Times New Roman" w:hAnsi="Times New Roman" w:cs="Times New Roman"/>
        </w:rPr>
      </w:pPr>
      <w:r w:rsidRPr="007A0B11">
        <w:rPr>
          <w:rFonts w:ascii="Times New Roman" w:hAnsi="Times New Roman" w:cs="Times New Roman"/>
        </w:rPr>
        <w:t>Para análise da situação de saúde local considerou-se o estado de saúde da população, acesso e utilização dos serviços de saúde e esforço da gestão pública. Mais especificamente, como proposto pela FJP (2013), foram considerados os seguintes indicadores: Total de Nascidos Vivos; Proporção de nascidos vivos, cujas mães realizaram 7,0 ou mais consultas de pré-natal; Cobertura vacinal de tetravalente em menores de um ano; Cobertura populacional do Programa de Saúde da Família (PSF);  Proporção de óbitos por causas mal definidas; Taxa bruta de mortalidade, que expressa a frequência anual de mortes, por município de residência; Mortalidade até 1 ano e 5 anos; Principais doenças causadoras da morte; Proporção de internações por doenças associadas ao saneamento ambiental inadequado; Proporção de doenças de veiculação hídrica; Existência de Conselho Municipal de Saúde e Gastos Per Capita com atividades de saúde.</w:t>
      </w:r>
    </w:p>
    <w:p w:rsidR="00192DB6" w:rsidRPr="007A0B11" w:rsidRDefault="00192DB6" w:rsidP="00EB041C">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Os dados apresentados no Quadro </w:t>
      </w:r>
      <w:r w:rsidR="00EB041C">
        <w:rPr>
          <w:rFonts w:ascii="Times New Roman" w:hAnsi="Times New Roman" w:cs="Times New Roman"/>
        </w:rPr>
        <w:t>11</w:t>
      </w:r>
      <w:r w:rsidRPr="007A0B11">
        <w:rPr>
          <w:rFonts w:ascii="Times New Roman" w:hAnsi="Times New Roman" w:cs="Times New Roman"/>
        </w:rPr>
        <w:t xml:space="preserve"> mostram que a taxa bruta de mortalidade a cada mil habitantes foi de 5,15, tendo sido notificados 21,11% de óbitos por causas mal definidas (FJP, 2013).</w:t>
      </w:r>
    </w:p>
    <w:p w:rsidR="00192DB6" w:rsidRPr="007A0B11" w:rsidRDefault="00192DB6" w:rsidP="00EB041C">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A proporção de internações por doenças relacionadas ao saneamento ambiental inadequado foi de 5,05%, enquanto que por veiculação hídrica foi de 5,71%. Do total das internações para parto de pacientes do SUS, 4,68% eram encaminhados para outros municípios, sugerindo limitações na capacidade de atendimento, principalmente pela alta demanda pelo serviço público (96,76% da população era atendida pelo PSF), uma vez que apenas 7,52% da população tinha cobertura por Plano de Saúde; existindo, conforme PNUD (2000), apenas 0,36 médicos por mil habitantes e 0,16% de enfermeiros com curso superior. </w:t>
      </w:r>
    </w:p>
    <w:p w:rsidR="00EB041C" w:rsidRDefault="00EB041C">
      <w:pPr>
        <w:spacing w:after="200" w:line="276" w:lineRule="auto"/>
        <w:rPr>
          <w:rFonts w:eastAsiaTheme="minorEastAsia" w:cs="Times New Roman"/>
          <w:bCs/>
          <w:szCs w:val="24"/>
          <w:lang w:eastAsia="pt-BR"/>
        </w:rPr>
      </w:pPr>
      <w:bookmarkStart w:id="130" w:name="_Toc372117253"/>
      <w:r>
        <w:br w:type="page"/>
      </w:r>
    </w:p>
    <w:p w:rsidR="002558A4" w:rsidRPr="00627F1F" w:rsidRDefault="00B02273" w:rsidP="00B02273">
      <w:pPr>
        <w:pStyle w:val="Legenda"/>
      </w:pPr>
      <w:bookmarkStart w:id="131" w:name="_Toc372740517"/>
      <w:bookmarkEnd w:id="130"/>
      <w:r>
        <w:lastRenderedPageBreak/>
        <w:t xml:space="preserve">Quadro </w:t>
      </w:r>
      <w:fldSimple w:instr=" SEQ Quadro \* ARABIC ">
        <w:r w:rsidR="004F77E2">
          <w:rPr>
            <w:noProof/>
          </w:rPr>
          <w:t>11</w:t>
        </w:r>
      </w:fldSimple>
      <w:r>
        <w:t xml:space="preserve"> - </w:t>
      </w:r>
      <w:r w:rsidRPr="009908CD">
        <w:rPr>
          <w:noProof/>
        </w:rPr>
        <w:t>Indicadores de Saúde do Município de Aimorés/MG, 2010.</w:t>
      </w:r>
      <w:bookmarkEnd w:id="131"/>
    </w:p>
    <w:tbl>
      <w:tblPr>
        <w:tblStyle w:val="Tabelacomgrade"/>
        <w:tblW w:w="0" w:type="auto"/>
        <w:tblInd w:w="108" w:type="dxa"/>
        <w:tblLook w:val="04A0" w:firstRow="1" w:lastRow="0" w:firstColumn="1" w:lastColumn="0" w:noHBand="0" w:noVBand="1"/>
      </w:tblPr>
      <w:tblGrid>
        <w:gridCol w:w="5351"/>
        <w:gridCol w:w="1551"/>
        <w:gridCol w:w="1747"/>
      </w:tblGrid>
      <w:tr w:rsidR="00192DB6" w:rsidRPr="002558A4" w:rsidTr="001D0A62">
        <w:trPr>
          <w:trHeight w:val="510"/>
        </w:trPr>
        <w:tc>
          <w:tcPr>
            <w:tcW w:w="6379"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2558A4" w:rsidRDefault="00192DB6" w:rsidP="00122C0C">
            <w:pPr>
              <w:autoSpaceDE w:val="0"/>
              <w:autoSpaceDN w:val="0"/>
              <w:adjustRightInd w:val="0"/>
              <w:spacing w:before="120" w:after="120" w:line="240" w:lineRule="auto"/>
              <w:ind w:firstLine="708"/>
              <w:jc w:val="both"/>
              <w:rPr>
                <w:rFonts w:cs="Times New Roman"/>
                <w:b/>
                <w:color w:val="000000" w:themeColor="text1"/>
                <w:szCs w:val="24"/>
              </w:rPr>
            </w:pPr>
            <w:r w:rsidRPr="002558A4">
              <w:rPr>
                <w:rFonts w:cs="Times New Roman"/>
                <w:b/>
                <w:color w:val="000000" w:themeColor="text1"/>
                <w:szCs w:val="24"/>
              </w:rPr>
              <w:t>Indicadores</w:t>
            </w:r>
          </w:p>
        </w:tc>
        <w:tc>
          <w:tcPr>
            <w:tcW w:w="1701"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2558A4" w:rsidRDefault="00192DB6" w:rsidP="00122C0C">
            <w:pPr>
              <w:autoSpaceDE w:val="0"/>
              <w:autoSpaceDN w:val="0"/>
              <w:adjustRightInd w:val="0"/>
              <w:spacing w:before="120" w:after="120" w:line="240" w:lineRule="auto"/>
              <w:jc w:val="center"/>
              <w:rPr>
                <w:rFonts w:cs="Times New Roman"/>
                <w:b/>
                <w:color w:val="000000" w:themeColor="text1"/>
                <w:szCs w:val="24"/>
              </w:rPr>
            </w:pPr>
            <w:r w:rsidRPr="002558A4">
              <w:rPr>
                <w:rFonts w:cs="Times New Roman"/>
                <w:b/>
                <w:color w:val="000000" w:themeColor="text1"/>
                <w:szCs w:val="24"/>
              </w:rPr>
              <w:t>Unidade</w:t>
            </w:r>
          </w:p>
        </w:tc>
        <w:tc>
          <w:tcPr>
            <w:tcW w:w="1985"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2558A4" w:rsidRDefault="00192DB6" w:rsidP="00122C0C">
            <w:pPr>
              <w:autoSpaceDE w:val="0"/>
              <w:autoSpaceDN w:val="0"/>
              <w:adjustRightInd w:val="0"/>
              <w:spacing w:before="120" w:after="120" w:line="240" w:lineRule="auto"/>
              <w:jc w:val="center"/>
              <w:rPr>
                <w:rFonts w:cs="Times New Roman"/>
                <w:b/>
                <w:color w:val="000000" w:themeColor="text1"/>
                <w:szCs w:val="24"/>
              </w:rPr>
            </w:pPr>
            <w:r w:rsidRPr="002558A4">
              <w:rPr>
                <w:rFonts w:cs="Times New Roman"/>
                <w:b/>
                <w:color w:val="000000" w:themeColor="text1"/>
                <w:szCs w:val="24"/>
              </w:rPr>
              <w:t>Valores</w:t>
            </w:r>
          </w:p>
        </w:tc>
      </w:tr>
      <w:tr w:rsidR="00192DB6" w:rsidRPr="002558A4" w:rsidTr="001D0A62">
        <w:trPr>
          <w:trHeight w:val="624"/>
        </w:trPr>
        <w:tc>
          <w:tcPr>
            <w:tcW w:w="6379" w:type="dxa"/>
            <w:tcBorders>
              <w:top w:val="single" w:sz="12"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jc w:val="both"/>
              <w:rPr>
                <w:rFonts w:cs="Times New Roman"/>
                <w:color w:val="000000" w:themeColor="text1"/>
                <w:szCs w:val="24"/>
              </w:rPr>
            </w:pPr>
            <w:r w:rsidRPr="002558A4">
              <w:rPr>
                <w:rFonts w:cs="Times New Roman"/>
                <w:color w:val="000000" w:themeColor="text1"/>
                <w:szCs w:val="24"/>
              </w:rPr>
              <w:t>Taxa Bruta de Mortalidade Padronizada</w:t>
            </w:r>
          </w:p>
        </w:tc>
        <w:tc>
          <w:tcPr>
            <w:tcW w:w="1701" w:type="dxa"/>
            <w:tcBorders>
              <w:top w:val="single" w:sz="12"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ind w:hanging="32"/>
              <w:jc w:val="center"/>
              <w:rPr>
                <w:rFonts w:cs="Times New Roman"/>
                <w:color w:val="000000" w:themeColor="text1"/>
                <w:szCs w:val="24"/>
              </w:rPr>
            </w:pPr>
            <w:r w:rsidRPr="002558A4">
              <w:rPr>
                <w:rFonts w:cs="Times New Roman"/>
                <w:color w:val="000000" w:themeColor="text1"/>
                <w:szCs w:val="24"/>
              </w:rPr>
              <w:t>Mil/hab.</w:t>
            </w:r>
          </w:p>
        </w:tc>
        <w:tc>
          <w:tcPr>
            <w:tcW w:w="1985" w:type="dxa"/>
            <w:tcBorders>
              <w:top w:val="single" w:sz="12"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jc w:val="center"/>
              <w:rPr>
                <w:rFonts w:cs="Times New Roman"/>
                <w:color w:val="000000" w:themeColor="text1"/>
                <w:szCs w:val="24"/>
              </w:rPr>
            </w:pPr>
            <w:r w:rsidRPr="002558A4">
              <w:rPr>
                <w:rFonts w:cs="Times New Roman"/>
                <w:color w:val="000000" w:themeColor="text1"/>
                <w:szCs w:val="24"/>
              </w:rPr>
              <w:t>5,15</w:t>
            </w:r>
          </w:p>
        </w:tc>
      </w:tr>
      <w:tr w:rsidR="00192DB6" w:rsidRPr="002558A4" w:rsidTr="001D0A62">
        <w:trPr>
          <w:trHeight w:val="624"/>
        </w:trPr>
        <w:tc>
          <w:tcPr>
            <w:tcW w:w="6379" w:type="dxa"/>
            <w:tcBorders>
              <w:top w:val="single" w:sz="6"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jc w:val="both"/>
              <w:rPr>
                <w:rFonts w:cs="Times New Roman"/>
                <w:color w:val="000000" w:themeColor="text1"/>
                <w:szCs w:val="24"/>
              </w:rPr>
            </w:pPr>
            <w:r w:rsidRPr="002558A4">
              <w:rPr>
                <w:rFonts w:cs="Times New Roman"/>
                <w:color w:val="000000" w:themeColor="text1"/>
                <w:szCs w:val="24"/>
              </w:rPr>
              <w:t>Proporção da População Atendida pelo PSF</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ind w:hanging="32"/>
              <w:jc w:val="center"/>
              <w:rPr>
                <w:rFonts w:cs="Times New Roman"/>
                <w:color w:val="000000" w:themeColor="text1"/>
                <w:szCs w:val="24"/>
              </w:rPr>
            </w:pPr>
            <w:r w:rsidRPr="002558A4">
              <w:rPr>
                <w:rFonts w:cs="Times New Roman"/>
                <w:color w:val="000000" w:themeColor="text1"/>
                <w:szCs w:val="24"/>
              </w:rPr>
              <w:t>%</w:t>
            </w:r>
          </w:p>
        </w:tc>
        <w:tc>
          <w:tcPr>
            <w:tcW w:w="1985" w:type="dxa"/>
            <w:tcBorders>
              <w:top w:val="single" w:sz="6"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jc w:val="center"/>
              <w:rPr>
                <w:rFonts w:cs="Times New Roman"/>
                <w:color w:val="000000" w:themeColor="text1"/>
                <w:szCs w:val="24"/>
              </w:rPr>
            </w:pPr>
            <w:r w:rsidRPr="002558A4">
              <w:rPr>
                <w:rFonts w:cs="Times New Roman"/>
                <w:color w:val="000000" w:themeColor="text1"/>
                <w:szCs w:val="24"/>
              </w:rPr>
              <w:t>96,76</w:t>
            </w:r>
          </w:p>
        </w:tc>
      </w:tr>
      <w:tr w:rsidR="00192DB6" w:rsidRPr="002558A4" w:rsidTr="001D0A62">
        <w:trPr>
          <w:trHeight w:val="624"/>
        </w:trPr>
        <w:tc>
          <w:tcPr>
            <w:tcW w:w="6379" w:type="dxa"/>
            <w:tcBorders>
              <w:top w:val="single" w:sz="6"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jc w:val="both"/>
              <w:rPr>
                <w:rFonts w:cs="Times New Roman"/>
                <w:color w:val="000000" w:themeColor="text1"/>
                <w:szCs w:val="24"/>
              </w:rPr>
            </w:pPr>
            <w:r w:rsidRPr="002558A4">
              <w:rPr>
                <w:rFonts w:cs="Times New Roman"/>
                <w:color w:val="000000" w:themeColor="text1"/>
                <w:szCs w:val="24"/>
              </w:rPr>
              <w:t>Proporção das internações para o parto de pacientes do SUS encaminhados para outros municípios</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ind w:hanging="32"/>
              <w:jc w:val="center"/>
              <w:rPr>
                <w:rFonts w:cs="Times New Roman"/>
                <w:color w:val="000000" w:themeColor="text1"/>
                <w:szCs w:val="24"/>
              </w:rPr>
            </w:pPr>
            <w:r w:rsidRPr="002558A4">
              <w:rPr>
                <w:rFonts w:cs="Times New Roman"/>
                <w:color w:val="000000" w:themeColor="text1"/>
                <w:szCs w:val="24"/>
              </w:rPr>
              <w:t>%</w:t>
            </w:r>
          </w:p>
        </w:tc>
        <w:tc>
          <w:tcPr>
            <w:tcW w:w="1985" w:type="dxa"/>
            <w:tcBorders>
              <w:top w:val="single" w:sz="6"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jc w:val="center"/>
              <w:rPr>
                <w:rFonts w:cs="Times New Roman"/>
                <w:color w:val="000000" w:themeColor="text1"/>
                <w:szCs w:val="24"/>
              </w:rPr>
            </w:pPr>
            <w:r w:rsidRPr="002558A4">
              <w:rPr>
                <w:rFonts w:cs="Times New Roman"/>
                <w:color w:val="000000" w:themeColor="text1"/>
                <w:szCs w:val="24"/>
              </w:rPr>
              <w:t>4,68</w:t>
            </w:r>
          </w:p>
        </w:tc>
      </w:tr>
      <w:tr w:rsidR="00192DB6" w:rsidRPr="002558A4" w:rsidTr="001D0A62">
        <w:trPr>
          <w:trHeight w:val="624"/>
        </w:trPr>
        <w:tc>
          <w:tcPr>
            <w:tcW w:w="6379" w:type="dxa"/>
            <w:tcBorders>
              <w:top w:val="single" w:sz="6"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jc w:val="both"/>
              <w:rPr>
                <w:rFonts w:cs="Times New Roman"/>
                <w:color w:val="000000" w:themeColor="text1"/>
                <w:szCs w:val="24"/>
              </w:rPr>
            </w:pPr>
            <w:r w:rsidRPr="002558A4">
              <w:rPr>
                <w:rFonts w:cs="Times New Roman"/>
                <w:color w:val="000000" w:themeColor="text1"/>
                <w:szCs w:val="24"/>
              </w:rPr>
              <w:t>Proporção de Óbitos por causas mal definidas</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ind w:hanging="32"/>
              <w:jc w:val="center"/>
              <w:rPr>
                <w:rFonts w:cs="Times New Roman"/>
                <w:color w:val="000000" w:themeColor="text1"/>
                <w:szCs w:val="24"/>
              </w:rPr>
            </w:pPr>
            <w:r w:rsidRPr="002558A4">
              <w:rPr>
                <w:rFonts w:cs="Times New Roman"/>
                <w:color w:val="000000" w:themeColor="text1"/>
                <w:szCs w:val="24"/>
              </w:rPr>
              <w:t>%</w:t>
            </w:r>
          </w:p>
        </w:tc>
        <w:tc>
          <w:tcPr>
            <w:tcW w:w="1985" w:type="dxa"/>
            <w:tcBorders>
              <w:top w:val="single" w:sz="6"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jc w:val="center"/>
              <w:rPr>
                <w:rFonts w:cs="Times New Roman"/>
                <w:color w:val="000000" w:themeColor="text1"/>
                <w:szCs w:val="24"/>
              </w:rPr>
            </w:pPr>
            <w:r w:rsidRPr="002558A4">
              <w:rPr>
                <w:rFonts w:cs="Times New Roman"/>
                <w:color w:val="000000" w:themeColor="text1"/>
                <w:szCs w:val="24"/>
              </w:rPr>
              <w:t>21,11</w:t>
            </w:r>
          </w:p>
        </w:tc>
      </w:tr>
      <w:tr w:rsidR="00192DB6" w:rsidRPr="002558A4" w:rsidTr="001D0A62">
        <w:trPr>
          <w:trHeight w:val="624"/>
        </w:trPr>
        <w:tc>
          <w:tcPr>
            <w:tcW w:w="6379" w:type="dxa"/>
            <w:tcBorders>
              <w:top w:val="single" w:sz="6"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jc w:val="both"/>
              <w:rPr>
                <w:rFonts w:cs="Times New Roman"/>
                <w:color w:val="000000" w:themeColor="text1"/>
                <w:szCs w:val="24"/>
              </w:rPr>
            </w:pPr>
            <w:r w:rsidRPr="002558A4">
              <w:rPr>
                <w:rFonts w:cs="Times New Roman"/>
                <w:color w:val="000000" w:themeColor="text1"/>
                <w:szCs w:val="24"/>
              </w:rPr>
              <w:t>Proporção de Internações por doenças relacionadas ao saneamento ambiental inadequado</w:t>
            </w:r>
          </w:p>
        </w:tc>
        <w:tc>
          <w:tcPr>
            <w:tcW w:w="1701" w:type="dxa"/>
            <w:tcBorders>
              <w:top w:val="single" w:sz="6"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ind w:hanging="32"/>
              <w:jc w:val="center"/>
              <w:rPr>
                <w:rFonts w:cs="Times New Roman"/>
                <w:color w:val="000000" w:themeColor="text1"/>
                <w:szCs w:val="24"/>
              </w:rPr>
            </w:pPr>
            <w:r w:rsidRPr="002558A4">
              <w:rPr>
                <w:rFonts w:cs="Times New Roman"/>
                <w:color w:val="000000" w:themeColor="text1"/>
                <w:szCs w:val="24"/>
              </w:rPr>
              <w:t>%</w:t>
            </w:r>
          </w:p>
        </w:tc>
        <w:tc>
          <w:tcPr>
            <w:tcW w:w="1985" w:type="dxa"/>
            <w:tcBorders>
              <w:top w:val="single" w:sz="6" w:space="0" w:color="auto"/>
              <w:left w:val="single" w:sz="12" w:space="0" w:color="auto"/>
              <w:bottom w:val="single" w:sz="6"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jc w:val="center"/>
              <w:rPr>
                <w:rFonts w:cs="Times New Roman"/>
                <w:color w:val="000000" w:themeColor="text1"/>
                <w:szCs w:val="24"/>
              </w:rPr>
            </w:pPr>
            <w:r w:rsidRPr="002558A4">
              <w:rPr>
                <w:rFonts w:cs="Times New Roman"/>
                <w:color w:val="000000" w:themeColor="text1"/>
                <w:szCs w:val="24"/>
              </w:rPr>
              <w:t>5,05</w:t>
            </w:r>
          </w:p>
        </w:tc>
      </w:tr>
      <w:tr w:rsidR="00192DB6" w:rsidRPr="002558A4" w:rsidTr="001D0A62">
        <w:trPr>
          <w:trHeight w:val="624"/>
        </w:trPr>
        <w:tc>
          <w:tcPr>
            <w:tcW w:w="6379" w:type="dxa"/>
            <w:tcBorders>
              <w:top w:val="single" w:sz="6" w:space="0" w:color="auto"/>
              <w:left w:val="single" w:sz="12" w:space="0" w:color="auto"/>
              <w:bottom w:val="single" w:sz="12"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jc w:val="both"/>
              <w:rPr>
                <w:rFonts w:cs="Times New Roman"/>
                <w:color w:val="000000" w:themeColor="text1"/>
                <w:szCs w:val="24"/>
              </w:rPr>
            </w:pPr>
            <w:r w:rsidRPr="002558A4">
              <w:rPr>
                <w:rFonts w:cs="Times New Roman"/>
                <w:color w:val="000000" w:themeColor="text1"/>
                <w:szCs w:val="24"/>
              </w:rPr>
              <w:t>Proporção de Internações por doenças de veiculação hídrica</w:t>
            </w:r>
          </w:p>
        </w:tc>
        <w:tc>
          <w:tcPr>
            <w:tcW w:w="1701" w:type="dxa"/>
            <w:tcBorders>
              <w:top w:val="single" w:sz="6" w:space="0" w:color="auto"/>
              <w:left w:val="single" w:sz="12" w:space="0" w:color="auto"/>
              <w:bottom w:val="single" w:sz="12"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ind w:hanging="32"/>
              <w:jc w:val="center"/>
              <w:rPr>
                <w:rFonts w:cs="Times New Roman"/>
                <w:color w:val="000000" w:themeColor="text1"/>
                <w:szCs w:val="24"/>
              </w:rPr>
            </w:pPr>
            <w:r w:rsidRPr="002558A4">
              <w:rPr>
                <w:rFonts w:cs="Times New Roman"/>
                <w:color w:val="000000" w:themeColor="text1"/>
                <w:szCs w:val="24"/>
              </w:rPr>
              <w:t>%</w:t>
            </w:r>
          </w:p>
        </w:tc>
        <w:tc>
          <w:tcPr>
            <w:tcW w:w="1985" w:type="dxa"/>
            <w:tcBorders>
              <w:top w:val="single" w:sz="6" w:space="0" w:color="auto"/>
              <w:left w:val="single" w:sz="12" w:space="0" w:color="auto"/>
              <w:bottom w:val="single" w:sz="12" w:space="0" w:color="auto"/>
              <w:right w:val="single" w:sz="12" w:space="0" w:color="auto"/>
            </w:tcBorders>
            <w:vAlign w:val="center"/>
          </w:tcPr>
          <w:p w:rsidR="00192DB6" w:rsidRPr="002558A4" w:rsidRDefault="00192DB6" w:rsidP="00122C0C">
            <w:pPr>
              <w:autoSpaceDE w:val="0"/>
              <w:autoSpaceDN w:val="0"/>
              <w:adjustRightInd w:val="0"/>
              <w:spacing w:before="120" w:after="120" w:line="240" w:lineRule="auto"/>
              <w:jc w:val="center"/>
              <w:rPr>
                <w:rFonts w:cs="Times New Roman"/>
                <w:color w:val="000000" w:themeColor="text1"/>
                <w:szCs w:val="24"/>
              </w:rPr>
            </w:pPr>
            <w:r w:rsidRPr="002558A4">
              <w:rPr>
                <w:rFonts w:cs="Times New Roman"/>
                <w:color w:val="000000" w:themeColor="text1"/>
                <w:szCs w:val="24"/>
              </w:rPr>
              <w:t>5,71</w:t>
            </w:r>
          </w:p>
        </w:tc>
      </w:tr>
    </w:tbl>
    <w:p w:rsidR="00192DB6" w:rsidRPr="00C71E1A" w:rsidRDefault="00192DB6" w:rsidP="0024203B">
      <w:pPr>
        <w:pStyle w:val="Fonte"/>
        <w:ind w:left="142"/>
        <w:rPr>
          <w:sz w:val="28"/>
          <w:szCs w:val="28"/>
        </w:rPr>
      </w:pPr>
      <w:r w:rsidRPr="00C71E1A">
        <w:t>FONTE: FJP (2013)</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Em 2010, foram registrados 338 nascidos, sendo que o índice de mortalidade infantil a cada mil crianças menores de cinco anos de idade apresentou uma tendência de queda (F</w:t>
      </w:r>
      <w:r w:rsidR="0024203B">
        <w:rPr>
          <w:rFonts w:ascii="Times New Roman" w:hAnsi="Times New Roman" w:cs="Times New Roman"/>
        </w:rPr>
        <w:t>igura</w:t>
      </w:r>
      <w:r w:rsidRPr="007A0B11">
        <w:rPr>
          <w:rFonts w:ascii="Times New Roman" w:hAnsi="Times New Roman" w:cs="Times New Roman"/>
        </w:rPr>
        <w:t xml:space="preserve"> </w:t>
      </w:r>
      <w:r w:rsidR="0024203B">
        <w:rPr>
          <w:rFonts w:ascii="Times New Roman" w:hAnsi="Times New Roman" w:cs="Times New Roman"/>
        </w:rPr>
        <w:t>32</w:t>
      </w:r>
      <w:r w:rsidRPr="007A0B11">
        <w:rPr>
          <w:rFonts w:ascii="Times New Roman" w:hAnsi="Times New Roman" w:cs="Times New Roman"/>
        </w:rPr>
        <w:t>), passando de 64, 0 para 20,8, no período de 1995/2011 (BRASIL,2013).</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 Esse comportamento é semelhante à realidade brasileira, considerando que o Brasil apresentou queda de 65% entre 1990 e 2010. O número de óbitos por mil nascidos vivos passou de 53,7 para 19 óbitos (ODM, 2013).</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Os indicadores demonstram que tanto as taxas de mortalidade na infância (menores de 5 anos) e infantil (menores de 1 ano) apresentaram forte queda entre 1990 e 2010. Segundo ODM (2013), a taxa de mortalidade infantil (menores de 1 ano), concentrada nos primeiros meses de vida, no período neonatal precoce (0 a 6 dias) e neonatal tardio (7 a 27 dias), passou de 29,7, em 2000, para 15,6, em 2010. Essa taxa é menor que a meta prevista para 2015, de 15,7 por mil nascidos vivos. </w:t>
      </w:r>
    </w:p>
    <w:p w:rsidR="002558A4" w:rsidRDefault="002558A4">
      <w:pPr>
        <w:spacing w:after="200" w:line="276" w:lineRule="auto"/>
        <w:rPr>
          <w:rFonts w:eastAsiaTheme="minorEastAsia" w:cs="Times New Roman"/>
          <w:bCs/>
          <w:szCs w:val="24"/>
          <w:lang w:val="pt-PT" w:eastAsia="pt-BR"/>
        </w:rPr>
      </w:pPr>
      <w:r>
        <w:rPr>
          <w:lang w:val="pt-PT"/>
        </w:rPr>
        <w:br w:type="page"/>
      </w:r>
    </w:p>
    <w:p w:rsidR="002558A4" w:rsidRPr="002558A4" w:rsidRDefault="00CB07F3" w:rsidP="00CB07F3">
      <w:pPr>
        <w:pStyle w:val="Legenda"/>
        <w:rPr>
          <w:lang w:val="pt-PT"/>
        </w:rPr>
      </w:pPr>
      <w:bookmarkStart w:id="132" w:name="_Toc372740115"/>
      <w:r>
        <w:lastRenderedPageBreak/>
        <w:t xml:space="preserve">Figura </w:t>
      </w:r>
      <w:fldSimple w:instr=" SEQ Figura \* ARABIC ">
        <w:r w:rsidR="004F77E2">
          <w:rPr>
            <w:noProof/>
          </w:rPr>
          <w:t>32</w:t>
        </w:r>
      </w:fldSimple>
      <w:r>
        <w:t xml:space="preserve"> </w:t>
      </w:r>
      <w:r w:rsidRPr="006A6F0F">
        <w:t>-Taxa de mortalidade de menores de 5 anos, Aimorés/MG, 1995/2011.</w:t>
      </w:r>
      <w:bookmarkEnd w:id="132"/>
    </w:p>
    <w:p w:rsidR="00192DB6" w:rsidRDefault="00192DB6" w:rsidP="00192DB6">
      <w:pPr>
        <w:autoSpaceDE w:val="0"/>
        <w:autoSpaceDN w:val="0"/>
        <w:adjustRightInd w:val="0"/>
        <w:spacing w:after="0" w:line="360" w:lineRule="auto"/>
        <w:jc w:val="both"/>
        <w:rPr>
          <w:rFonts w:ascii="Comic Sans MS" w:hAnsi="Comic Sans MS" w:cs="Calibri"/>
          <w:color w:val="000000" w:themeColor="text1"/>
          <w:sz w:val="28"/>
          <w:szCs w:val="28"/>
          <w:lang w:val="pt-PT"/>
        </w:rPr>
      </w:pPr>
      <w:r w:rsidRPr="00834AF7">
        <w:rPr>
          <w:noProof/>
          <w:lang w:eastAsia="pt-BR"/>
        </w:rPr>
        <w:drawing>
          <wp:inline distT="0" distB="0" distL="0" distR="0" wp14:anchorId="41A955BA" wp14:editId="184AA99F">
            <wp:extent cx="5412395" cy="3248726"/>
            <wp:effectExtent l="19050" t="0" r="0" b="0"/>
            <wp:docPr id="2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415999" cy="3250889"/>
                    </a:xfrm>
                    <a:prstGeom prst="rect">
                      <a:avLst/>
                    </a:prstGeom>
                    <a:noFill/>
                    <a:ln>
                      <a:noFill/>
                    </a:ln>
                  </pic:spPr>
                </pic:pic>
              </a:graphicData>
            </a:graphic>
          </wp:inline>
        </w:drawing>
      </w:r>
    </w:p>
    <w:p w:rsidR="00192DB6" w:rsidRPr="003D3D87" w:rsidRDefault="00192DB6" w:rsidP="00CE6EAD">
      <w:pPr>
        <w:pStyle w:val="Fonte"/>
        <w:spacing w:before="0"/>
        <w:rPr>
          <w:lang w:val="pt-PT"/>
        </w:rPr>
      </w:pPr>
      <w:r>
        <w:rPr>
          <w:lang w:val="pt-PT"/>
        </w:rPr>
        <w:t xml:space="preserve">FONTE:DATASUS (2013).  </w:t>
      </w:r>
    </w:p>
    <w:p w:rsidR="00192DB6" w:rsidRPr="007A0B11" w:rsidRDefault="00192DB6" w:rsidP="0024203B">
      <w:pPr>
        <w:pStyle w:val="CM72"/>
        <w:spacing w:line="360" w:lineRule="auto"/>
        <w:ind w:firstLine="709"/>
        <w:jc w:val="both"/>
        <w:rPr>
          <w:rFonts w:ascii="Times New Roman" w:hAnsi="Times New Roman" w:cs="Times New Roman"/>
        </w:rPr>
      </w:pPr>
      <w:r w:rsidRPr="007A0B11">
        <w:rPr>
          <w:rFonts w:ascii="Times New Roman" w:hAnsi="Times New Roman" w:cs="Times New Roman"/>
        </w:rPr>
        <w:t>Na Microrregião de Aimorés, no ano de 2000, em 07 municípios (53,8%), a mortalidade infantil até 1 ano predominou ente 22,5 e 30,0 por cada mil nascidos vivos, situando-se Aimorés em 22,16, com Brasil em 30,57 (PNUD, 2000).</w:t>
      </w:r>
    </w:p>
    <w:p w:rsidR="00192DB6" w:rsidRPr="007A0B11" w:rsidRDefault="00192DB6" w:rsidP="0024203B">
      <w:pPr>
        <w:pStyle w:val="CM72"/>
        <w:spacing w:line="360" w:lineRule="auto"/>
        <w:ind w:firstLine="709"/>
        <w:jc w:val="both"/>
        <w:rPr>
          <w:rFonts w:ascii="Times New Roman" w:hAnsi="Times New Roman" w:cs="Times New Roman"/>
        </w:rPr>
      </w:pPr>
      <w:r w:rsidRPr="007A0B11">
        <w:rPr>
          <w:rFonts w:ascii="Times New Roman" w:hAnsi="Times New Roman" w:cs="Times New Roman"/>
        </w:rPr>
        <w:t>Uma maior redução da mortalidade infantil depende tanto do acompanhamento pré-natal quanto da cobertura da vacinação, dentre outros fatores. Em 2011, no município de Aimorés, as gestantes com 7,0 ou mais consultas foram 64,7%. Por outro lado, a proporção de gestantes sem acompanhamento pré-natal, em 2011, neste município, foi de 1,4% (F</w:t>
      </w:r>
      <w:r w:rsidR="0024203B">
        <w:rPr>
          <w:rFonts w:ascii="Times New Roman" w:hAnsi="Times New Roman" w:cs="Times New Roman"/>
        </w:rPr>
        <w:t>igura 33</w:t>
      </w:r>
      <w:r w:rsidRPr="007A0B11">
        <w:rPr>
          <w:rFonts w:ascii="Times New Roman" w:hAnsi="Times New Roman" w:cs="Times New Roman"/>
        </w:rPr>
        <w:t xml:space="preserve">), enquanto que no Brasil foi de 1,8%. </w:t>
      </w:r>
    </w:p>
    <w:p w:rsidR="00192DB6" w:rsidRPr="007A0B11" w:rsidRDefault="00192DB6" w:rsidP="0024203B">
      <w:pPr>
        <w:pStyle w:val="CM72"/>
        <w:spacing w:line="360" w:lineRule="auto"/>
        <w:ind w:firstLine="709"/>
        <w:jc w:val="both"/>
        <w:rPr>
          <w:rFonts w:ascii="Times New Roman" w:hAnsi="Times New Roman" w:cs="Times New Roman"/>
        </w:rPr>
      </w:pPr>
      <w:r w:rsidRPr="007A0B11">
        <w:rPr>
          <w:rFonts w:ascii="Times New Roman" w:hAnsi="Times New Roman" w:cs="Times New Roman"/>
        </w:rPr>
        <w:t>O Ministério da Saúde recomenda, no mínimo, seis consultas pré-natais durante a gravidez. Quanto maior o número de consultas pré-natais, maior a segurança da gestação e parto; prevenindo, assim, a saúde da mãe e do bebê (DATASUS, 2013).</w:t>
      </w:r>
    </w:p>
    <w:p w:rsidR="002558A4" w:rsidRDefault="002558A4">
      <w:pPr>
        <w:spacing w:after="200" w:line="276" w:lineRule="auto"/>
        <w:rPr>
          <w:rFonts w:eastAsiaTheme="minorEastAsia" w:cs="Times New Roman"/>
          <w:bCs/>
          <w:szCs w:val="24"/>
          <w:lang w:val="pt-PT" w:eastAsia="pt-BR"/>
        </w:rPr>
      </w:pPr>
      <w:r>
        <w:rPr>
          <w:lang w:val="pt-PT"/>
        </w:rPr>
        <w:br w:type="page"/>
      </w:r>
    </w:p>
    <w:p w:rsidR="002558A4" w:rsidRPr="002558A4" w:rsidRDefault="00CB07F3" w:rsidP="00CB07F3">
      <w:pPr>
        <w:pStyle w:val="Legenda"/>
        <w:rPr>
          <w:lang w:val="pt-PT"/>
        </w:rPr>
      </w:pPr>
      <w:bookmarkStart w:id="133" w:name="_Toc372740116"/>
      <w:r>
        <w:lastRenderedPageBreak/>
        <w:t xml:space="preserve">Figura </w:t>
      </w:r>
      <w:fldSimple w:instr=" SEQ Figura \* ARABIC ">
        <w:r w:rsidR="004F77E2">
          <w:rPr>
            <w:noProof/>
          </w:rPr>
          <w:t>33</w:t>
        </w:r>
      </w:fldSimple>
      <w:r>
        <w:t xml:space="preserve"> - </w:t>
      </w:r>
      <w:r w:rsidRPr="00E225BE">
        <w:t>Percentual de crianças nascidas vivas por número de consultas pré-natais, Aimorés/MG, 2011.</w:t>
      </w:r>
      <w:bookmarkEnd w:id="133"/>
    </w:p>
    <w:p w:rsidR="00192DB6" w:rsidRDefault="00192DB6" w:rsidP="00192DB6">
      <w:pPr>
        <w:autoSpaceDE w:val="0"/>
        <w:autoSpaceDN w:val="0"/>
        <w:adjustRightInd w:val="0"/>
        <w:spacing w:after="0" w:line="360" w:lineRule="auto"/>
        <w:jc w:val="both"/>
        <w:rPr>
          <w:rFonts w:ascii="Comic Sans MS" w:hAnsi="Comic Sans MS" w:cs="Calibri"/>
          <w:color w:val="000000" w:themeColor="text1"/>
          <w:sz w:val="28"/>
          <w:szCs w:val="28"/>
          <w:lang w:val="pt-PT"/>
        </w:rPr>
      </w:pPr>
      <w:r w:rsidRPr="00834AF7">
        <w:rPr>
          <w:noProof/>
          <w:lang w:eastAsia="pt-BR"/>
        </w:rPr>
        <w:drawing>
          <wp:inline distT="0" distB="0" distL="0" distR="0" wp14:anchorId="035A0591" wp14:editId="2F94461F">
            <wp:extent cx="5402507" cy="3373546"/>
            <wp:effectExtent l="19050" t="0" r="7693" b="0"/>
            <wp:docPr id="229"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406105" cy="3375793"/>
                    </a:xfrm>
                    <a:prstGeom prst="rect">
                      <a:avLst/>
                    </a:prstGeom>
                    <a:noFill/>
                    <a:ln>
                      <a:noFill/>
                    </a:ln>
                  </pic:spPr>
                </pic:pic>
              </a:graphicData>
            </a:graphic>
          </wp:inline>
        </w:drawing>
      </w:r>
    </w:p>
    <w:p w:rsidR="00192DB6" w:rsidRPr="003E2FAE" w:rsidRDefault="00192DB6" w:rsidP="00CE6EAD">
      <w:pPr>
        <w:pStyle w:val="Fonte"/>
        <w:spacing w:before="0"/>
        <w:rPr>
          <w:lang w:val="pt-PT"/>
        </w:rPr>
      </w:pPr>
      <w:r>
        <w:rPr>
          <w:lang w:val="pt-PT"/>
        </w:rPr>
        <w:t xml:space="preserve">FONTE: DATASUS (2013) </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Outra ação importante para a redução da mortalidade infantil é a prevenção através de imunização contra doenças </w:t>
      </w:r>
      <w:r w:rsidR="00CB07F3" w:rsidRPr="007A0B11">
        <w:rPr>
          <w:rFonts w:ascii="Times New Roman" w:hAnsi="Times New Roman" w:cs="Times New Roman"/>
        </w:rPr>
        <w:t>infectocontagiosas</w:t>
      </w:r>
      <w:r w:rsidRPr="007A0B11">
        <w:rPr>
          <w:rFonts w:ascii="Times New Roman" w:hAnsi="Times New Roman" w:cs="Times New Roman"/>
        </w:rPr>
        <w:t>. No município de Aimorés, em 2012, 88,7% das crianças menores de 1,0 ano estavam com a carteira de vacinação em dia (F</w:t>
      </w:r>
      <w:r w:rsidR="00C34884">
        <w:rPr>
          <w:rFonts w:ascii="Times New Roman" w:hAnsi="Times New Roman" w:cs="Times New Roman"/>
        </w:rPr>
        <w:t>igura</w:t>
      </w:r>
      <w:r w:rsidRPr="007A0B11">
        <w:rPr>
          <w:rFonts w:ascii="Times New Roman" w:hAnsi="Times New Roman" w:cs="Times New Roman"/>
        </w:rPr>
        <w:t xml:space="preserve"> </w:t>
      </w:r>
      <w:r w:rsidR="00C34884">
        <w:rPr>
          <w:rFonts w:ascii="Times New Roman" w:hAnsi="Times New Roman" w:cs="Times New Roman"/>
        </w:rPr>
        <w:t>34</w:t>
      </w:r>
      <w:r w:rsidRPr="007A0B11">
        <w:rPr>
          <w:rFonts w:ascii="Times New Roman" w:hAnsi="Times New Roman" w:cs="Times New Roman"/>
        </w:rPr>
        <w:t>), valor inferior ao da realidade brasileira (97,3%, em 2012) e do ano de 2000 (95,4%).</w:t>
      </w:r>
    </w:p>
    <w:p w:rsidR="00192DB6"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Por meio do Programa Nacional de Imunizações (PNI), a cobertura da vacina tetravalente, que protege crianças contra difteria, coqueluche, tétano e infecções respiratórias, em crianças menores de um ano, foi de 100,0%, demonstrando uma ação efetiva de promoção integral da saúde das crianças, em regime de cooperação entre governos e sociedade. </w:t>
      </w:r>
    </w:p>
    <w:p w:rsidR="00C34884" w:rsidRPr="007A0B11" w:rsidRDefault="00C34884" w:rsidP="00C34884">
      <w:pPr>
        <w:pStyle w:val="CM72"/>
        <w:spacing w:line="360" w:lineRule="auto"/>
        <w:ind w:firstLine="709"/>
        <w:jc w:val="both"/>
        <w:rPr>
          <w:rFonts w:ascii="Times New Roman" w:hAnsi="Times New Roman" w:cs="Times New Roman"/>
        </w:rPr>
      </w:pPr>
      <w:r w:rsidRPr="007A0B11">
        <w:rPr>
          <w:rFonts w:ascii="Times New Roman" w:hAnsi="Times New Roman" w:cs="Times New Roman"/>
        </w:rPr>
        <w:t>Segundo a FJP (2013), os gastos per capita das atividades de saúde foram de R$182,55 (R$ de dez/2010/hab</w:t>
      </w:r>
      <w:r>
        <w:rPr>
          <w:rFonts w:ascii="Times New Roman" w:hAnsi="Times New Roman" w:cs="Times New Roman"/>
        </w:rPr>
        <w:t>.</w:t>
      </w:r>
      <w:r w:rsidRPr="007A0B11">
        <w:rPr>
          <w:rFonts w:ascii="Times New Roman" w:hAnsi="Times New Roman" w:cs="Times New Roman"/>
        </w:rPr>
        <w:t>), cuja destinação estava sob a gestão do Conselho Municipal de Saúde Essas atividades de saúde, dentre outros fatores, contribuíram para um incremento da probabilidade de sobrevivência até 60 anos e, portanto, um aumento da esperança de vida ao nascer, que passou de 63,92 anos, em 1991, para 72,29 anos, em 2000 (PNUD, 2000).</w:t>
      </w:r>
    </w:p>
    <w:p w:rsidR="002558A4" w:rsidRPr="002558A4" w:rsidRDefault="00CB07F3" w:rsidP="00CB07F3">
      <w:pPr>
        <w:pStyle w:val="Legenda"/>
      </w:pPr>
      <w:bookmarkStart w:id="134" w:name="_Toc372740117"/>
      <w:r>
        <w:lastRenderedPageBreak/>
        <w:t xml:space="preserve">Figura </w:t>
      </w:r>
      <w:fldSimple w:instr=" SEQ Figura \* ARABIC ">
        <w:r w:rsidR="004F77E2">
          <w:rPr>
            <w:noProof/>
          </w:rPr>
          <w:t>34</w:t>
        </w:r>
      </w:fldSimple>
      <w:r>
        <w:t xml:space="preserve"> - </w:t>
      </w:r>
      <w:r w:rsidRPr="00761B33">
        <w:t>Percentual de crianças menores de 1 ano com vacinação em dia, Aimorés/MG, 2000/2012.</w:t>
      </w:r>
      <w:bookmarkEnd w:id="134"/>
    </w:p>
    <w:p w:rsidR="00192DB6" w:rsidRPr="00DF6A06" w:rsidRDefault="00192DB6" w:rsidP="00CE6EAD">
      <w:pPr>
        <w:autoSpaceDE w:val="0"/>
        <w:autoSpaceDN w:val="0"/>
        <w:adjustRightInd w:val="0"/>
        <w:spacing w:after="0" w:line="360" w:lineRule="auto"/>
        <w:jc w:val="center"/>
        <w:rPr>
          <w:rFonts w:ascii="Comic Sans MS" w:hAnsi="Comic Sans MS" w:cs="Calibri"/>
          <w:color w:val="000000" w:themeColor="text1"/>
          <w:sz w:val="28"/>
          <w:szCs w:val="28"/>
        </w:rPr>
      </w:pPr>
      <w:r w:rsidRPr="0023262D">
        <w:rPr>
          <w:noProof/>
          <w:lang w:eastAsia="pt-BR"/>
        </w:rPr>
        <w:drawing>
          <wp:inline distT="0" distB="0" distL="0" distR="0" wp14:anchorId="6652E0CF" wp14:editId="14876554">
            <wp:extent cx="5007335" cy="3005593"/>
            <wp:effectExtent l="19050" t="0" r="2815" b="0"/>
            <wp:docPr id="230"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15802" cy="3010675"/>
                    </a:xfrm>
                    <a:prstGeom prst="rect">
                      <a:avLst/>
                    </a:prstGeom>
                    <a:noFill/>
                    <a:ln>
                      <a:noFill/>
                    </a:ln>
                  </pic:spPr>
                </pic:pic>
              </a:graphicData>
            </a:graphic>
          </wp:inline>
        </w:drawing>
      </w:r>
    </w:p>
    <w:p w:rsidR="00192DB6" w:rsidRPr="002558A4" w:rsidRDefault="00192DB6" w:rsidP="00CE6EAD">
      <w:pPr>
        <w:pStyle w:val="Fonte"/>
        <w:spacing w:before="0"/>
        <w:ind w:left="426"/>
      </w:pPr>
      <w:r w:rsidRPr="0023262D">
        <w:t>FONTE: DATASUS (2013)</w:t>
      </w:r>
    </w:p>
    <w:p w:rsidR="00192DB6" w:rsidRPr="004803AF" w:rsidRDefault="008E169C" w:rsidP="00971B37">
      <w:pPr>
        <w:pStyle w:val="Titulo"/>
      </w:pPr>
      <w:bookmarkStart w:id="135" w:name="_Toc372559060"/>
      <w:bookmarkStart w:id="136" w:name="_Toc372789500"/>
      <w:r>
        <w:t xml:space="preserve">8.3.6 </w:t>
      </w:r>
      <w:r w:rsidR="00192DB6" w:rsidRPr="004803AF">
        <w:t>Vulnerabilidade e Assistência Social</w:t>
      </w:r>
      <w:bookmarkEnd w:id="135"/>
      <w:bookmarkEnd w:id="136"/>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A Vulnerabilidade Social representa o volume adicional necessário para que os indivíduos/famílias possam satisfazer suas necessidades básicas. Para tanto, para identificar a situação de vulnerabilidade social do município de Aimorés, foi feito uso dos critérios propostos pela PNUD (2000), que foram: Percentual de pessoas pobres e indigentes; Nível da renda per capita; Presença de crianças em Famílias Pobres (renda inferior a 0,5 S.M.) e Indigentes (renda inferior a ¼ do S.M.); Presença de crianças fora da escola, Famílias Monoparentais (sem cônjuge e com filhos menores de 5 anos); Ocorrência da gravidez precoce (Adolescentes de 15 a 17 anos com filhos) e do Trabalho Precoce (Crianças de 10 a 14 anos trabalhando), Pessoas idosas morando sozinha; além de moradia com serviço de infraestruturas inadequadas (domicílios com densidade maior que 2,0).</w:t>
      </w:r>
    </w:p>
    <w:p w:rsidR="00192DB6"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Os resultados apresentados no Quadro </w:t>
      </w:r>
      <w:r w:rsidR="00122C0C">
        <w:rPr>
          <w:rFonts w:ascii="Times New Roman" w:hAnsi="Times New Roman" w:cs="Times New Roman"/>
        </w:rPr>
        <w:t>12</w:t>
      </w:r>
      <w:r w:rsidRPr="007A0B11">
        <w:rPr>
          <w:rFonts w:ascii="Times New Roman" w:hAnsi="Times New Roman" w:cs="Times New Roman"/>
        </w:rPr>
        <w:t xml:space="preserve"> mostram que os critérios de maior vulnerabilidade social estão associados ao estado de pobreza, principalmente à presença de Famílias Pobres (renda inferior a 0,5 S.M.), com crianças (62,79%), no ano de 2000. O percentual expressivo de pessoas abaixo da linha da pobreza (44,86%), resultante de uma baixa renda per capita conduziu a que houvesse um percentual expressivo de crianças e </w:t>
      </w:r>
      <w:r w:rsidRPr="007A0B11">
        <w:rPr>
          <w:rFonts w:ascii="Times New Roman" w:hAnsi="Times New Roman" w:cs="Times New Roman"/>
        </w:rPr>
        <w:lastRenderedPageBreak/>
        <w:t>adolescentes fora da escola, principalmente entre adolescentes (33,28%), valor que era superior à realidade do Brasil (22,29%); bem como de trabalho precoce (9,82%), valor superior ao da média brasileira (6,0%).</w:t>
      </w:r>
    </w:p>
    <w:p w:rsidR="00122C0C" w:rsidRPr="00122C0C" w:rsidRDefault="00B02273" w:rsidP="00B02273">
      <w:pPr>
        <w:pStyle w:val="Legenda"/>
        <w:rPr>
          <w:b w:val="0"/>
        </w:rPr>
      </w:pPr>
      <w:bookmarkStart w:id="137" w:name="_Toc372740518"/>
      <w:r>
        <w:t xml:space="preserve">Quadro </w:t>
      </w:r>
      <w:fldSimple w:instr=" SEQ Quadro \* ARABIC ">
        <w:r w:rsidR="004F77E2">
          <w:rPr>
            <w:noProof/>
          </w:rPr>
          <w:t>12</w:t>
        </w:r>
      </w:fldSimple>
      <w:r>
        <w:t xml:space="preserve"> - </w:t>
      </w:r>
      <w:r w:rsidRPr="00E1502E">
        <w:rPr>
          <w:noProof/>
        </w:rPr>
        <w:t>Indicadores de Vulnerabilidade Social das Famílias de Aimorés/MG, 1991/2000.</w:t>
      </w:r>
      <w:bookmarkEnd w:id="137"/>
    </w:p>
    <w:tbl>
      <w:tblPr>
        <w:tblStyle w:val="Tabelacomgrade"/>
        <w:tblW w:w="8505" w:type="dxa"/>
        <w:tblInd w:w="108" w:type="dxa"/>
        <w:tblLayout w:type="fixed"/>
        <w:tblLook w:val="04A0" w:firstRow="1" w:lastRow="0" w:firstColumn="1" w:lastColumn="0" w:noHBand="0" w:noVBand="1"/>
      </w:tblPr>
      <w:tblGrid>
        <w:gridCol w:w="4253"/>
        <w:gridCol w:w="1276"/>
        <w:gridCol w:w="1559"/>
        <w:gridCol w:w="1417"/>
      </w:tblGrid>
      <w:tr w:rsidR="00122C0C" w:rsidRPr="00122C0C" w:rsidTr="003A071C">
        <w:trPr>
          <w:trHeight w:val="510"/>
        </w:trPr>
        <w:tc>
          <w:tcPr>
            <w:tcW w:w="4253" w:type="dxa"/>
            <w:vMerge w:val="restart"/>
            <w:tcBorders>
              <w:top w:val="single" w:sz="12" w:space="0" w:color="auto"/>
              <w:left w:val="single" w:sz="12" w:space="0" w:color="auto"/>
              <w:right w:val="single" w:sz="12" w:space="0" w:color="auto"/>
            </w:tcBorders>
            <w:shd w:val="clear" w:color="auto" w:fill="BFBFBF" w:themeFill="background1" w:themeFillShade="BF"/>
            <w:vAlign w:val="center"/>
          </w:tcPr>
          <w:p w:rsidR="00122C0C" w:rsidRPr="00122C0C" w:rsidRDefault="00122C0C" w:rsidP="00122C0C">
            <w:pPr>
              <w:spacing w:before="120" w:after="120" w:line="240" w:lineRule="auto"/>
              <w:jc w:val="center"/>
              <w:rPr>
                <w:rFonts w:cs="Times New Roman"/>
                <w:b/>
                <w:szCs w:val="24"/>
              </w:rPr>
            </w:pPr>
            <w:r w:rsidRPr="00122C0C">
              <w:rPr>
                <w:rFonts w:cs="Times New Roman"/>
                <w:b/>
                <w:szCs w:val="24"/>
              </w:rPr>
              <w:t>Indicadores</w:t>
            </w:r>
          </w:p>
        </w:tc>
        <w:tc>
          <w:tcPr>
            <w:tcW w:w="1276" w:type="dxa"/>
            <w:vMerge w:val="restart"/>
            <w:tcBorders>
              <w:top w:val="single" w:sz="12" w:space="0" w:color="auto"/>
              <w:left w:val="single" w:sz="12" w:space="0" w:color="auto"/>
              <w:right w:val="single" w:sz="12" w:space="0" w:color="auto"/>
            </w:tcBorders>
            <w:shd w:val="clear" w:color="auto" w:fill="BFBFBF" w:themeFill="background1" w:themeFillShade="BF"/>
            <w:vAlign w:val="center"/>
          </w:tcPr>
          <w:p w:rsidR="00122C0C" w:rsidRPr="00122C0C" w:rsidRDefault="00122C0C" w:rsidP="00122C0C">
            <w:pPr>
              <w:spacing w:before="120" w:after="120" w:line="240" w:lineRule="auto"/>
              <w:jc w:val="center"/>
              <w:rPr>
                <w:rFonts w:cs="Times New Roman"/>
                <w:b/>
                <w:szCs w:val="24"/>
              </w:rPr>
            </w:pPr>
            <w:r w:rsidRPr="00122C0C">
              <w:rPr>
                <w:rFonts w:cs="Times New Roman"/>
                <w:b/>
                <w:szCs w:val="24"/>
              </w:rPr>
              <w:t xml:space="preserve">Unid. </w:t>
            </w:r>
          </w:p>
        </w:tc>
        <w:tc>
          <w:tcPr>
            <w:tcW w:w="2976" w:type="dxa"/>
            <w:gridSpan w:val="2"/>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22C0C" w:rsidRPr="00122C0C" w:rsidRDefault="00122C0C" w:rsidP="00122C0C">
            <w:pPr>
              <w:spacing w:before="120" w:after="120" w:line="240" w:lineRule="auto"/>
              <w:jc w:val="center"/>
              <w:rPr>
                <w:rFonts w:cs="Times New Roman"/>
                <w:b/>
                <w:szCs w:val="24"/>
              </w:rPr>
            </w:pPr>
            <w:r w:rsidRPr="00122C0C">
              <w:rPr>
                <w:rFonts w:cs="Times New Roman"/>
                <w:b/>
                <w:szCs w:val="24"/>
              </w:rPr>
              <w:t>Valores</w:t>
            </w:r>
          </w:p>
        </w:tc>
      </w:tr>
      <w:tr w:rsidR="00122C0C" w:rsidRPr="00122C0C" w:rsidTr="003A071C">
        <w:trPr>
          <w:trHeight w:val="510"/>
        </w:trPr>
        <w:tc>
          <w:tcPr>
            <w:tcW w:w="4253" w:type="dxa"/>
            <w:vMerge/>
            <w:tcBorders>
              <w:left w:val="single" w:sz="12" w:space="0" w:color="auto"/>
              <w:bottom w:val="single" w:sz="12" w:space="0" w:color="auto"/>
              <w:right w:val="single" w:sz="12" w:space="0" w:color="auto"/>
            </w:tcBorders>
            <w:shd w:val="clear" w:color="auto" w:fill="BFBFBF" w:themeFill="background1" w:themeFillShade="BF"/>
            <w:vAlign w:val="center"/>
          </w:tcPr>
          <w:p w:rsidR="00122C0C" w:rsidRPr="00122C0C" w:rsidRDefault="00122C0C" w:rsidP="00122C0C">
            <w:pPr>
              <w:spacing w:before="120" w:after="120" w:line="240" w:lineRule="auto"/>
              <w:jc w:val="center"/>
              <w:rPr>
                <w:rFonts w:cs="Times New Roman"/>
                <w:b/>
                <w:szCs w:val="24"/>
              </w:rPr>
            </w:pPr>
          </w:p>
        </w:tc>
        <w:tc>
          <w:tcPr>
            <w:tcW w:w="1276" w:type="dxa"/>
            <w:vMerge/>
            <w:tcBorders>
              <w:left w:val="single" w:sz="12" w:space="0" w:color="auto"/>
              <w:bottom w:val="single" w:sz="12" w:space="0" w:color="auto"/>
              <w:right w:val="single" w:sz="12" w:space="0" w:color="auto"/>
            </w:tcBorders>
            <w:shd w:val="clear" w:color="auto" w:fill="BFBFBF" w:themeFill="background1" w:themeFillShade="BF"/>
            <w:vAlign w:val="center"/>
          </w:tcPr>
          <w:p w:rsidR="00122C0C" w:rsidRPr="00122C0C" w:rsidRDefault="00122C0C" w:rsidP="00122C0C">
            <w:pPr>
              <w:spacing w:before="120" w:after="120" w:line="240" w:lineRule="auto"/>
              <w:jc w:val="center"/>
              <w:rPr>
                <w:rFonts w:cs="Times New Roman"/>
                <w:b/>
                <w:szCs w:val="24"/>
              </w:rPr>
            </w:pPr>
          </w:p>
        </w:tc>
        <w:tc>
          <w:tcPr>
            <w:tcW w:w="1559"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22C0C" w:rsidRPr="00122C0C" w:rsidRDefault="00122C0C" w:rsidP="00122C0C">
            <w:pPr>
              <w:spacing w:before="120" w:after="120" w:line="240" w:lineRule="auto"/>
              <w:jc w:val="center"/>
              <w:rPr>
                <w:rFonts w:cs="Times New Roman"/>
                <w:b/>
                <w:szCs w:val="24"/>
              </w:rPr>
            </w:pPr>
            <w:r w:rsidRPr="00122C0C">
              <w:rPr>
                <w:rFonts w:cs="Times New Roman"/>
                <w:b/>
                <w:szCs w:val="24"/>
              </w:rPr>
              <w:t>1991</w:t>
            </w:r>
          </w:p>
        </w:tc>
        <w:tc>
          <w:tcPr>
            <w:tcW w:w="1417"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22C0C" w:rsidRPr="00122C0C" w:rsidRDefault="00122C0C" w:rsidP="00122C0C">
            <w:pPr>
              <w:spacing w:before="120" w:after="120" w:line="240" w:lineRule="auto"/>
              <w:jc w:val="center"/>
              <w:rPr>
                <w:rFonts w:cs="Times New Roman"/>
                <w:b/>
                <w:szCs w:val="24"/>
              </w:rPr>
            </w:pPr>
            <w:r w:rsidRPr="00122C0C">
              <w:rPr>
                <w:rFonts w:cs="Times New Roman"/>
                <w:b/>
                <w:szCs w:val="24"/>
              </w:rPr>
              <w:t>2000</w:t>
            </w:r>
          </w:p>
        </w:tc>
      </w:tr>
      <w:tr w:rsidR="00122C0C" w:rsidRPr="00122C0C" w:rsidTr="003A071C">
        <w:trPr>
          <w:trHeight w:val="510"/>
        </w:trPr>
        <w:tc>
          <w:tcPr>
            <w:tcW w:w="4253" w:type="dxa"/>
            <w:tcBorders>
              <w:top w:val="single" w:sz="12"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rPr>
                <w:rFonts w:cs="Times New Roman"/>
                <w:szCs w:val="24"/>
              </w:rPr>
            </w:pPr>
            <w:r w:rsidRPr="00122C0C">
              <w:rPr>
                <w:rFonts w:cs="Times New Roman"/>
                <w:szCs w:val="24"/>
              </w:rPr>
              <w:t>Pessoas Pobres</w:t>
            </w:r>
          </w:p>
        </w:tc>
        <w:tc>
          <w:tcPr>
            <w:tcW w:w="1276" w:type="dxa"/>
            <w:tcBorders>
              <w:top w:val="single" w:sz="12"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jc w:val="center"/>
              <w:rPr>
                <w:rFonts w:cs="Times New Roman"/>
                <w:szCs w:val="24"/>
              </w:rPr>
            </w:pPr>
            <w:r w:rsidRPr="00122C0C">
              <w:rPr>
                <w:rFonts w:cs="Times New Roman"/>
                <w:szCs w:val="24"/>
              </w:rPr>
              <w:t>%</w:t>
            </w:r>
          </w:p>
        </w:tc>
        <w:tc>
          <w:tcPr>
            <w:tcW w:w="1559" w:type="dxa"/>
            <w:tcBorders>
              <w:top w:val="single" w:sz="12"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55,74</w:t>
            </w:r>
          </w:p>
        </w:tc>
        <w:tc>
          <w:tcPr>
            <w:tcW w:w="1417" w:type="dxa"/>
            <w:tcBorders>
              <w:top w:val="single" w:sz="12"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44,86</w:t>
            </w:r>
          </w:p>
        </w:tc>
      </w:tr>
      <w:tr w:rsidR="00122C0C" w:rsidRPr="00122C0C" w:rsidTr="003A071C">
        <w:trPr>
          <w:trHeight w:val="510"/>
        </w:trPr>
        <w:tc>
          <w:tcPr>
            <w:tcW w:w="4253"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rPr>
                <w:rFonts w:cs="Times New Roman"/>
                <w:szCs w:val="24"/>
              </w:rPr>
            </w:pPr>
            <w:r w:rsidRPr="00122C0C">
              <w:rPr>
                <w:rFonts w:cs="Times New Roman"/>
                <w:szCs w:val="24"/>
              </w:rPr>
              <w:t>Pessoas Indigentes</w:t>
            </w:r>
          </w:p>
        </w:tc>
        <w:tc>
          <w:tcPr>
            <w:tcW w:w="1276"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jc w:val="center"/>
              <w:rPr>
                <w:rFonts w:cs="Times New Roman"/>
                <w:szCs w:val="24"/>
              </w:rPr>
            </w:pPr>
            <w:r w:rsidRPr="00122C0C">
              <w:rPr>
                <w:rFonts w:cs="Times New Roman"/>
                <w:szCs w:val="24"/>
              </w:rPr>
              <w:t>%</w:t>
            </w:r>
          </w:p>
        </w:tc>
        <w:tc>
          <w:tcPr>
            <w:tcW w:w="1559"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24,44</w:t>
            </w:r>
          </w:p>
        </w:tc>
        <w:tc>
          <w:tcPr>
            <w:tcW w:w="1417"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16,24</w:t>
            </w:r>
          </w:p>
        </w:tc>
      </w:tr>
      <w:tr w:rsidR="00122C0C" w:rsidRPr="00122C0C" w:rsidTr="003A071C">
        <w:trPr>
          <w:trHeight w:val="510"/>
        </w:trPr>
        <w:tc>
          <w:tcPr>
            <w:tcW w:w="4253"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rPr>
                <w:rFonts w:cs="Times New Roman"/>
                <w:szCs w:val="24"/>
              </w:rPr>
            </w:pPr>
            <w:r w:rsidRPr="00122C0C">
              <w:rPr>
                <w:rFonts w:cs="Times New Roman"/>
                <w:szCs w:val="24"/>
              </w:rPr>
              <w:t>Renda per Capita</w:t>
            </w:r>
          </w:p>
        </w:tc>
        <w:tc>
          <w:tcPr>
            <w:tcW w:w="1276"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jc w:val="center"/>
              <w:rPr>
                <w:rFonts w:cs="Times New Roman"/>
                <w:szCs w:val="24"/>
              </w:rPr>
            </w:pPr>
            <w:r w:rsidRPr="00122C0C">
              <w:rPr>
                <w:rFonts w:cs="Times New Roman"/>
                <w:szCs w:val="24"/>
              </w:rPr>
              <w:t>R$</w:t>
            </w:r>
          </w:p>
        </w:tc>
        <w:tc>
          <w:tcPr>
            <w:tcW w:w="1559"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123,58</w:t>
            </w:r>
          </w:p>
        </w:tc>
        <w:tc>
          <w:tcPr>
            <w:tcW w:w="1417"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179,09</w:t>
            </w:r>
          </w:p>
        </w:tc>
      </w:tr>
      <w:tr w:rsidR="00122C0C" w:rsidRPr="00122C0C" w:rsidTr="003A071C">
        <w:trPr>
          <w:trHeight w:val="510"/>
        </w:trPr>
        <w:tc>
          <w:tcPr>
            <w:tcW w:w="4253"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rPr>
                <w:rFonts w:cs="Times New Roman"/>
                <w:szCs w:val="24"/>
              </w:rPr>
            </w:pPr>
            <w:r w:rsidRPr="00122C0C">
              <w:rPr>
                <w:rFonts w:cs="Times New Roman"/>
                <w:szCs w:val="24"/>
              </w:rPr>
              <w:t>Crianças em Famílias Pobres (renda inferior a 0,5 S.M.)</w:t>
            </w:r>
          </w:p>
        </w:tc>
        <w:tc>
          <w:tcPr>
            <w:tcW w:w="1276"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jc w:val="center"/>
              <w:rPr>
                <w:rFonts w:cs="Times New Roman"/>
                <w:szCs w:val="24"/>
              </w:rPr>
            </w:pPr>
            <w:r w:rsidRPr="00122C0C">
              <w:rPr>
                <w:rFonts w:cs="Times New Roman"/>
                <w:szCs w:val="24"/>
              </w:rPr>
              <w:t>%</w:t>
            </w:r>
          </w:p>
        </w:tc>
        <w:tc>
          <w:tcPr>
            <w:tcW w:w="1559"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71,52</w:t>
            </w:r>
          </w:p>
        </w:tc>
        <w:tc>
          <w:tcPr>
            <w:tcW w:w="1417"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62,79</w:t>
            </w:r>
          </w:p>
        </w:tc>
      </w:tr>
      <w:tr w:rsidR="00122C0C" w:rsidRPr="00122C0C" w:rsidTr="003A071C">
        <w:trPr>
          <w:trHeight w:val="510"/>
        </w:trPr>
        <w:tc>
          <w:tcPr>
            <w:tcW w:w="4253"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rPr>
                <w:rFonts w:cs="Times New Roman"/>
                <w:szCs w:val="24"/>
              </w:rPr>
            </w:pPr>
            <w:r w:rsidRPr="00122C0C">
              <w:rPr>
                <w:rFonts w:cs="Times New Roman"/>
                <w:szCs w:val="24"/>
              </w:rPr>
              <w:t>Crianças em Famílias Indigentes (renda inferior a ¼ do S.M.)</w:t>
            </w:r>
          </w:p>
        </w:tc>
        <w:tc>
          <w:tcPr>
            <w:tcW w:w="1276"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jc w:val="center"/>
              <w:rPr>
                <w:rFonts w:cs="Times New Roman"/>
                <w:szCs w:val="24"/>
              </w:rPr>
            </w:pPr>
            <w:r w:rsidRPr="00122C0C">
              <w:rPr>
                <w:rFonts w:cs="Times New Roman"/>
                <w:szCs w:val="24"/>
              </w:rPr>
              <w:t>%</w:t>
            </w:r>
          </w:p>
        </w:tc>
        <w:tc>
          <w:tcPr>
            <w:tcW w:w="1559"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35,74</w:t>
            </w:r>
          </w:p>
        </w:tc>
        <w:tc>
          <w:tcPr>
            <w:tcW w:w="1417"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28,88</w:t>
            </w:r>
          </w:p>
        </w:tc>
      </w:tr>
      <w:tr w:rsidR="00122C0C" w:rsidRPr="00122C0C" w:rsidTr="003A071C">
        <w:trPr>
          <w:trHeight w:val="510"/>
        </w:trPr>
        <w:tc>
          <w:tcPr>
            <w:tcW w:w="4253"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rPr>
                <w:rFonts w:cs="Times New Roman"/>
                <w:szCs w:val="24"/>
              </w:rPr>
            </w:pPr>
            <w:r w:rsidRPr="00122C0C">
              <w:rPr>
                <w:rFonts w:cs="Times New Roman"/>
                <w:szCs w:val="24"/>
              </w:rPr>
              <w:t>Crianças de 10 a 14 anos trabalhando</w:t>
            </w:r>
          </w:p>
        </w:tc>
        <w:tc>
          <w:tcPr>
            <w:tcW w:w="1276"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jc w:val="center"/>
              <w:rPr>
                <w:rFonts w:cs="Times New Roman"/>
                <w:szCs w:val="24"/>
              </w:rPr>
            </w:pPr>
            <w:r w:rsidRPr="00122C0C">
              <w:rPr>
                <w:rFonts w:cs="Times New Roman"/>
                <w:szCs w:val="24"/>
              </w:rPr>
              <w:t>%</w:t>
            </w:r>
          </w:p>
        </w:tc>
        <w:tc>
          <w:tcPr>
            <w:tcW w:w="1559"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15,49</w:t>
            </w:r>
          </w:p>
        </w:tc>
        <w:tc>
          <w:tcPr>
            <w:tcW w:w="1417"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9,82</w:t>
            </w:r>
          </w:p>
        </w:tc>
      </w:tr>
      <w:tr w:rsidR="00122C0C" w:rsidRPr="00122C0C" w:rsidTr="003A071C">
        <w:trPr>
          <w:trHeight w:val="510"/>
        </w:trPr>
        <w:tc>
          <w:tcPr>
            <w:tcW w:w="4253"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rPr>
                <w:rFonts w:cs="Times New Roman"/>
                <w:szCs w:val="24"/>
              </w:rPr>
            </w:pPr>
            <w:r w:rsidRPr="00122C0C">
              <w:rPr>
                <w:rFonts w:cs="Times New Roman"/>
                <w:szCs w:val="24"/>
              </w:rPr>
              <w:t>Pessoas que vivem em domicílios com densidade maior que 2,0</w:t>
            </w:r>
          </w:p>
        </w:tc>
        <w:tc>
          <w:tcPr>
            <w:tcW w:w="1276"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jc w:val="center"/>
              <w:rPr>
                <w:rFonts w:cs="Times New Roman"/>
                <w:szCs w:val="24"/>
              </w:rPr>
            </w:pPr>
            <w:r w:rsidRPr="00122C0C">
              <w:rPr>
                <w:rFonts w:cs="Times New Roman"/>
                <w:szCs w:val="24"/>
              </w:rPr>
              <w:t>%</w:t>
            </w:r>
          </w:p>
        </w:tc>
        <w:tc>
          <w:tcPr>
            <w:tcW w:w="1559"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16,59</w:t>
            </w:r>
          </w:p>
        </w:tc>
        <w:tc>
          <w:tcPr>
            <w:tcW w:w="1417"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9,30</w:t>
            </w:r>
          </w:p>
        </w:tc>
      </w:tr>
      <w:tr w:rsidR="00122C0C" w:rsidRPr="00122C0C" w:rsidTr="003A071C">
        <w:trPr>
          <w:trHeight w:val="510"/>
        </w:trPr>
        <w:tc>
          <w:tcPr>
            <w:tcW w:w="4253"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rPr>
                <w:rFonts w:cs="Times New Roman"/>
                <w:szCs w:val="24"/>
              </w:rPr>
            </w:pPr>
            <w:r w:rsidRPr="00122C0C">
              <w:rPr>
                <w:rFonts w:cs="Times New Roman"/>
                <w:szCs w:val="24"/>
              </w:rPr>
              <w:t>Famílias sem cônjuge e com filhos menores de 5 anos</w:t>
            </w:r>
          </w:p>
        </w:tc>
        <w:tc>
          <w:tcPr>
            <w:tcW w:w="1276"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jc w:val="center"/>
              <w:rPr>
                <w:rFonts w:cs="Times New Roman"/>
                <w:szCs w:val="24"/>
              </w:rPr>
            </w:pPr>
            <w:r w:rsidRPr="00122C0C">
              <w:rPr>
                <w:rFonts w:cs="Times New Roman"/>
                <w:szCs w:val="24"/>
              </w:rPr>
              <w:t>%</w:t>
            </w:r>
          </w:p>
        </w:tc>
        <w:tc>
          <w:tcPr>
            <w:tcW w:w="1559"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7,20</w:t>
            </w:r>
          </w:p>
        </w:tc>
        <w:tc>
          <w:tcPr>
            <w:tcW w:w="1417"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2,93</w:t>
            </w:r>
          </w:p>
        </w:tc>
      </w:tr>
      <w:tr w:rsidR="00122C0C" w:rsidRPr="00122C0C" w:rsidTr="003A071C">
        <w:trPr>
          <w:trHeight w:val="510"/>
        </w:trPr>
        <w:tc>
          <w:tcPr>
            <w:tcW w:w="4253"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rPr>
                <w:rFonts w:cs="Times New Roman"/>
                <w:szCs w:val="24"/>
              </w:rPr>
            </w:pPr>
            <w:r w:rsidRPr="00122C0C">
              <w:rPr>
                <w:rFonts w:cs="Times New Roman"/>
                <w:szCs w:val="24"/>
              </w:rPr>
              <w:t>Pessoas Idosas morando sozinha</w:t>
            </w:r>
          </w:p>
        </w:tc>
        <w:tc>
          <w:tcPr>
            <w:tcW w:w="1276"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jc w:val="center"/>
              <w:rPr>
                <w:rFonts w:cs="Times New Roman"/>
                <w:szCs w:val="24"/>
              </w:rPr>
            </w:pPr>
            <w:r w:rsidRPr="00122C0C">
              <w:rPr>
                <w:rFonts w:cs="Times New Roman"/>
                <w:szCs w:val="24"/>
              </w:rPr>
              <w:t>%</w:t>
            </w:r>
          </w:p>
        </w:tc>
        <w:tc>
          <w:tcPr>
            <w:tcW w:w="1559"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13,23</w:t>
            </w:r>
          </w:p>
        </w:tc>
        <w:tc>
          <w:tcPr>
            <w:tcW w:w="1417"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15,12</w:t>
            </w:r>
          </w:p>
        </w:tc>
      </w:tr>
      <w:tr w:rsidR="00122C0C" w:rsidRPr="00122C0C" w:rsidTr="003A071C">
        <w:trPr>
          <w:trHeight w:val="510"/>
        </w:trPr>
        <w:tc>
          <w:tcPr>
            <w:tcW w:w="4253"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rPr>
                <w:rFonts w:cs="Times New Roman"/>
                <w:szCs w:val="24"/>
              </w:rPr>
            </w:pPr>
            <w:r w:rsidRPr="00122C0C">
              <w:rPr>
                <w:rFonts w:cs="Times New Roman"/>
                <w:szCs w:val="24"/>
              </w:rPr>
              <w:t>Mulheres de 15 a 17 anos com filhos</w:t>
            </w:r>
          </w:p>
        </w:tc>
        <w:tc>
          <w:tcPr>
            <w:tcW w:w="1276"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jc w:val="center"/>
              <w:rPr>
                <w:rFonts w:cs="Times New Roman"/>
                <w:szCs w:val="24"/>
              </w:rPr>
            </w:pPr>
            <w:r w:rsidRPr="00122C0C">
              <w:rPr>
                <w:rFonts w:cs="Times New Roman"/>
                <w:szCs w:val="24"/>
              </w:rPr>
              <w:t>%</w:t>
            </w:r>
          </w:p>
        </w:tc>
        <w:tc>
          <w:tcPr>
            <w:tcW w:w="1559"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5,32</w:t>
            </w:r>
          </w:p>
        </w:tc>
        <w:tc>
          <w:tcPr>
            <w:tcW w:w="1417"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4,26</w:t>
            </w:r>
          </w:p>
        </w:tc>
      </w:tr>
      <w:tr w:rsidR="00122C0C" w:rsidRPr="00122C0C" w:rsidTr="003A071C">
        <w:trPr>
          <w:trHeight w:val="510"/>
        </w:trPr>
        <w:tc>
          <w:tcPr>
            <w:tcW w:w="4253"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rPr>
                <w:rFonts w:cs="Times New Roman"/>
                <w:szCs w:val="24"/>
              </w:rPr>
            </w:pPr>
            <w:r w:rsidRPr="00122C0C">
              <w:rPr>
                <w:rFonts w:cs="Times New Roman"/>
                <w:szCs w:val="24"/>
              </w:rPr>
              <w:t>Crianças de 7 a 14 anos fora da escola</w:t>
            </w:r>
          </w:p>
        </w:tc>
        <w:tc>
          <w:tcPr>
            <w:tcW w:w="1276"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jc w:val="center"/>
              <w:rPr>
                <w:rFonts w:cs="Times New Roman"/>
                <w:szCs w:val="24"/>
              </w:rPr>
            </w:pPr>
            <w:r w:rsidRPr="00122C0C">
              <w:rPr>
                <w:rFonts w:cs="Times New Roman"/>
                <w:szCs w:val="24"/>
              </w:rPr>
              <w:t>%</w:t>
            </w:r>
          </w:p>
        </w:tc>
        <w:tc>
          <w:tcPr>
            <w:tcW w:w="1559"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20,03</w:t>
            </w:r>
          </w:p>
        </w:tc>
        <w:tc>
          <w:tcPr>
            <w:tcW w:w="1417" w:type="dxa"/>
            <w:tcBorders>
              <w:top w:val="single" w:sz="6" w:space="0" w:color="auto"/>
              <w:left w:val="single" w:sz="12" w:space="0" w:color="auto"/>
              <w:bottom w:val="single" w:sz="6"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5,83</w:t>
            </w:r>
          </w:p>
        </w:tc>
      </w:tr>
      <w:tr w:rsidR="00122C0C" w:rsidRPr="00122C0C" w:rsidTr="003A071C">
        <w:trPr>
          <w:trHeight w:val="510"/>
        </w:trPr>
        <w:tc>
          <w:tcPr>
            <w:tcW w:w="4253" w:type="dxa"/>
            <w:tcBorders>
              <w:top w:val="single" w:sz="6" w:space="0" w:color="auto"/>
              <w:left w:val="single" w:sz="12" w:space="0" w:color="auto"/>
              <w:bottom w:val="single" w:sz="12" w:space="0" w:color="auto"/>
              <w:right w:val="single" w:sz="12" w:space="0" w:color="auto"/>
            </w:tcBorders>
            <w:vAlign w:val="center"/>
          </w:tcPr>
          <w:p w:rsidR="00122C0C" w:rsidRPr="00122C0C" w:rsidRDefault="00122C0C" w:rsidP="00122C0C">
            <w:pPr>
              <w:spacing w:before="120" w:after="120" w:line="240" w:lineRule="auto"/>
              <w:rPr>
                <w:rFonts w:cs="Times New Roman"/>
                <w:szCs w:val="24"/>
              </w:rPr>
            </w:pPr>
            <w:r w:rsidRPr="00122C0C">
              <w:rPr>
                <w:rFonts w:cs="Times New Roman"/>
                <w:szCs w:val="24"/>
              </w:rPr>
              <w:t>Adolescentes de 15 a 17 anos fora da escola</w:t>
            </w:r>
          </w:p>
        </w:tc>
        <w:tc>
          <w:tcPr>
            <w:tcW w:w="1276" w:type="dxa"/>
            <w:tcBorders>
              <w:top w:val="single" w:sz="6" w:space="0" w:color="auto"/>
              <w:left w:val="single" w:sz="12" w:space="0" w:color="auto"/>
              <w:bottom w:val="single" w:sz="12" w:space="0" w:color="auto"/>
              <w:right w:val="single" w:sz="12" w:space="0" w:color="auto"/>
            </w:tcBorders>
            <w:vAlign w:val="center"/>
          </w:tcPr>
          <w:p w:rsidR="00122C0C" w:rsidRPr="00122C0C" w:rsidRDefault="00122C0C" w:rsidP="00122C0C">
            <w:pPr>
              <w:spacing w:before="120" w:after="120" w:line="240" w:lineRule="auto"/>
              <w:jc w:val="center"/>
              <w:rPr>
                <w:rFonts w:cs="Times New Roman"/>
                <w:szCs w:val="24"/>
              </w:rPr>
            </w:pPr>
            <w:r w:rsidRPr="00122C0C">
              <w:rPr>
                <w:rFonts w:cs="Times New Roman"/>
                <w:szCs w:val="24"/>
              </w:rPr>
              <w:t>%</w:t>
            </w:r>
          </w:p>
        </w:tc>
        <w:tc>
          <w:tcPr>
            <w:tcW w:w="1559" w:type="dxa"/>
            <w:tcBorders>
              <w:top w:val="single" w:sz="6" w:space="0" w:color="auto"/>
              <w:left w:val="single" w:sz="12" w:space="0" w:color="auto"/>
              <w:bottom w:val="single" w:sz="12"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59,34</w:t>
            </w:r>
          </w:p>
        </w:tc>
        <w:tc>
          <w:tcPr>
            <w:tcW w:w="1417" w:type="dxa"/>
            <w:tcBorders>
              <w:top w:val="single" w:sz="6" w:space="0" w:color="auto"/>
              <w:left w:val="single" w:sz="12" w:space="0" w:color="auto"/>
              <w:bottom w:val="single" w:sz="12" w:space="0" w:color="auto"/>
              <w:right w:val="single" w:sz="12" w:space="0" w:color="auto"/>
            </w:tcBorders>
            <w:vAlign w:val="center"/>
          </w:tcPr>
          <w:p w:rsidR="00122C0C" w:rsidRPr="00122C0C" w:rsidRDefault="00122C0C" w:rsidP="00122C0C">
            <w:pPr>
              <w:spacing w:before="120" w:after="120" w:line="240" w:lineRule="auto"/>
              <w:ind w:right="459"/>
              <w:jc w:val="right"/>
              <w:rPr>
                <w:rFonts w:cs="Times New Roman"/>
                <w:szCs w:val="24"/>
              </w:rPr>
            </w:pPr>
            <w:r w:rsidRPr="00122C0C">
              <w:rPr>
                <w:rFonts w:cs="Times New Roman"/>
                <w:szCs w:val="24"/>
              </w:rPr>
              <w:t>33,28</w:t>
            </w:r>
          </w:p>
        </w:tc>
      </w:tr>
    </w:tbl>
    <w:p w:rsidR="00122C0C" w:rsidRPr="002579AF" w:rsidRDefault="00122C0C" w:rsidP="00122C0C">
      <w:pPr>
        <w:pStyle w:val="Fonte"/>
        <w:ind w:left="142"/>
      </w:pPr>
      <w:r w:rsidRPr="002579AF">
        <w:t>FONTE: PNUD (2000)</w:t>
      </w:r>
    </w:p>
    <w:p w:rsidR="00192DB6" w:rsidRPr="007A0B11" w:rsidRDefault="00192DB6" w:rsidP="00122C0C">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Outros fatores também relevantes para a situação de vulnerabilidade social das unidades familiares de Aimorés/MG estão associados, não somente com o reduzido </w:t>
      </w:r>
      <w:r w:rsidRPr="007A0B11">
        <w:rPr>
          <w:rFonts w:ascii="Times New Roman" w:hAnsi="Times New Roman" w:cs="Times New Roman"/>
        </w:rPr>
        <w:lastRenderedPageBreak/>
        <w:t>rendimento per capita (R$</w:t>
      </w:r>
      <w:r w:rsidR="00122C0C">
        <w:rPr>
          <w:rFonts w:ascii="Times New Roman" w:hAnsi="Times New Roman" w:cs="Times New Roman"/>
        </w:rPr>
        <w:t xml:space="preserve"> </w:t>
      </w:r>
      <w:r w:rsidRPr="007A0B11">
        <w:rPr>
          <w:rFonts w:ascii="Times New Roman" w:hAnsi="Times New Roman" w:cs="Times New Roman"/>
        </w:rPr>
        <w:t>179,09)</w:t>
      </w:r>
      <w:r w:rsidRPr="001D2F23">
        <w:rPr>
          <w:rFonts w:ascii="Times New Roman" w:hAnsi="Times New Roman" w:cs="Times New Roman"/>
          <w:vertAlign w:val="superscript"/>
        </w:rPr>
        <w:footnoteReference w:id="7"/>
      </w:r>
      <w:r w:rsidRPr="001D2F23">
        <w:rPr>
          <w:rFonts w:ascii="Times New Roman" w:hAnsi="Times New Roman" w:cs="Times New Roman"/>
          <w:vertAlign w:val="superscript"/>
        </w:rPr>
        <w:t>,</w:t>
      </w:r>
      <w:r w:rsidRPr="007A0B11">
        <w:rPr>
          <w:rFonts w:ascii="Times New Roman" w:hAnsi="Times New Roman" w:cs="Times New Roman"/>
        </w:rPr>
        <w:t xml:space="preserve"> mas também com a presença de pessoas idosas morando sozinha</w:t>
      </w:r>
      <w:r w:rsidR="00122C0C">
        <w:rPr>
          <w:rFonts w:ascii="Times New Roman" w:hAnsi="Times New Roman" w:cs="Times New Roman"/>
        </w:rPr>
        <w:t>s</w:t>
      </w:r>
      <w:r w:rsidRPr="007A0B11">
        <w:rPr>
          <w:rFonts w:ascii="Times New Roman" w:hAnsi="Times New Roman" w:cs="Times New Roman"/>
        </w:rPr>
        <w:t xml:space="preserve"> (15,12%); com situações de chefia feminina, com crianças residindo no domicilio (2,93%); com a ocorrência do déficit habitacional (9,3%); e com o fenômeno da gravidez precoce (4,26%).</w:t>
      </w:r>
    </w:p>
    <w:p w:rsidR="00192DB6" w:rsidRDefault="00192DB6" w:rsidP="00122C0C">
      <w:pPr>
        <w:pStyle w:val="CM72"/>
        <w:spacing w:line="360" w:lineRule="auto"/>
        <w:ind w:firstLine="709"/>
        <w:jc w:val="both"/>
        <w:rPr>
          <w:rFonts w:ascii="Times New Roman" w:hAnsi="Times New Roman" w:cs="Times New Roman"/>
        </w:rPr>
      </w:pPr>
      <w:r w:rsidRPr="007A0B11">
        <w:rPr>
          <w:rFonts w:ascii="Times New Roman" w:hAnsi="Times New Roman" w:cs="Times New Roman"/>
        </w:rPr>
        <w:t>Em função desses resultados, pode-se afirmar que a vulnerabilidade social das famílias de Aimorés está associada à situação de pobreza, em uma perspectiva multidimensional, o que exige ações de assistência social.</w:t>
      </w:r>
    </w:p>
    <w:p w:rsidR="00122C0C" w:rsidRPr="007A0B11" w:rsidRDefault="00122C0C" w:rsidP="00122C0C">
      <w:pPr>
        <w:pStyle w:val="CM72"/>
        <w:spacing w:line="360" w:lineRule="auto"/>
        <w:ind w:firstLine="709"/>
        <w:jc w:val="both"/>
        <w:rPr>
          <w:rFonts w:ascii="Times New Roman" w:hAnsi="Times New Roman" w:cs="Times New Roman"/>
        </w:rPr>
      </w:pPr>
      <w:r w:rsidRPr="007A0B11">
        <w:rPr>
          <w:rFonts w:ascii="Times New Roman" w:hAnsi="Times New Roman" w:cs="Times New Roman"/>
        </w:rPr>
        <w:t>A Política Nacional de Assistência Social</w:t>
      </w:r>
      <w:r>
        <w:rPr>
          <w:rFonts w:ascii="Times New Roman" w:hAnsi="Times New Roman" w:cs="Times New Roman"/>
        </w:rPr>
        <w:t>,</w:t>
      </w:r>
      <w:r w:rsidRPr="007A0B11">
        <w:rPr>
          <w:rFonts w:ascii="Times New Roman" w:hAnsi="Times New Roman" w:cs="Times New Roman"/>
        </w:rPr>
        <w:t xml:space="preserve"> lançada em 2004</w:t>
      </w:r>
      <w:r>
        <w:rPr>
          <w:rFonts w:ascii="Times New Roman" w:hAnsi="Times New Roman" w:cs="Times New Roman"/>
        </w:rPr>
        <w:t>,</w:t>
      </w:r>
      <w:r w:rsidRPr="007A0B11">
        <w:rPr>
          <w:rFonts w:ascii="Times New Roman" w:hAnsi="Times New Roman" w:cs="Times New Roman"/>
        </w:rPr>
        <w:t xml:space="preserve"> trouxe uma reorientação do processo de efetivação da política, como a introdução do Sistema Único de Assistência Social- SUAS</w:t>
      </w:r>
      <w:r w:rsidRPr="001D2F23">
        <w:rPr>
          <w:rFonts w:ascii="Times New Roman" w:hAnsi="Times New Roman" w:cs="Times New Roman"/>
          <w:vertAlign w:val="superscript"/>
        </w:rPr>
        <w:footnoteReference w:id="8"/>
      </w:r>
      <w:r w:rsidRPr="007A0B11">
        <w:rPr>
          <w:rFonts w:ascii="Times New Roman" w:hAnsi="Times New Roman" w:cs="Times New Roman"/>
        </w:rPr>
        <w:t xml:space="preserve">, que, conforme FJP (2013), disciplinou a operacionalização da gestão da Política de Assistência Social e suas múltiplas funções, como: implantação e manutenção dos serviços </w:t>
      </w:r>
      <w:r>
        <w:rPr>
          <w:rFonts w:ascii="Times New Roman" w:hAnsi="Times New Roman" w:cs="Times New Roman"/>
        </w:rPr>
        <w:t>socio</w:t>
      </w:r>
      <w:r w:rsidRPr="007A0B11">
        <w:rPr>
          <w:rFonts w:ascii="Times New Roman" w:hAnsi="Times New Roman" w:cs="Times New Roman"/>
        </w:rPr>
        <w:t xml:space="preserve">assistenciais; organização e articulação da rede de atenção, de proteção e de garantias de direitos de famílias e grupos vulneráveis; realização e atualização do Cadastro Único; fiscalização e o registro de informações sobre as condicionalidades do Programa Bolsa Família, dentre outros.  </w:t>
      </w:r>
    </w:p>
    <w:p w:rsidR="00192DB6" w:rsidRPr="007A0B11" w:rsidRDefault="00192DB6" w:rsidP="00122C0C">
      <w:pPr>
        <w:pStyle w:val="CM72"/>
        <w:spacing w:line="360" w:lineRule="auto"/>
        <w:ind w:firstLine="709"/>
        <w:jc w:val="both"/>
        <w:rPr>
          <w:rFonts w:ascii="Times New Roman" w:hAnsi="Times New Roman" w:cs="Times New Roman"/>
        </w:rPr>
      </w:pPr>
      <w:r w:rsidRPr="007A0B11">
        <w:rPr>
          <w:rFonts w:ascii="Times New Roman" w:hAnsi="Times New Roman" w:cs="Times New Roman"/>
        </w:rPr>
        <w:t>Baseando-se na FJP (2013), os critérios utilizados para captar a implementação e a operacionalização do Sistema Único da Assistência Social, no âmbito municipal, foram: a) a situação, em termos dos benefícios e serviços existentes no município, o que inclui as transferências monetárias da União às famílias pobres via Programa Bolsa Família e demais equipamentos municipais da proteção social básica, como os Centros de Referência da Assistência Social (CRAS e CREAS</w:t>
      </w:r>
      <w:r w:rsidRPr="001D2F23">
        <w:rPr>
          <w:rFonts w:ascii="Times New Roman" w:hAnsi="Times New Roman" w:cs="Times New Roman"/>
          <w:vertAlign w:val="superscript"/>
        </w:rPr>
        <w:footnoteReference w:id="9"/>
      </w:r>
      <w:r w:rsidRPr="007A0B11">
        <w:rPr>
          <w:rFonts w:ascii="Times New Roman" w:hAnsi="Times New Roman" w:cs="Times New Roman"/>
        </w:rPr>
        <w:t xml:space="preserve">) e; b) o processo de gestão da política e esforços para seu aprimoramento. </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lastRenderedPageBreak/>
        <w:t>A Assistência Social no município de Aimorés conta com 29 funcionários, sendo 04 assistentes sociais. O processo de gestão do SUS foi avaliado como tendo 85,3% de adequação, em função do porte e do número da famílias. O total de famílias com perfil Cadastro Único foram 4</w:t>
      </w:r>
      <w:r w:rsidR="00122C0C">
        <w:rPr>
          <w:rFonts w:ascii="Times New Roman" w:hAnsi="Times New Roman" w:cs="Times New Roman"/>
        </w:rPr>
        <w:t>.</w:t>
      </w:r>
      <w:r w:rsidRPr="007A0B11">
        <w:rPr>
          <w:rFonts w:ascii="Times New Roman" w:hAnsi="Times New Roman" w:cs="Times New Roman"/>
        </w:rPr>
        <w:t>190; porém só foram beneficiadas 2</w:t>
      </w:r>
      <w:r w:rsidR="00122C0C">
        <w:rPr>
          <w:rFonts w:ascii="Times New Roman" w:hAnsi="Times New Roman" w:cs="Times New Roman"/>
        </w:rPr>
        <w:t>.</w:t>
      </w:r>
      <w:r w:rsidRPr="007A0B11">
        <w:rPr>
          <w:rFonts w:ascii="Times New Roman" w:hAnsi="Times New Roman" w:cs="Times New Roman"/>
        </w:rPr>
        <w:t>25</w:t>
      </w:r>
      <w:r w:rsidR="00122C0C">
        <w:rPr>
          <w:rFonts w:ascii="Times New Roman" w:hAnsi="Times New Roman" w:cs="Times New Roman"/>
        </w:rPr>
        <w:t>9</w:t>
      </w:r>
      <w:r w:rsidRPr="007A0B11">
        <w:rPr>
          <w:rFonts w:ascii="Times New Roman" w:hAnsi="Times New Roman" w:cs="Times New Roman"/>
        </w:rPr>
        <w:t>, ou seja, 53,9% do total de famílias vulneráveis. Para o atendimento dessas famílias existem 02 CRAS (sendo um volante) e 01 CREAS.</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Em termos da avaliação do CRAS e do Conselho Municipal de Assistência Social, as notas foram: 7,0, dentro do score de 1,0 a 10,0 do Índice de Desenvolvimento do CRAS; e 6,0, que é a nota máxima na avaliação da atuação do sistema de gestão e controle social. </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Os dois programas sociais mais abrangentes do município são o Programa Bolsa Família (PBF), que possui um Conselho Gestor, atendendo 2</w:t>
      </w:r>
      <w:r w:rsidR="00122C0C">
        <w:rPr>
          <w:rFonts w:ascii="Times New Roman" w:hAnsi="Times New Roman" w:cs="Times New Roman"/>
        </w:rPr>
        <w:t>.</w:t>
      </w:r>
      <w:r w:rsidRPr="007A0B11">
        <w:rPr>
          <w:rFonts w:ascii="Times New Roman" w:hAnsi="Times New Roman" w:cs="Times New Roman"/>
        </w:rPr>
        <w:t>258,9 famílias, além do Benefício de Prestação Continuada (BPC), que atende 532 pessoas (312 deficientes e 220 idosos). As transferências monetárias por famíl</w:t>
      </w:r>
      <w:r w:rsidR="00232721">
        <w:rPr>
          <w:rFonts w:ascii="Times New Roman" w:hAnsi="Times New Roman" w:cs="Times New Roman"/>
        </w:rPr>
        <w:t>i</w:t>
      </w:r>
      <w:r w:rsidRPr="007A0B11">
        <w:rPr>
          <w:rFonts w:ascii="Times New Roman" w:hAnsi="Times New Roman" w:cs="Times New Roman"/>
        </w:rPr>
        <w:t>a via PBF é de R$</w:t>
      </w:r>
      <w:r w:rsidR="00122C0C">
        <w:rPr>
          <w:rFonts w:ascii="Times New Roman" w:hAnsi="Times New Roman" w:cs="Times New Roman"/>
        </w:rPr>
        <w:t xml:space="preserve"> </w:t>
      </w:r>
      <w:r w:rsidRPr="007A0B11">
        <w:rPr>
          <w:rFonts w:ascii="Times New Roman" w:hAnsi="Times New Roman" w:cs="Times New Roman"/>
        </w:rPr>
        <w:t>93,89; enquanto que o valor por beneficiário do BPC é de R$</w:t>
      </w:r>
      <w:r w:rsidR="00122C0C">
        <w:rPr>
          <w:rFonts w:ascii="Times New Roman" w:hAnsi="Times New Roman" w:cs="Times New Roman"/>
        </w:rPr>
        <w:t xml:space="preserve"> </w:t>
      </w:r>
      <w:r w:rsidRPr="007A0B11">
        <w:rPr>
          <w:rFonts w:ascii="Times New Roman" w:hAnsi="Times New Roman" w:cs="Times New Roman"/>
        </w:rPr>
        <w:t>523,40 (FJP, 2013).</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O índice de atendimento dos condicionantes do PBF, no que concerne à Educação, obteve a pontuação 0,94, no intervalo de 0,0 a 1,0; enquanto que o índice de acompanhamento da Agenda Saúde das Famílias foi de 0,69, indicando maior cumprimento das questões educacionais.  </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O Município também conta também com outras redes de apoio à Assistência Social, como o Conselho de Defesa dos Direitos de Crianças e Adolescentes, Conselho Tutelar, dentre outras.</w:t>
      </w:r>
    </w:p>
    <w:p w:rsidR="00192DB6" w:rsidRDefault="008E169C" w:rsidP="00971B37">
      <w:pPr>
        <w:pStyle w:val="Titulo"/>
      </w:pPr>
      <w:bookmarkStart w:id="138" w:name="_Toc372559061"/>
      <w:bookmarkStart w:id="139" w:name="_Toc372789501"/>
      <w:r>
        <w:t xml:space="preserve">8.3.7 </w:t>
      </w:r>
      <w:r w:rsidR="00192DB6" w:rsidRPr="00483E32">
        <w:t>Índice de Desenvolvimento Humano – IDH</w:t>
      </w:r>
      <w:bookmarkEnd w:id="138"/>
      <w:bookmarkEnd w:id="139"/>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O Índice de Desenvolvimento Humano (IDH</w:t>
      </w:r>
      <w:r w:rsidRPr="001D2F23">
        <w:rPr>
          <w:rFonts w:ascii="Times New Roman" w:hAnsi="Times New Roman" w:cs="Times New Roman"/>
          <w:vertAlign w:val="superscript"/>
        </w:rPr>
        <w:footnoteReference w:id="10"/>
      </w:r>
      <w:r w:rsidRPr="007A0B11">
        <w:rPr>
          <w:rFonts w:ascii="Times New Roman" w:hAnsi="Times New Roman" w:cs="Times New Roman"/>
        </w:rPr>
        <w:t xml:space="preserve">) é uma medida comparativa de riqueza, alfabetização, educação, esperança de vida, natalidade e outros fatores para os diversos países do mundo. A construção do Índice de Desenvolvimento Humano Municipal </w:t>
      </w:r>
      <w:r w:rsidRPr="007A0B11">
        <w:rPr>
          <w:rFonts w:ascii="Times New Roman" w:hAnsi="Times New Roman" w:cs="Times New Roman"/>
        </w:rPr>
        <w:lastRenderedPageBreak/>
        <w:t xml:space="preserve">(IDH-M) é relevante ao permitir que diferenças nos indicadores possam subsidiar a gestão pública. </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Segundo dados do Atlas de Desenvolvimento Humano (PNUD, 20</w:t>
      </w:r>
      <w:r w:rsidR="006E41B6">
        <w:rPr>
          <w:rFonts w:ascii="Times New Roman" w:hAnsi="Times New Roman" w:cs="Times New Roman"/>
        </w:rPr>
        <w:t>1</w:t>
      </w:r>
      <w:r w:rsidR="006A79FD">
        <w:rPr>
          <w:rFonts w:ascii="Times New Roman" w:hAnsi="Times New Roman" w:cs="Times New Roman"/>
        </w:rPr>
        <w:t>3</w:t>
      </w:r>
      <w:r w:rsidRPr="007A0B11">
        <w:rPr>
          <w:rFonts w:ascii="Times New Roman" w:hAnsi="Times New Roman" w:cs="Times New Roman"/>
        </w:rPr>
        <w:t xml:space="preserve">), o </w:t>
      </w:r>
      <w:hyperlink r:id="rId78" w:tooltip="Índice de Desenvolvimento Humano" w:history="1">
        <w:r w:rsidRPr="007A0B11">
          <w:rPr>
            <w:rFonts w:ascii="Times New Roman" w:hAnsi="Times New Roman" w:cs="Times New Roman"/>
          </w:rPr>
          <w:t>Índice de Desenvolvimento Humano</w:t>
        </w:r>
      </w:hyperlink>
      <w:r w:rsidRPr="007A0B11">
        <w:rPr>
          <w:rFonts w:ascii="Times New Roman" w:hAnsi="Times New Roman" w:cs="Times New Roman"/>
        </w:rPr>
        <w:t xml:space="preserve"> Municipal (IDH-M) de Aimorés é considerado médio (IDH entre 0,5 e 0,8); </w:t>
      </w:r>
      <w:r w:rsidR="00FE2CA8" w:rsidRPr="00FE2CA8">
        <w:rPr>
          <w:rFonts w:ascii="Times New Roman" w:hAnsi="Times New Roman" w:cs="Times New Roman"/>
        </w:rPr>
        <w:t>pois seu valor foi de 0,</w:t>
      </w:r>
      <w:r w:rsidR="00FE2CA8">
        <w:rPr>
          <w:rFonts w:ascii="Times New Roman" w:hAnsi="Times New Roman" w:cs="Times New Roman"/>
        </w:rPr>
        <w:t>429</w:t>
      </w:r>
      <w:r w:rsidR="00FE2CA8" w:rsidRPr="00FE2CA8">
        <w:rPr>
          <w:rFonts w:ascii="Times New Roman" w:hAnsi="Times New Roman" w:cs="Times New Roman"/>
        </w:rPr>
        <w:t xml:space="preserve">, em </w:t>
      </w:r>
      <w:r w:rsidR="00FE2CA8">
        <w:rPr>
          <w:rFonts w:ascii="Times New Roman" w:hAnsi="Times New Roman" w:cs="Times New Roman"/>
        </w:rPr>
        <w:t xml:space="preserve">1991, </w:t>
      </w:r>
      <w:r w:rsidRPr="007A0B11">
        <w:rPr>
          <w:rFonts w:ascii="Times New Roman" w:hAnsi="Times New Roman" w:cs="Times New Roman"/>
        </w:rPr>
        <w:t>de 0,</w:t>
      </w:r>
      <w:r w:rsidR="006E41B6">
        <w:rPr>
          <w:rFonts w:ascii="Times New Roman" w:hAnsi="Times New Roman" w:cs="Times New Roman"/>
        </w:rPr>
        <w:t>593</w:t>
      </w:r>
      <w:r w:rsidRPr="007A0B11">
        <w:rPr>
          <w:rFonts w:ascii="Times New Roman" w:hAnsi="Times New Roman" w:cs="Times New Roman"/>
        </w:rPr>
        <w:t>, em 2000, crescendo 15,</w:t>
      </w:r>
      <w:r w:rsidR="006E41B6">
        <w:rPr>
          <w:rFonts w:ascii="Times New Roman" w:hAnsi="Times New Roman" w:cs="Times New Roman"/>
        </w:rPr>
        <w:t>34</w:t>
      </w:r>
      <w:r w:rsidRPr="007A0B11">
        <w:rPr>
          <w:rFonts w:ascii="Times New Roman" w:hAnsi="Times New Roman" w:cs="Times New Roman"/>
        </w:rPr>
        <w:t>%, ao passar de 0,</w:t>
      </w:r>
      <w:r w:rsidR="006E41B6">
        <w:rPr>
          <w:rFonts w:ascii="Times New Roman" w:hAnsi="Times New Roman" w:cs="Times New Roman"/>
        </w:rPr>
        <w:t>593</w:t>
      </w:r>
      <w:r w:rsidRPr="007A0B11">
        <w:rPr>
          <w:rFonts w:ascii="Times New Roman" w:hAnsi="Times New Roman" w:cs="Times New Roman"/>
        </w:rPr>
        <w:t xml:space="preserve"> para 0,</w:t>
      </w:r>
      <w:r w:rsidR="006E41B6">
        <w:rPr>
          <w:rFonts w:ascii="Times New Roman" w:hAnsi="Times New Roman" w:cs="Times New Roman"/>
        </w:rPr>
        <w:t>684</w:t>
      </w:r>
      <w:r w:rsidR="00FE2CA8">
        <w:rPr>
          <w:rFonts w:ascii="Times New Roman" w:hAnsi="Times New Roman" w:cs="Times New Roman"/>
        </w:rPr>
        <w:t>, em 2010</w:t>
      </w:r>
      <w:r w:rsidRPr="007A0B11">
        <w:rPr>
          <w:rFonts w:ascii="Times New Roman" w:hAnsi="Times New Roman" w:cs="Times New Roman"/>
        </w:rPr>
        <w:t xml:space="preserve">, no período de </w:t>
      </w:r>
      <w:r w:rsidR="006E41B6">
        <w:rPr>
          <w:rFonts w:ascii="Times New Roman" w:hAnsi="Times New Roman" w:cs="Times New Roman"/>
        </w:rPr>
        <w:t>2000</w:t>
      </w:r>
      <w:r w:rsidRPr="007A0B11">
        <w:rPr>
          <w:rFonts w:ascii="Times New Roman" w:hAnsi="Times New Roman" w:cs="Times New Roman"/>
        </w:rPr>
        <w:t>-20</w:t>
      </w:r>
      <w:r w:rsidR="006E41B6">
        <w:rPr>
          <w:rFonts w:ascii="Times New Roman" w:hAnsi="Times New Roman" w:cs="Times New Roman"/>
        </w:rPr>
        <w:t>1</w:t>
      </w:r>
      <w:r w:rsidRPr="007A0B11">
        <w:rPr>
          <w:rFonts w:ascii="Times New Roman" w:hAnsi="Times New Roman" w:cs="Times New Roman"/>
        </w:rPr>
        <w:t xml:space="preserve">0.   </w:t>
      </w:r>
    </w:p>
    <w:p w:rsidR="00192DB6" w:rsidRPr="007A0B11"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Em relação aos outros municípios do Brasil,</w:t>
      </w:r>
      <w:r w:rsidR="001871D4">
        <w:rPr>
          <w:rFonts w:ascii="Times New Roman" w:hAnsi="Times New Roman" w:cs="Times New Roman"/>
        </w:rPr>
        <w:t xml:space="preserve"> em 2010,</w:t>
      </w:r>
      <w:r w:rsidRPr="007A0B11">
        <w:rPr>
          <w:rFonts w:ascii="Times New Roman" w:hAnsi="Times New Roman" w:cs="Times New Roman"/>
        </w:rPr>
        <w:t xml:space="preserve"> Aimorés apresenta uma situação intermediária: ocupa a 2</w:t>
      </w:r>
      <w:r w:rsidR="008662EC">
        <w:rPr>
          <w:rFonts w:ascii="Times New Roman" w:hAnsi="Times New Roman" w:cs="Times New Roman"/>
        </w:rPr>
        <w:t>.</w:t>
      </w:r>
      <w:r w:rsidRPr="007A0B11">
        <w:rPr>
          <w:rFonts w:ascii="Times New Roman" w:hAnsi="Times New Roman" w:cs="Times New Roman"/>
        </w:rPr>
        <w:t>3</w:t>
      </w:r>
      <w:r w:rsidR="00FE2CA8">
        <w:rPr>
          <w:rFonts w:ascii="Times New Roman" w:hAnsi="Times New Roman" w:cs="Times New Roman"/>
        </w:rPr>
        <w:t>32</w:t>
      </w:r>
      <w:r w:rsidRPr="007A0B11">
        <w:rPr>
          <w:rFonts w:ascii="Times New Roman" w:hAnsi="Times New Roman" w:cs="Times New Roman"/>
        </w:rPr>
        <w:t>ª posição. Com respeito aos outros municípios do Estado, Aimorés apresenta uma situação intermediária: ocupa a 412ª posição, sendo que 411 municípios (48,2%) estão em situação melhor e 441 municípios (51,8%) estão em situação pior ou igual.</w:t>
      </w:r>
    </w:p>
    <w:p w:rsidR="00192DB6" w:rsidRDefault="00192DB6" w:rsidP="003F5401">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No que concerne à Microrregião, o Quadro </w:t>
      </w:r>
      <w:r w:rsidR="008662EC">
        <w:rPr>
          <w:rFonts w:ascii="Times New Roman" w:hAnsi="Times New Roman" w:cs="Times New Roman"/>
        </w:rPr>
        <w:t>13</w:t>
      </w:r>
      <w:r w:rsidRPr="007A0B11">
        <w:rPr>
          <w:rFonts w:ascii="Times New Roman" w:hAnsi="Times New Roman" w:cs="Times New Roman"/>
        </w:rPr>
        <w:t xml:space="preserve"> mostra que Aimorés ocupa a 2ª posição, sendo ultrapassado apenas por Conselheiro Pena (0,734).</w:t>
      </w:r>
    </w:p>
    <w:p w:rsidR="008662EC" w:rsidRPr="007A0B11" w:rsidRDefault="008662EC" w:rsidP="008662EC">
      <w:pPr>
        <w:pStyle w:val="CM72"/>
        <w:spacing w:line="360" w:lineRule="auto"/>
        <w:ind w:firstLine="709"/>
        <w:jc w:val="both"/>
        <w:rPr>
          <w:rFonts w:ascii="Times New Roman" w:hAnsi="Times New Roman" w:cs="Times New Roman"/>
        </w:rPr>
      </w:pPr>
      <w:r w:rsidRPr="007A0B11">
        <w:rPr>
          <w:rFonts w:ascii="Times New Roman" w:hAnsi="Times New Roman" w:cs="Times New Roman"/>
        </w:rPr>
        <w:t>Todos os municípios da Microrregião de Aimorés tinham um índice médio de desenvolvimento humano, cujo crescimento, no período de 1991/2000, foi de 17,5%, que foi superior ao de Minas Gerais, da ordem de 10,9%. Os valores limites do crescimento do IDH ficaram entre os municípios de Alvarenga (11,54%) e Taparuba.</w:t>
      </w:r>
    </w:p>
    <w:p w:rsidR="008662EC" w:rsidRDefault="008662EC">
      <w:pPr>
        <w:spacing w:after="200" w:line="276" w:lineRule="auto"/>
        <w:rPr>
          <w:rFonts w:eastAsiaTheme="minorEastAsia" w:cs="Times New Roman"/>
          <w:b/>
          <w:bCs/>
          <w:szCs w:val="24"/>
          <w:lang w:eastAsia="pt-BR"/>
        </w:rPr>
      </w:pPr>
      <w:bookmarkStart w:id="140" w:name="_Toc372117256"/>
      <w:r>
        <w:rPr>
          <w:b/>
        </w:rPr>
        <w:br w:type="page"/>
      </w:r>
    </w:p>
    <w:p w:rsidR="002558A4" w:rsidRPr="0062559E" w:rsidRDefault="00B02273" w:rsidP="00B02273">
      <w:pPr>
        <w:pStyle w:val="Legenda"/>
      </w:pPr>
      <w:bookmarkStart w:id="141" w:name="_Toc372740519"/>
      <w:bookmarkEnd w:id="140"/>
      <w:r>
        <w:lastRenderedPageBreak/>
        <w:t xml:space="preserve">Quadro </w:t>
      </w:r>
      <w:fldSimple w:instr=" SEQ Quadro \* ARABIC ">
        <w:r w:rsidR="004F77E2">
          <w:rPr>
            <w:noProof/>
          </w:rPr>
          <w:t>13</w:t>
        </w:r>
      </w:fldSimple>
      <w:r>
        <w:t xml:space="preserve"> - </w:t>
      </w:r>
      <w:r w:rsidRPr="00007AAC">
        <w:rPr>
          <w:noProof/>
        </w:rPr>
        <w:t>Índice de Desenvolvimento Humano da Microrregião de Aimorés/MG, 1991/2000.</w:t>
      </w:r>
      <w:bookmarkEnd w:id="141"/>
    </w:p>
    <w:tbl>
      <w:tblPr>
        <w:tblStyle w:val="Tabelacomgrade"/>
        <w:tblW w:w="9498" w:type="dxa"/>
        <w:jc w:val="center"/>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Look w:val="04A0" w:firstRow="1" w:lastRow="0" w:firstColumn="1" w:lastColumn="0" w:noHBand="0" w:noVBand="1"/>
      </w:tblPr>
      <w:tblGrid>
        <w:gridCol w:w="2552"/>
        <w:gridCol w:w="992"/>
        <w:gridCol w:w="851"/>
        <w:gridCol w:w="850"/>
        <w:gridCol w:w="851"/>
        <w:gridCol w:w="850"/>
        <w:gridCol w:w="851"/>
        <w:gridCol w:w="850"/>
        <w:gridCol w:w="851"/>
      </w:tblGrid>
      <w:tr w:rsidR="00192DB6" w:rsidRPr="008662EC" w:rsidTr="008662EC">
        <w:trPr>
          <w:jc w:val="center"/>
        </w:trPr>
        <w:tc>
          <w:tcPr>
            <w:tcW w:w="2552" w:type="dxa"/>
            <w:vMerge w:val="restart"/>
            <w:tcBorders>
              <w:top w:val="single" w:sz="12" w:space="0" w:color="auto"/>
              <w:bottom w:val="single" w:sz="6" w:space="0" w:color="auto"/>
              <w:right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Município</w:t>
            </w:r>
          </w:p>
        </w:tc>
        <w:tc>
          <w:tcPr>
            <w:tcW w:w="1843" w:type="dxa"/>
            <w:gridSpan w:val="2"/>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IDH-M</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Educação</w:t>
            </w:r>
          </w:p>
          <w:p w:rsidR="00192DB6" w:rsidRPr="008662EC" w:rsidRDefault="00192DB6" w:rsidP="008662EC">
            <w:pPr>
              <w:spacing w:before="120" w:after="120" w:line="240" w:lineRule="auto"/>
              <w:jc w:val="center"/>
              <w:rPr>
                <w:rFonts w:cs="Times New Roman"/>
                <w:b/>
                <w:szCs w:val="24"/>
              </w:rPr>
            </w:pPr>
            <w:r w:rsidRPr="008662EC">
              <w:rPr>
                <w:rFonts w:cs="Times New Roman"/>
                <w:b/>
                <w:szCs w:val="24"/>
              </w:rPr>
              <w:t>(IDHM-E)</w:t>
            </w:r>
          </w:p>
        </w:tc>
        <w:tc>
          <w:tcPr>
            <w:tcW w:w="1701" w:type="dxa"/>
            <w:gridSpan w:val="2"/>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Longevidade</w:t>
            </w:r>
          </w:p>
          <w:p w:rsidR="00192DB6" w:rsidRPr="008662EC" w:rsidRDefault="00192DB6" w:rsidP="008662EC">
            <w:pPr>
              <w:spacing w:before="120" w:after="120" w:line="240" w:lineRule="auto"/>
              <w:jc w:val="center"/>
              <w:rPr>
                <w:rFonts w:cs="Times New Roman"/>
                <w:b/>
                <w:szCs w:val="24"/>
              </w:rPr>
            </w:pPr>
            <w:r w:rsidRPr="008662EC">
              <w:rPr>
                <w:rFonts w:cs="Times New Roman"/>
                <w:b/>
                <w:szCs w:val="24"/>
              </w:rPr>
              <w:t>(IDHM-L)</w:t>
            </w:r>
          </w:p>
        </w:tc>
        <w:tc>
          <w:tcPr>
            <w:tcW w:w="1701" w:type="dxa"/>
            <w:gridSpan w:val="2"/>
            <w:tcBorders>
              <w:top w:val="single" w:sz="12" w:space="0" w:color="auto"/>
              <w:left w:val="single" w:sz="12" w:space="0" w:color="auto"/>
              <w:bottom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Renda</w:t>
            </w:r>
          </w:p>
          <w:p w:rsidR="00192DB6" w:rsidRPr="008662EC" w:rsidRDefault="00192DB6" w:rsidP="008662EC">
            <w:pPr>
              <w:spacing w:before="120" w:after="120" w:line="240" w:lineRule="auto"/>
              <w:jc w:val="center"/>
              <w:rPr>
                <w:rFonts w:cs="Times New Roman"/>
                <w:b/>
                <w:szCs w:val="24"/>
              </w:rPr>
            </w:pPr>
            <w:r w:rsidRPr="008662EC">
              <w:rPr>
                <w:rFonts w:cs="Times New Roman"/>
                <w:b/>
                <w:szCs w:val="24"/>
              </w:rPr>
              <w:t>(IDHM-R)</w:t>
            </w:r>
          </w:p>
        </w:tc>
      </w:tr>
      <w:tr w:rsidR="00192DB6" w:rsidRPr="008662EC" w:rsidTr="008662EC">
        <w:trPr>
          <w:jc w:val="center"/>
        </w:trPr>
        <w:tc>
          <w:tcPr>
            <w:tcW w:w="2552" w:type="dxa"/>
            <w:vMerge/>
            <w:tcBorders>
              <w:top w:val="single" w:sz="6" w:space="0" w:color="auto"/>
              <w:bottom w:val="single" w:sz="12" w:space="0" w:color="auto"/>
              <w:right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p>
        </w:tc>
        <w:tc>
          <w:tcPr>
            <w:tcW w:w="992"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1991</w:t>
            </w:r>
          </w:p>
        </w:tc>
        <w:tc>
          <w:tcPr>
            <w:tcW w:w="851"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2000</w:t>
            </w:r>
          </w:p>
        </w:tc>
        <w:tc>
          <w:tcPr>
            <w:tcW w:w="850"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1991</w:t>
            </w:r>
          </w:p>
        </w:tc>
        <w:tc>
          <w:tcPr>
            <w:tcW w:w="851"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2000</w:t>
            </w:r>
          </w:p>
        </w:tc>
        <w:tc>
          <w:tcPr>
            <w:tcW w:w="850"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1991</w:t>
            </w:r>
          </w:p>
        </w:tc>
        <w:tc>
          <w:tcPr>
            <w:tcW w:w="851"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2000</w:t>
            </w:r>
          </w:p>
        </w:tc>
        <w:tc>
          <w:tcPr>
            <w:tcW w:w="850"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1991</w:t>
            </w:r>
          </w:p>
        </w:tc>
        <w:tc>
          <w:tcPr>
            <w:tcW w:w="851" w:type="dxa"/>
            <w:tcBorders>
              <w:top w:val="single" w:sz="12" w:space="0" w:color="auto"/>
              <w:left w:val="single" w:sz="12" w:space="0" w:color="auto"/>
              <w:bottom w:val="single" w:sz="12" w:space="0" w:color="auto"/>
            </w:tcBorders>
            <w:shd w:val="clear" w:color="auto" w:fill="BFBFBF" w:themeFill="background1" w:themeFillShade="BF"/>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2000</w:t>
            </w:r>
          </w:p>
        </w:tc>
      </w:tr>
      <w:tr w:rsidR="00192DB6" w:rsidRPr="008662EC" w:rsidTr="008662EC">
        <w:trPr>
          <w:trHeight w:val="454"/>
          <w:jc w:val="center"/>
        </w:trPr>
        <w:tc>
          <w:tcPr>
            <w:tcW w:w="2552" w:type="dxa"/>
            <w:tcBorders>
              <w:top w:val="single" w:sz="12" w:space="0" w:color="auto"/>
            </w:tcBorders>
            <w:vAlign w:val="center"/>
          </w:tcPr>
          <w:p w:rsidR="00192DB6" w:rsidRPr="008662EC" w:rsidRDefault="00192DB6" w:rsidP="008662EC">
            <w:pPr>
              <w:pStyle w:val="PargrafodaLista"/>
              <w:spacing w:before="120" w:after="120" w:line="240" w:lineRule="auto"/>
              <w:ind w:left="34"/>
              <w:rPr>
                <w:rFonts w:cs="Times New Roman"/>
                <w:szCs w:val="24"/>
              </w:rPr>
            </w:pPr>
            <w:r w:rsidRPr="008662EC">
              <w:rPr>
                <w:rFonts w:cs="Times New Roman"/>
                <w:szCs w:val="24"/>
              </w:rPr>
              <w:t>Aimorés</w:t>
            </w:r>
          </w:p>
        </w:tc>
        <w:tc>
          <w:tcPr>
            <w:tcW w:w="992" w:type="dxa"/>
            <w:tcBorders>
              <w:top w:val="single" w:sz="12" w:space="0" w:color="auto"/>
            </w:tcBorders>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0,638</w:t>
            </w:r>
          </w:p>
        </w:tc>
        <w:tc>
          <w:tcPr>
            <w:tcW w:w="851" w:type="dxa"/>
            <w:tcBorders>
              <w:top w:val="single" w:sz="12" w:space="0" w:color="auto"/>
            </w:tcBorders>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0,731</w:t>
            </w:r>
          </w:p>
        </w:tc>
        <w:tc>
          <w:tcPr>
            <w:tcW w:w="850" w:type="dxa"/>
            <w:tcBorders>
              <w:top w:val="single" w:sz="12" w:space="0" w:color="auto"/>
            </w:tcBorders>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0,689</w:t>
            </w:r>
          </w:p>
        </w:tc>
        <w:tc>
          <w:tcPr>
            <w:tcW w:w="851" w:type="dxa"/>
            <w:tcBorders>
              <w:top w:val="single" w:sz="12" w:space="0" w:color="auto"/>
            </w:tcBorders>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0,767</w:t>
            </w:r>
          </w:p>
        </w:tc>
        <w:tc>
          <w:tcPr>
            <w:tcW w:w="850" w:type="dxa"/>
            <w:tcBorders>
              <w:top w:val="single" w:sz="12" w:space="0" w:color="auto"/>
            </w:tcBorders>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0,649</w:t>
            </w:r>
          </w:p>
        </w:tc>
        <w:tc>
          <w:tcPr>
            <w:tcW w:w="851" w:type="dxa"/>
            <w:tcBorders>
              <w:top w:val="single" w:sz="12" w:space="0" w:color="auto"/>
            </w:tcBorders>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0,788</w:t>
            </w:r>
          </w:p>
        </w:tc>
        <w:tc>
          <w:tcPr>
            <w:tcW w:w="850" w:type="dxa"/>
            <w:tcBorders>
              <w:top w:val="single" w:sz="12" w:space="0" w:color="auto"/>
            </w:tcBorders>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0,577</w:t>
            </w:r>
          </w:p>
        </w:tc>
        <w:tc>
          <w:tcPr>
            <w:tcW w:w="851" w:type="dxa"/>
            <w:tcBorders>
              <w:top w:val="single" w:sz="12" w:space="0" w:color="auto"/>
            </w:tcBorders>
            <w:vAlign w:val="center"/>
          </w:tcPr>
          <w:p w:rsidR="00192DB6" w:rsidRPr="008662EC" w:rsidRDefault="00192DB6" w:rsidP="008662EC">
            <w:pPr>
              <w:spacing w:before="120" w:after="120" w:line="240" w:lineRule="auto"/>
              <w:ind w:right="34"/>
              <w:jc w:val="center"/>
              <w:rPr>
                <w:rFonts w:cs="Times New Roman"/>
                <w:szCs w:val="24"/>
              </w:rPr>
            </w:pPr>
            <w:r w:rsidRPr="008662EC">
              <w:rPr>
                <w:rFonts w:cs="Times New Roman"/>
                <w:szCs w:val="24"/>
              </w:rPr>
              <w:t>0,639</w:t>
            </w:r>
          </w:p>
        </w:tc>
      </w:tr>
      <w:tr w:rsidR="00192DB6" w:rsidRPr="008662EC" w:rsidTr="008662EC">
        <w:trPr>
          <w:trHeight w:val="454"/>
          <w:jc w:val="center"/>
        </w:trPr>
        <w:tc>
          <w:tcPr>
            <w:tcW w:w="2552" w:type="dxa"/>
            <w:vAlign w:val="center"/>
          </w:tcPr>
          <w:p w:rsidR="00192DB6" w:rsidRPr="008662EC" w:rsidRDefault="00192DB6" w:rsidP="008662EC">
            <w:pPr>
              <w:pStyle w:val="PargrafodaLista"/>
              <w:spacing w:before="120" w:after="120" w:line="240" w:lineRule="auto"/>
              <w:ind w:left="34"/>
              <w:rPr>
                <w:rFonts w:cs="Times New Roman"/>
                <w:szCs w:val="24"/>
              </w:rPr>
            </w:pPr>
            <w:r w:rsidRPr="008662EC">
              <w:rPr>
                <w:rFonts w:cs="Times New Roman"/>
                <w:szCs w:val="24"/>
              </w:rPr>
              <w:t>Alvarenga</w:t>
            </w:r>
          </w:p>
        </w:tc>
        <w:tc>
          <w:tcPr>
            <w:tcW w:w="992"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0,589</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0,657</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0,630</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0,719</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0,649</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0,688</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0,489</w:t>
            </w:r>
          </w:p>
        </w:tc>
        <w:tc>
          <w:tcPr>
            <w:tcW w:w="851" w:type="dxa"/>
            <w:vAlign w:val="center"/>
          </w:tcPr>
          <w:p w:rsidR="00192DB6" w:rsidRPr="008662EC" w:rsidRDefault="00192DB6" w:rsidP="008662EC">
            <w:pPr>
              <w:spacing w:before="120" w:after="120" w:line="240" w:lineRule="auto"/>
              <w:ind w:left="141" w:right="34" w:hanging="141"/>
              <w:jc w:val="center"/>
              <w:rPr>
                <w:rFonts w:cs="Times New Roman"/>
                <w:szCs w:val="24"/>
              </w:rPr>
            </w:pPr>
            <w:r w:rsidRPr="008662EC">
              <w:rPr>
                <w:rFonts w:cs="Times New Roman"/>
                <w:szCs w:val="24"/>
              </w:rPr>
              <w:t>0,565</w:t>
            </w:r>
          </w:p>
        </w:tc>
      </w:tr>
      <w:tr w:rsidR="00192DB6" w:rsidRPr="008662EC" w:rsidTr="008662EC">
        <w:trPr>
          <w:trHeight w:val="454"/>
          <w:jc w:val="center"/>
        </w:trPr>
        <w:tc>
          <w:tcPr>
            <w:tcW w:w="2552" w:type="dxa"/>
            <w:vAlign w:val="center"/>
          </w:tcPr>
          <w:p w:rsidR="00192DB6" w:rsidRPr="008662EC" w:rsidRDefault="00192DB6" w:rsidP="008662EC">
            <w:pPr>
              <w:pStyle w:val="PargrafodaLista"/>
              <w:spacing w:before="120" w:after="120" w:line="240" w:lineRule="auto"/>
              <w:ind w:left="34"/>
              <w:rPr>
                <w:rFonts w:cs="Times New Roman"/>
                <w:szCs w:val="24"/>
              </w:rPr>
            </w:pPr>
            <w:r w:rsidRPr="008662EC">
              <w:rPr>
                <w:rFonts w:cs="Times New Roman"/>
                <w:szCs w:val="24"/>
              </w:rPr>
              <w:t>Conceição de Ipanema</w:t>
            </w:r>
          </w:p>
        </w:tc>
        <w:tc>
          <w:tcPr>
            <w:tcW w:w="992"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0,598</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0,704</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0,616</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0,741</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0,649</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0,750</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0,530</w:t>
            </w:r>
          </w:p>
        </w:tc>
        <w:tc>
          <w:tcPr>
            <w:tcW w:w="851" w:type="dxa"/>
            <w:vAlign w:val="center"/>
          </w:tcPr>
          <w:p w:rsidR="00192DB6" w:rsidRPr="008662EC" w:rsidRDefault="00192DB6" w:rsidP="008662EC">
            <w:pPr>
              <w:spacing w:before="120" w:after="120" w:line="240" w:lineRule="auto"/>
              <w:ind w:left="141" w:hanging="141"/>
              <w:jc w:val="center"/>
              <w:rPr>
                <w:rFonts w:cs="Times New Roman"/>
                <w:szCs w:val="24"/>
              </w:rPr>
            </w:pPr>
            <w:r w:rsidRPr="008662EC">
              <w:rPr>
                <w:rFonts w:cs="Times New Roman"/>
                <w:szCs w:val="24"/>
              </w:rPr>
              <w:t>0,620</w:t>
            </w:r>
          </w:p>
        </w:tc>
      </w:tr>
      <w:tr w:rsidR="00192DB6" w:rsidRPr="008662EC" w:rsidTr="008662EC">
        <w:trPr>
          <w:trHeight w:val="454"/>
          <w:jc w:val="center"/>
        </w:trPr>
        <w:tc>
          <w:tcPr>
            <w:tcW w:w="2552" w:type="dxa"/>
            <w:vAlign w:val="center"/>
          </w:tcPr>
          <w:p w:rsidR="00192DB6" w:rsidRPr="008662EC" w:rsidRDefault="00192DB6" w:rsidP="008662EC">
            <w:pPr>
              <w:pStyle w:val="PargrafodaLista"/>
              <w:spacing w:before="120" w:after="120" w:line="240" w:lineRule="auto"/>
              <w:ind w:left="34"/>
              <w:rPr>
                <w:rFonts w:cs="Times New Roman"/>
                <w:szCs w:val="24"/>
              </w:rPr>
            </w:pPr>
            <w:r w:rsidRPr="008662EC">
              <w:rPr>
                <w:rFonts w:cs="Times New Roman"/>
                <w:szCs w:val="24"/>
              </w:rPr>
              <w:t>Conselheiro Pena</w:t>
            </w:r>
          </w:p>
        </w:tc>
        <w:tc>
          <w:tcPr>
            <w:tcW w:w="992"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0,621</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0,734</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0,659</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0,774</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0,649</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0,765</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0,555</w:t>
            </w:r>
          </w:p>
        </w:tc>
        <w:tc>
          <w:tcPr>
            <w:tcW w:w="851" w:type="dxa"/>
            <w:vAlign w:val="center"/>
          </w:tcPr>
          <w:p w:rsidR="00192DB6" w:rsidRPr="008662EC" w:rsidRDefault="00192DB6" w:rsidP="008662EC">
            <w:pPr>
              <w:spacing w:before="120" w:after="120" w:line="240" w:lineRule="auto"/>
              <w:ind w:left="141" w:hanging="141"/>
              <w:jc w:val="center"/>
              <w:rPr>
                <w:rFonts w:cs="Times New Roman"/>
                <w:szCs w:val="24"/>
              </w:rPr>
            </w:pPr>
            <w:r w:rsidRPr="008662EC">
              <w:rPr>
                <w:rFonts w:cs="Times New Roman"/>
                <w:szCs w:val="24"/>
              </w:rPr>
              <w:t>0,664</w:t>
            </w:r>
          </w:p>
        </w:tc>
      </w:tr>
      <w:tr w:rsidR="00192DB6" w:rsidRPr="008662EC" w:rsidTr="008662EC">
        <w:trPr>
          <w:trHeight w:val="454"/>
          <w:jc w:val="center"/>
        </w:trPr>
        <w:tc>
          <w:tcPr>
            <w:tcW w:w="2552" w:type="dxa"/>
            <w:vAlign w:val="center"/>
          </w:tcPr>
          <w:p w:rsidR="00192DB6" w:rsidRPr="008662EC" w:rsidRDefault="00192DB6" w:rsidP="008662EC">
            <w:pPr>
              <w:pStyle w:val="PargrafodaLista"/>
              <w:spacing w:before="120" w:after="120" w:line="240" w:lineRule="auto"/>
              <w:ind w:left="34"/>
              <w:rPr>
                <w:rFonts w:cs="Times New Roman"/>
                <w:szCs w:val="24"/>
              </w:rPr>
            </w:pPr>
            <w:r w:rsidRPr="008662EC">
              <w:rPr>
                <w:rFonts w:cs="Times New Roman"/>
                <w:szCs w:val="24"/>
              </w:rPr>
              <w:t>Cuparaque</w:t>
            </w:r>
          </w:p>
        </w:tc>
        <w:tc>
          <w:tcPr>
            <w:tcW w:w="992"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0,605</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0,710</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0,580</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0,727</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0,701</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0,799</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0,535</w:t>
            </w:r>
          </w:p>
        </w:tc>
        <w:tc>
          <w:tcPr>
            <w:tcW w:w="851" w:type="dxa"/>
            <w:vAlign w:val="center"/>
          </w:tcPr>
          <w:p w:rsidR="00192DB6" w:rsidRPr="008662EC" w:rsidRDefault="00192DB6" w:rsidP="008662EC">
            <w:pPr>
              <w:spacing w:before="120" w:after="120" w:line="240" w:lineRule="auto"/>
              <w:ind w:left="141" w:hanging="141"/>
              <w:jc w:val="center"/>
              <w:rPr>
                <w:rFonts w:cs="Times New Roman"/>
                <w:szCs w:val="24"/>
              </w:rPr>
            </w:pPr>
            <w:r w:rsidRPr="008662EC">
              <w:rPr>
                <w:rFonts w:cs="Times New Roman"/>
                <w:szCs w:val="24"/>
              </w:rPr>
              <w:t>0,604</w:t>
            </w:r>
          </w:p>
        </w:tc>
      </w:tr>
      <w:tr w:rsidR="00192DB6" w:rsidRPr="008662EC" w:rsidTr="008662EC">
        <w:trPr>
          <w:trHeight w:val="454"/>
          <w:jc w:val="center"/>
        </w:trPr>
        <w:tc>
          <w:tcPr>
            <w:tcW w:w="2552" w:type="dxa"/>
            <w:vAlign w:val="center"/>
          </w:tcPr>
          <w:p w:rsidR="00192DB6" w:rsidRPr="008662EC" w:rsidRDefault="00192DB6" w:rsidP="008662EC">
            <w:pPr>
              <w:pStyle w:val="PargrafodaLista"/>
              <w:spacing w:before="120" w:after="120" w:line="240" w:lineRule="auto"/>
              <w:ind w:left="34"/>
              <w:rPr>
                <w:rFonts w:cs="Times New Roman"/>
                <w:szCs w:val="24"/>
              </w:rPr>
            </w:pPr>
            <w:r w:rsidRPr="008662EC">
              <w:rPr>
                <w:rFonts w:cs="Times New Roman"/>
                <w:szCs w:val="24"/>
              </w:rPr>
              <w:t>Goiabeira</w:t>
            </w:r>
          </w:p>
        </w:tc>
        <w:tc>
          <w:tcPr>
            <w:tcW w:w="992"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0,553</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0,670</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0,571</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0,731</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0,592</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0,688</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0,496</w:t>
            </w:r>
          </w:p>
        </w:tc>
        <w:tc>
          <w:tcPr>
            <w:tcW w:w="851" w:type="dxa"/>
            <w:vAlign w:val="center"/>
          </w:tcPr>
          <w:p w:rsidR="00192DB6" w:rsidRPr="008662EC" w:rsidRDefault="00192DB6" w:rsidP="008662EC">
            <w:pPr>
              <w:spacing w:before="120" w:after="120" w:line="240" w:lineRule="auto"/>
              <w:ind w:left="141" w:hanging="141"/>
              <w:jc w:val="center"/>
              <w:rPr>
                <w:rFonts w:cs="Times New Roman"/>
                <w:szCs w:val="24"/>
              </w:rPr>
            </w:pPr>
            <w:r w:rsidRPr="008662EC">
              <w:rPr>
                <w:rFonts w:cs="Times New Roman"/>
                <w:szCs w:val="24"/>
              </w:rPr>
              <w:t>0,591</w:t>
            </w:r>
          </w:p>
        </w:tc>
      </w:tr>
      <w:tr w:rsidR="00192DB6" w:rsidRPr="008662EC" w:rsidTr="008662EC">
        <w:trPr>
          <w:trHeight w:val="454"/>
          <w:jc w:val="center"/>
        </w:trPr>
        <w:tc>
          <w:tcPr>
            <w:tcW w:w="2552" w:type="dxa"/>
            <w:vAlign w:val="center"/>
          </w:tcPr>
          <w:p w:rsidR="00192DB6" w:rsidRPr="008662EC" w:rsidRDefault="00192DB6" w:rsidP="008662EC">
            <w:pPr>
              <w:pStyle w:val="PargrafodaLista"/>
              <w:spacing w:before="120" w:after="120" w:line="240" w:lineRule="auto"/>
              <w:ind w:left="34"/>
              <w:rPr>
                <w:rFonts w:cs="Times New Roman"/>
                <w:szCs w:val="24"/>
              </w:rPr>
            </w:pPr>
            <w:r w:rsidRPr="008662EC">
              <w:rPr>
                <w:rFonts w:cs="Times New Roman"/>
                <w:szCs w:val="24"/>
              </w:rPr>
              <w:t>Ipanema</w:t>
            </w:r>
          </w:p>
        </w:tc>
        <w:tc>
          <w:tcPr>
            <w:tcW w:w="992"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0,615</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0,724</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0,665</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0,790</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0,618</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0,750</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0,562</w:t>
            </w:r>
          </w:p>
        </w:tc>
        <w:tc>
          <w:tcPr>
            <w:tcW w:w="851" w:type="dxa"/>
            <w:vAlign w:val="center"/>
          </w:tcPr>
          <w:p w:rsidR="00192DB6" w:rsidRPr="008662EC" w:rsidRDefault="00192DB6" w:rsidP="008662EC">
            <w:pPr>
              <w:spacing w:before="120" w:after="120" w:line="240" w:lineRule="auto"/>
              <w:ind w:left="141" w:hanging="141"/>
              <w:jc w:val="center"/>
              <w:rPr>
                <w:rFonts w:cs="Times New Roman"/>
                <w:szCs w:val="24"/>
              </w:rPr>
            </w:pPr>
            <w:r w:rsidRPr="008662EC">
              <w:rPr>
                <w:rFonts w:cs="Times New Roman"/>
                <w:szCs w:val="24"/>
              </w:rPr>
              <w:t>0,633</w:t>
            </w:r>
          </w:p>
        </w:tc>
      </w:tr>
      <w:tr w:rsidR="00192DB6" w:rsidRPr="008662EC" w:rsidTr="008662EC">
        <w:trPr>
          <w:trHeight w:val="454"/>
          <w:jc w:val="center"/>
        </w:trPr>
        <w:tc>
          <w:tcPr>
            <w:tcW w:w="2552" w:type="dxa"/>
            <w:vAlign w:val="center"/>
          </w:tcPr>
          <w:p w:rsidR="00192DB6" w:rsidRPr="008662EC" w:rsidRDefault="00192DB6" w:rsidP="008662EC">
            <w:pPr>
              <w:pStyle w:val="PargrafodaLista"/>
              <w:spacing w:before="120" w:after="120" w:line="240" w:lineRule="auto"/>
              <w:ind w:left="34"/>
              <w:rPr>
                <w:rFonts w:cs="Times New Roman"/>
                <w:szCs w:val="24"/>
              </w:rPr>
            </w:pPr>
            <w:r w:rsidRPr="008662EC">
              <w:rPr>
                <w:rFonts w:cs="Times New Roman"/>
                <w:szCs w:val="24"/>
              </w:rPr>
              <w:t>Itueta</w:t>
            </w:r>
          </w:p>
        </w:tc>
        <w:tc>
          <w:tcPr>
            <w:tcW w:w="992"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0,612</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0,704</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0,668</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0,756</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0,649</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0,741</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0,518</w:t>
            </w:r>
          </w:p>
        </w:tc>
        <w:tc>
          <w:tcPr>
            <w:tcW w:w="851" w:type="dxa"/>
            <w:vAlign w:val="center"/>
          </w:tcPr>
          <w:p w:rsidR="00192DB6" w:rsidRPr="008662EC" w:rsidRDefault="00192DB6" w:rsidP="008662EC">
            <w:pPr>
              <w:spacing w:before="120" w:after="120" w:line="240" w:lineRule="auto"/>
              <w:ind w:left="141" w:hanging="141"/>
              <w:jc w:val="center"/>
              <w:rPr>
                <w:rFonts w:cs="Times New Roman"/>
                <w:szCs w:val="24"/>
              </w:rPr>
            </w:pPr>
            <w:r w:rsidRPr="008662EC">
              <w:rPr>
                <w:rFonts w:cs="Times New Roman"/>
                <w:szCs w:val="24"/>
              </w:rPr>
              <w:t>0,616</w:t>
            </w:r>
          </w:p>
        </w:tc>
      </w:tr>
      <w:tr w:rsidR="00192DB6" w:rsidRPr="008662EC" w:rsidTr="008662EC">
        <w:trPr>
          <w:trHeight w:val="454"/>
          <w:jc w:val="center"/>
        </w:trPr>
        <w:tc>
          <w:tcPr>
            <w:tcW w:w="2552" w:type="dxa"/>
            <w:vAlign w:val="center"/>
          </w:tcPr>
          <w:p w:rsidR="00192DB6" w:rsidRPr="008662EC" w:rsidRDefault="00192DB6" w:rsidP="008662EC">
            <w:pPr>
              <w:pStyle w:val="PargrafodaLista"/>
              <w:spacing w:before="120" w:after="120" w:line="240" w:lineRule="auto"/>
              <w:ind w:left="34"/>
              <w:rPr>
                <w:rFonts w:cs="Times New Roman"/>
                <w:szCs w:val="24"/>
              </w:rPr>
            </w:pPr>
            <w:r w:rsidRPr="008662EC">
              <w:rPr>
                <w:rFonts w:cs="Times New Roman"/>
                <w:szCs w:val="24"/>
              </w:rPr>
              <w:t>Mutum</w:t>
            </w:r>
          </w:p>
        </w:tc>
        <w:tc>
          <w:tcPr>
            <w:tcW w:w="992"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0,585</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0,712</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0,611</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0,719</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0,640</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0,750</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0,505</w:t>
            </w:r>
          </w:p>
        </w:tc>
        <w:tc>
          <w:tcPr>
            <w:tcW w:w="851" w:type="dxa"/>
            <w:vAlign w:val="center"/>
          </w:tcPr>
          <w:p w:rsidR="00192DB6" w:rsidRPr="008662EC" w:rsidRDefault="00192DB6" w:rsidP="008662EC">
            <w:pPr>
              <w:spacing w:before="120" w:after="120" w:line="240" w:lineRule="auto"/>
              <w:ind w:left="141" w:hanging="141"/>
              <w:jc w:val="center"/>
              <w:rPr>
                <w:rFonts w:cs="Times New Roman"/>
                <w:szCs w:val="24"/>
              </w:rPr>
            </w:pPr>
            <w:r w:rsidRPr="008662EC">
              <w:rPr>
                <w:rFonts w:cs="Times New Roman"/>
                <w:szCs w:val="24"/>
              </w:rPr>
              <w:t>0,668</w:t>
            </w:r>
          </w:p>
        </w:tc>
      </w:tr>
      <w:tr w:rsidR="00192DB6" w:rsidRPr="008662EC" w:rsidTr="008662EC">
        <w:trPr>
          <w:trHeight w:val="454"/>
          <w:jc w:val="center"/>
        </w:trPr>
        <w:tc>
          <w:tcPr>
            <w:tcW w:w="2552" w:type="dxa"/>
            <w:vAlign w:val="center"/>
          </w:tcPr>
          <w:p w:rsidR="00192DB6" w:rsidRPr="008662EC" w:rsidRDefault="00192DB6" w:rsidP="008662EC">
            <w:pPr>
              <w:pStyle w:val="PargrafodaLista"/>
              <w:spacing w:before="120" w:after="120" w:line="240" w:lineRule="auto"/>
              <w:ind w:left="34"/>
              <w:rPr>
                <w:rFonts w:cs="Times New Roman"/>
                <w:szCs w:val="24"/>
              </w:rPr>
            </w:pPr>
            <w:r w:rsidRPr="008662EC">
              <w:rPr>
                <w:rFonts w:cs="Times New Roman"/>
                <w:szCs w:val="24"/>
              </w:rPr>
              <w:t>Pocrane</w:t>
            </w:r>
          </w:p>
        </w:tc>
        <w:tc>
          <w:tcPr>
            <w:tcW w:w="992"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0,603</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0,690</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0,631</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0,733</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0,698</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0,741</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0,479</w:t>
            </w:r>
          </w:p>
        </w:tc>
        <w:tc>
          <w:tcPr>
            <w:tcW w:w="851" w:type="dxa"/>
            <w:vAlign w:val="center"/>
          </w:tcPr>
          <w:p w:rsidR="00192DB6" w:rsidRPr="008662EC" w:rsidRDefault="00192DB6" w:rsidP="008662EC">
            <w:pPr>
              <w:spacing w:before="120" w:after="120" w:line="240" w:lineRule="auto"/>
              <w:ind w:left="141" w:hanging="141"/>
              <w:jc w:val="center"/>
              <w:rPr>
                <w:rFonts w:cs="Times New Roman"/>
                <w:szCs w:val="24"/>
              </w:rPr>
            </w:pPr>
            <w:r w:rsidRPr="008662EC">
              <w:rPr>
                <w:rFonts w:cs="Times New Roman"/>
                <w:szCs w:val="24"/>
              </w:rPr>
              <w:t>0,597</w:t>
            </w:r>
          </w:p>
        </w:tc>
      </w:tr>
      <w:tr w:rsidR="00192DB6" w:rsidRPr="008662EC" w:rsidTr="008662EC">
        <w:trPr>
          <w:trHeight w:val="454"/>
          <w:jc w:val="center"/>
        </w:trPr>
        <w:tc>
          <w:tcPr>
            <w:tcW w:w="2552" w:type="dxa"/>
            <w:vAlign w:val="center"/>
          </w:tcPr>
          <w:p w:rsidR="00192DB6" w:rsidRPr="008662EC" w:rsidRDefault="00192DB6" w:rsidP="008662EC">
            <w:pPr>
              <w:pStyle w:val="PargrafodaLista"/>
              <w:spacing w:before="120" w:after="120" w:line="240" w:lineRule="auto"/>
              <w:ind w:left="34"/>
              <w:rPr>
                <w:rFonts w:cs="Times New Roman"/>
                <w:szCs w:val="24"/>
              </w:rPr>
            </w:pPr>
            <w:r w:rsidRPr="008662EC">
              <w:rPr>
                <w:rFonts w:cs="Times New Roman"/>
                <w:szCs w:val="24"/>
              </w:rPr>
              <w:t>Resplendor</w:t>
            </w:r>
          </w:p>
        </w:tc>
        <w:tc>
          <w:tcPr>
            <w:tcW w:w="992"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0,647</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0,730</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0,663</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0,785</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0,709</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0,750</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0,570</w:t>
            </w:r>
          </w:p>
        </w:tc>
        <w:tc>
          <w:tcPr>
            <w:tcW w:w="851" w:type="dxa"/>
            <w:vAlign w:val="center"/>
          </w:tcPr>
          <w:p w:rsidR="00192DB6" w:rsidRPr="008662EC" w:rsidRDefault="00192DB6" w:rsidP="008662EC">
            <w:pPr>
              <w:spacing w:before="120" w:after="120" w:line="240" w:lineRule="auto"/>
              <w:ind w:left="141" w:hanging="141"/>
              <w:jc w:val="center"/>
              <w:rPr>
                <w:rFonts w:cs="Times New Roman"/>
                <w:szCs w:val="24"/>
              </w:rPr>
            </w:pPr>
            <w:r w:rsidRPr="008662EC">
              <w:rPr>
                <w:rFonts w:cs="Times New Roman"/>
                <w:szCs w:val="24"/>
              </w:rPr>
              <w:t>0,656</w:t>
            </w:r>
          </w:p>
        </w:tc>
      </w:tr>
      <w:tr w:rsidR="00192DB6" w:rsidRPr="008662EC" w:rsidTr="008662EC">
        <w:trPr>
          <w:trHeight w:val="454"/>
          <w:jc w:val="center"/>
        </w:trPr>
        <w:tc>
          <w:tcPr>
            <w:tcW w:w="2552" w:type="dxa"/>
            <w:vAlign w:val="center"/>
          </w:tcPr>
          <w:p w:rsidR="00192DB6" w:rsidRPr="008662EC" w:rsidRDefault="00192DB6" w:rsidP="008662EC">
            <w:pPr>
              <w:pStyle w:val="PargrafodaLista"/>
              <w:spacing w:before="120" w:after="120" w:line="240" w:lineRule="auto"/>
              <w:ind w:left="34"/>
              <w:rPr>
                <w:rFonts w:cs="Times New Roman"/>
                <w:szCs w:val="24"/>
              </w:rPr>
            </w:pPr>
            <w:r w:rsidRPr="008662EC">
              <w:rPr>
                <w:rFonts w:cs="Times New Roman"/>
                <w:szCs w:val="24"/>
              </w:rPr>
              <w:t>Santa Rita do Itueto</w:t>
            </w:r>
          </w:p>
        </w:tc>
        <w:tc>
          <w:tcPr>
            <w:tcW w:w="992"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0,569</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0,691</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0,573</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0,719</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0,649</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0,750</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0,486</w:t>
            </w:r>
          </w:p>
        </w:tc>
        <w:tc>
          <w:tcPr>
            <w:tcW w:w="851" w:type="dxa"/>
            <w:vAlign w:val="center"/>
          </w:tcPr>
          <w:p w:rsidR="00192DB6" w:rsidRPr="008662EC" w:rsidRDefault="00192DB6" w:rsidP="008662EC">
            <w:pPr>
              <w:spacing w:before="120" w:after="120" w:line="240" w:lineRule="auto"/>
              <w:ind w:left="141" w:hanging="141"/>
              <w:jc w:val="center"/>
              <w:rPr>
                <w:rFonts w:cs="Times New Roman"/>
                <w:szCs w:val="24"/>
              </w:rPr>
            </w:pPr>
            <w:r w:rsidRPr="008662EC">
              <w:rPr>
                <w:rFonts w:cs="Times New Roman"/>
                <w:szCs w:val="24"/>
              </w:rPr>
              <w:t>0,603</w:t>
            </w:r>
          </w:p>
        </w:tc>
      </w:tr>
      <w:tr w:rsidR="00192DB6" w:rsidRPr="008662EC" w:rsidTr="008662EC">
        <w:trPr>
          <w:trHeight w:val="454"/>
          <w:jc w:val="center"/>
        </w:trPr>
        <w:tc>
          <w:tcPr>
            <w:tcW w:w="2552" w:type="dxa"/>
            <w:vAlign w:val="center"/>
          </w:tcPr>
          <w:p w:rsidR="00192DB6" w:rsidRPr="008662EC" w:rsidRDefault="00192DB6" w:rsidP="008662EC">
            <w:pPr>
              <w:pStyle w:val="PargrafodaLista"/>
              <w:spacing w:before="120" w:after="120" w:line="240" w:lineRule="auto"/>
              <w:ind w:left="34"/>
              <w:rPr>
                <w:rFonts w:cs="Times New Roman"/>
                <w:szCs w:val="24"/>
              </w:rPr>
            </w:pPr>
            <w:r w:rsidRPr="008662EC">
              <w:rPr>
                <w:rFonts w:cs="Times New Roman"/>
                <w:szCs w:val="24"/>
              </w:rPr>
              <w:t>Taparuba</w:t>
            </w:r>
          </w:p>
        </w:tc>
        <w:tc>
          <w:tcPr>
            <w:tcW w:w="992"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0,568</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0,700</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0,595</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0,756</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0,606</w:t>
            </w:r>
          </w:p>
        </w:tc>
        <w:tc>
          <w:tcPr>
            <w:tcW w:w="851"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0,750</w:t>
            </w:r>
          </w:p>
        </w:tc>
        <w:tc>
          <w:tcPr>
            <w:tcW w:w="850" w:type="dxa"/>
            <w:vAlign w:val="center"/>
          </w:tcPr>
          <w:p w:rsidR="00192DB6" w:rsidRPr="008662EC" w:rsidRDefault="00192DB6" w:rsidP="008662EC">
            <w:pPr>
              <w:spacing w:before="120" w:after="120" w:line="240" w:lineRule="auto"/>
              <w:jc w:val="center"/>
              <w:rPr>
                <w:rFonts w:cs="Times New Roman"/>
                <w:szCs w:val="24"/>
              </w:rPr>
            </w:pPr>
            <w:r w:rsidRPr="008662EC">
              <w:rPr>
                <w:rFonts w:cs="Times New Roman"/>
                <w:szCs w:val="24"/>
              </w:rPr>
              <w:t>0,503</w:t>
            </w:r>
          </w:p>
        </w:tc>
        <w:tc>
          <w:tcPr>
            <w:tcW w:w="851" w:type="dxa"/>
            <w:vAlign w:val="center"/>
          </w:tcPr>
          <w:p w:rsidR="00192DB6" w:rsidRPr="008662EC" w:rsidRDefault="00192DB6" w:rsidP="008662EC">
            <w:pPr>
              <w:spacing w:before="120" w:after="120" w:line="240" w:lineRule="auto"/>
              <w:ind w:left="141" w:hanging="141"/>
              <w:jc w:val="center"/>
              <w:rPr>
                <w:rFonts w:cs="Times New Roman"/>
                <w:szCs w:val="24"/>
              </w:rPr>
            </w:pPr>
            <w:r w:rsidRPr="008662EC">
              <w:rPr>
                <w:rFonts w:cs="Times New Roman"/>
                <w:szCs w:val="24"/>
              </w:rPr>
              <w:t>0,593</w:t>
            </w:r>
          </w:p>
        </w:tc>
      </w:tr>
      <w:tr w:rsidR="00192DB6" w:rsidRPr="008662EC" w:rsidTr="008662EC">
        <w:trPr>
          <w:trHeight w:val="454"/>
          <w:jc w:val="center"/>
        </w:trPr>
        <w:tc>
          <w:tcPr>
            <w:tcW w:w="2552" w:type="dxa"/>
            <w:vAlign w:val="center"/>
          </w:tcPr>
          <w:p w:rsidR="00192DB6" w:rsidRPr="008662EC" w:rsidRDefault="00192DB6" w:rsidP="008662EC">
            <w:pPr>
              <w:pStyle w:val="PargrafodaLista"/>
              <w:spacing w:before="120" w:after="120" w:line="240" w:lineRule="auto"/>
              <w:ind w:left="34"/>
              <w:rPr>
                <w:rFonts w:cs="Times New Roman"/>
                <w:b/>
                <w:szCs w:val="24"/>
              </w:rPr>
            </w:pPr>
            <w:r w:rsidRPr="008662EC">
              <w:rPr>
                <w:rFonts w:cs="Times New Roman"/>
                <w:b/>
                <w:szCs w:val="24"/>
              </w:rPr>
              <w:t>Minas Gerais</w:t>
            </w:r>
          </w:p>
        </w:tc>
        <w:tc>
          <w:tcPr>
            <w:tcW w:w="992" w:type="dxa"/>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0,697</w:t>
            </w:r>
          </w:p>
        </w:tc>
        <w:tc>
          <w:tcPr>
            <w:tcW w:w="851" w:type="dxa"/>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0,773</w:t>
            </w:r>
          </w:p>
        </w:tc>
        <w:tc>
          <w:tcPr>
            <w:tcW w:w="850" w:type="dxa"/>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0,751</w:t>
            </w:r>
          </w:p>
        </w:tc>
        <w:tc>
          <w:tcPr>
            <w:tcW w:w="851" w:type="dxa"/>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0,850</w:t>
            </w:r>
          </w:p>
        </w:tc>
        <w:tc>
          <w:tcPr>
            <w:tcW w:w="850" w:type="dxa"/>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0,689</w:t>
            </w:r>
          </w:p>
        </w:tc>
        <w:tc>
          <w:tcPr>
            <w:tcW w:w="851" w:type="dxa"/>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0,759</w:t>
            </w:r>
          </w:p>
        </w:tc>
        <w:tc>
          <w:tcPr>
            <w:tcW w:w="850" w:type="dxa"/>
            <w:vAlign w:val="center"/>
          </w:tcPr>
          <w:p w:rsidR="00192DB6" w:rsidRPr="008662EC" w:rsidRDefault="00192DB6" w:rsidP="008662EC">
            <w:pPr>
              <w:spacing w:before="120" w:after="120" w:line="240" w:lineRule="auto"/>
              <w:jc w:val="center"/>
              <w:rPr>
                <w:rFonts w:cs="Times New Roman"/>
                <w:b/>
                <w:szCs w:val="24"/>
              </w:rPr>
            </w:pPr>
            <w:r w:rsidRPr="008662EC">
              <w:rPr>
                <w:rFonts w:cs="Times New Roman"/>
                <w:b/>
                <w:szCs w:val="24"/>
              </w:rPr>
              <w:t>0,652</w:t>
            </w:r>
          </w:p>
        </w:tc>
        <w:tc>
          <w:tcPr>
            <w:tcW w:w="851" w:type="dxa"/>
            <w:vAlign w:val="center"/>
          </w:tcPr>
          <w:p w:rsidR="00192DB6" w:rsidRPr="008662EC" w:rsidRDefault="00192DB6" w:rsidP="008662EC">
            <w:pPr>
              <w:spacing w:before="120" w:after="120" w:line="240" w:lineRule="auto"/>
              <w:ind w:left="141" w:hanging="141"/>
              <w:jc w:val="center"/>
              <w:rPr>
                <w:rFonts w:cs="Times New Roman"/>
                <w:b/>
                <w:szCs w:val="24"/>
              </w:rPr>
            </w:pPr>
            <w:r w:rsidRPr="008662EC">
              <w:rPr>
                <w:rFonts w:cs="Times New Roman"/>
                <w:b/>
                <w:szCs w:val="24"/>
              </w:rPr>
              <w:t>0,711</w:t>
            </w:r>
          </w:p>
        </w:tc>
      </w:tr>
    </w:tbl>
    <w:p w:rsidR="00192DB6" w:rsidRPr="00CE5340" w:rsidRDefault="00192DB6" w:rsidP="002558A4">
      <w:pPr>
        <w:pStyle w:val="Fonte"/>
      </w:pPr>
      <w:r w:rsidRPr="00CE5340">
        <w:t>FONTE: PNUD (2000)</w:t>
      </w:r>
    </w:p>
    <w:p w:rsidR="00192DB6"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A dimensão que mais contribuiu para o crescimento do IDH do município de Aimorés foi a Longevidade, com 49,8%, seguida pela Educação, com 28,0% e pela Renda, com 22,2% (F</w:t>
      </w:r>
      <w:r w:rsidR="008662EC">
        <w:rPr>
          <w:rFonts w:ascii="Times New Roman" w:hAnsi="Times New Roman" w:cs="Times New Roman"/>
        </w:rPr>
        <w:t>igura</w:t>
      </w:r>
      <w:r w:rsidRPr="007A0B11">
        <w:rPr>
          <w:rFonts w:ascii="Times New Roman" w:hAnsi="Times New Roman" w:cs="Times New Roman"/>
        </w:rPr>
        <w:t xml:space="preserve"> </w:t>
      </w:r>
      <w:r w:rsidR="008662EC">
        <w:rPr>
          <w:rFonts w:ascii="Times New Roman" w:hAnsi="Times New Roman" w:cs="Times New Roman"/>
        </w:rPr>
        <w:t>35</w:t>
      </w:r>
      <w:r w:rsidRPr="007A0B11">
        <w:rPr>
          <w:rFonts w:ascii="Times New Roman" w:hAnsi="Times New Roman" w:cs="Times New Roman"/>
        </w:rPr>
        <w:t>). Com respeito a todos os municípios da microrregião, a dimensão de maior peso foi a educação (53,8%), sendo sua contribuição média equivalente a 38,8%.</w:t>
      </w:r>
    </w:p>
    <w:p w:rsidR="008662EC" w:rsidRDefault="008662EC">
      <w:pPr>
        <w:spacing w:after="200" w:line="276" w:lineRule="auto"/>
        <w:rPr>
          <w:rFonts w:eastAsiaTheme="minorEastAsia" w:cs="Times New Roman"/>
          <w:bCs/>
          <w:szCs w:val="24"/>
          <w:lang w:eastAsia="pt-BR"/>
        </w:rPr>
      </w:pPr>
      <w:bookmarkStart w:id="142" w:name="_Toc372117074"/>
      <w:r>
        <w:br w:type="page"/>
      </w:r>
    </w:p>
    <w:p w:rsidR="002558A4" w:rsidRPr="002558A4" w:rsidRDefault="00CB07F3" w:rsidP="00CB07F3">
      <w:pPr>
        <w:pStyle w:val="Legenda"/>
      </w:pPr>
      <w:bookmarkStart w:id="143" w:name="_Toc372740118"/>
      <w:bookmarkEnd w:id="142"/>
      <w:r>
        <w:lastRenderedPageBreak/>
        <w:t xml:space="preserve">Figura </w:t>
      </w:r>
      <w:fldSimple w:instr=" SEQ Figura \* ARABIC ">
        <w:r w:rsidR="004F77E2">
          <w:rPr>
            <w:noProof/>
          </w:rPr>
          <w:t>35</w:t>
        </w:r>
      </w:fldSimple>
      <w:r>
        <w:t xml:space="preserve"> - </w:t>
      </w:r>
      <w:r w:rsidRPr="009C11DA">
        <w:rPr>
          <w:noProof/>
        </w:rPr>
        <w:t>Dimensões do IDH e suas contribuições, Aimorés, MG, 2000.</w:t>
      </w:r>
      <w:bookmarkEnd w:id="143"/>
    </w:p>
    <w:p w:rsidR="00192DB6" w:rsidRPr="004803AF" w:rsidRDefault="00192DB6" w:rsidP="00192DB6">
      <w:pPr>
        <w:autoSpaceDE w:val="0"/>
        <w:autoSpaceDN w:val="0"/>
        <w:adjustRightInd w:val="0"/>
        <w:spacing w:after="0" w:line="360" w:lineRule="auto"/>
        <w:jc w:val="both"/>
        <w:rPr>
          <w:rFonts w:ascii="Comic Sans MS" w:hAnsi="Comic Sans MS" w:cs="Calibri"/>
          <w:sz w:val="26"/>
          <w:szCs w:val="26"/>
        </w:rPr>
      </w:pPr>
      <w:r w:rsidRPr="009A653A">
        <w:rPr>
          <w:noProof/>
          <w:lang w:eastAsia="pt-BR"/>
        </w:rPr>
        <w:drawing>
          <wp:inline distT="0" distB="0" distL="0" distR="0" wp14:anchorId="29471239" wp14:editId="2692CBDB">
            <wp:extent cx="5433237" cy="3264521"/>
            <wp:effectExtent l="19050" t="0" r="0" b="0"/>
            <wp:docPr id="23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436855" cy="3266695"/>
                    </a:xfrm>
                    <a:prstGeom prst="rect">
                      <a:avLst/>
                    </a:prstGeom>
                    <a:noFill/>
                    <a:ln>
                      <a:noFill/>
                    </a:ln>
                  </pic:spPr>
                </pic:pic>
              </a:graphicData>
            </a:graphic>
          </wp:inline>
        </w:drawing>
      </w:r>
    </w:p>
    <w:p w:rsidR="00192DB6" w:rsidRDefault="00192DB6" w:rsidP="002558A4">
      <w:pPr>
        <w:pStyle w:val="Fonte"/>
      </w:pPr>
      <w:r w:rsidRPr="004803AF">
        <w:t>FONTE: PNUD (2000)</w:t>
      </w:r>
    </w:p>
    <w:p w:rsidR="00192DB6" w:rsidRPr="008662EC" w:rsidRDefault="00192DB6" w:rsidP="008662EC">
      <w:pPr>
        <w:autoSpaceDE w:val="0"/>
        <w:autoSpaceDN w:val="0"/>
        <w:adjustRightInd w:val="0"/>
        <w:spacing w:after="0" w:line="360" w:lineRule="auto"/>
        <w:ind w:firstLine="851"/>
        <w:jc w:val="both"/>
        <w:rPr>
          <w:rFonts w:cs="Times New Roman"/>
          <w:szCs w:val="24"/>
        </w:rPr>
      </w:pPr>
      <w:r w:rsidRPr="008662EC">
        <w:rPr>
          <w:rFonts w:cs="Times New Roman"/>
          <w:szCs w:val="24"/>
        </w:rPr>
        <w:t xml:space="preserve">No período de 1991/2000, o hiato de desenvolvimento humano (a distância entre o IDH do município e o limite máximo do IDH, ou seja, 1 - IDH) do município de Aimorés reduziu em 25,7%; enquanto que, para a microrregião como um todo, a redução média foi de 26%. </w:t>
      </w:r>
    </w:p>
    <w:p w:rsidR="00192DB6" w:rsidRPr="008662EC" w:rsidRDefault="00192DB6" w:rsidP="008662EC">
      <w:pPr>
        <w:pStyle w:val="CM72"/>
        <w:spacing w:line="360" w:lineRule="auto"/>
        <w:ind w:firstLine="708"/>
        <w:jc w:val="both"/>
        <w:rPr>
          <w:rFonts w:ascii="Times New Roman" w:hAnsi="Times New Roman" w:cs="Times New Roman"/>
        </w:rPr>
      </w:pPr>
      <w:r w:rsidRPr="008662EC">
        <w:rPr>
          <w:rFonts w:ascii="Times New Roman" w:hAnsi="Times New Roman" w:cs="Times New Roman"/>
        </w:rPr>
        <w:t>Se o IDH-M de Aimorés mantivesse a mesma taxa de crescimento, o município levaria 14,6 anos para alcançar São Caetano do Sul (SP), que possui o melhor IDH-M do Brasil (0,919), e 8,9 anos para alcançar Poços de Caldas (MG), o município com o melhor IDH-M do Estado de Minas Gerais (0,841).</w:t>
      </w:r>
    </w:p>
    <w:p w:rsidR="00192DB6" w:rsidRPr="00D62402" w:rsidRDefault="00A369F0" w:rsidP="00971B37">
      <w:pPr>
        <w:pStyle w:val="Titulo"/>
      </w:pPr>
      <w:bookmarkStart w:id="144" w:name="_Toc372559062"/>
      <w:bookmarkStart w:id="145" w:name="_Toc372789502"/>
      <w:r>
        <w:t>8</w:t>
      </w:r>
      <w:r w:rsidR="008E169C">
        <w:t xml:space="preserve">.3.8 </w:t>
      </w:r>
      <w:r w:rsidR="00192DB6" w:rsidRPr="00D62402">
        <w:t>Estado da Cultura, Esporte, Turismo e Lazer</w:t>
      </w:r>
      <w:bookmarkEnd w:id="144"/>
      <w:bookmarkEnd w:id="145"/>
      <w:r w:rsidR="00192DB6" w:rsidRPr="00D62402">
        <w:t xml:space="preserve"> </w:t>
      </w:r>
    </w:p>
    <w:p w:rsidR="00192DB6" w:rsidRPr="007A0B11" w:rsidRDefault="00192DB6" w:rsidP="008662EC">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Numa concepção mais ampla, cultura é toda e qualquer manifestação humana e suas interconexões com o ambiente. Essa visão está presente na Constituição de 1988, que reconhece como patrimônio cultural brasileiro, além das edificações, obras, objetos e documentos, as formas de expressão e os modos de criar, fazer e viver, bem como as criações, científicas, artísticas e tecnológicas. </w:t>
      </w:r>
    </w:p>
    <w:p w:rsidR="00192DB6" w:rsidRPr="007A0B11" w:rsidRDefault="00192DB6" w:rsidP="00843498">
      <w:pPr>
        <w:pStyle w:val="CM72"/>
        <w:spacing w:line="360" w:lineRule="auto"/>
        <w:ind w:firstLine="708"/>
        <w:jc w:val="both"/>
        <w:rPr>
          <w:rFonts w:ascii="Times New Roman" w:hAnsi="Times New Roman" w:cs="Times New Roman"/>
        </w:rPr>
      </w:pPr>
      <w:r w:rsidRPr="007A0B11">
        <w:rPr>
          <w:rFonts w:ascii="Times New Roman" w:hAnsi="Times New Roman" w:cs="Times New Roman"/>
        </w:rPr>
        <w:t xml:space="preserve">O dimensionamento da cultura local baseou-se em duas dimensões utilizadas pelo </w:t>
      </w:r>
      <w:r w:rsidRPr="007A0B11">
        <w:rPr>
          <w:rFonts w:ascii="Times New Roman" w:hAnsi="Times New Roman" w:cs="Times New Roman"/>
        </w:rPr>
        <w:lastRenderedPageBreak/>
        <w:t xml:space="preserve">Índice Mineiro de Responsabilidade Social (FJP, 2013), que são: o aparato institucional e o “estado” da cultura, em termos da existência de equipamentos culturais (museu, teatro, cinema, centros culturais, bibliotecas, casa da cultura, bandas de música, dentre outros), além da responsabilidade da municipalidade com o setor cultural, considerando os gastos per capita em cultura. </w:t>
      </w:r>
    </w:p>
    <w:p w:rsidR="00192DB6" w:rsidRPr="007A0B11" w:rsidRDefault="00192DB6" w:rsidP="008662EC">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O município de Aimorés dispõe de diversos equipamentos culturais, como: o museu (reformado em 2009 pela prefeitura, em parceria com o </w:t>
      </w:r>
      <w:hyperlink r:id="rId80" w:tooltip="Instituto do Patrimônio Histórico e Artístico Nacional" w:history="1">
        <w:r w:rsidRPr="007A0B11">
          <w:rPr>
            <w:rFonts w:ascii="Times New Roman" w:hAnsi="Times New Roman" w:cs="Times New Roman"/>
          </w:rPr>
          <w:t>Instituto do Patrimônio Histórico e Artístico Nacional</w:t>
        </w:r>
      </w:hyperlink>
      <w:r w:rsidRPr="007A0B11">
        <w:rPr>
          <w:rFonts w:ascii="Times New Roman" w:hAnsi="Times New Roman" w:cs="Times New Roman"/>
        </w:rPr>
        <w:t xml:space="preserve">), teatro, cinema, centros culturais, banda de música, bibliotecas e de pluralidade de equipamentos (exceto biblioteca). Não existe o Conselho Municipal de Cultura, mas o município conta com o Conselho de Patrimônio Cultural. </w:t>
      </w:r>
    </w:p>
    <w:p w:rsidR="00192DB6" w:rsidRPr="007A0B11" w:rsidRDefault="00192DB6" w:rsidP="00843498">
      <w:pPr>
        <w:pStyle w:val="CM72"/>
        <w:spacing w:line="360" w:lineRule="auto"/>
        <w:ind w:firstLine="708"/>
        <w:jc w:val="both"/>
        <w:rPr>
          <w:rFonts w:ascii="Times New Roman" w:hAnsi="Times New Roman" w:cs="Times New Roman"/>
        </w:rPr>
      </w:pPr>
      <w:r w:rsidRPr="007A0B11">
        <w:rPr>
          <w:rFonts w:ascii="Times New Roman" w:hAnsi="Times New Roman" w:cs="Times New Roman"/>
        </w:rPr>
        <w:t>O equipamento cultural mais utilizado no Município é a biblioteca (32%); enquanto o Museu Arqueológico Municipal, embora reconhecido como importante ativo local, é pouco frequentado (11%). A biblioteca e o museu integram o Centro Social de Aimorés, que abriga ainda uma loja de artesanato e dispõe de atividades para a juventude e a terceira idade.</w:t>
      </w:r>
    </w:p>
    <w:p w:rsidR="00192DB6" w:rsidRPr="007A0B11" w:rsidRDefault="00192DB6" w:rsidP="00843498">
      <w:pPr>
        <w:pStyle w:val="CM72"/>
        <w:spacing w:line="360" w:lineRule="auto"/>
        <w:ind w:firstLine="708"/>
        <w:jc w:val="both"/>
        <w:rPr>
          <w:rFonts w:ascii="Times New Roman" w:hAnsi="Times New Roman" w:cs="Times New Roman"/>
        </w:rPr>
      </w:pPr>
      <w:r w:rsidRPr="007A0B11">
        <w:rPr>
          <w:rFonts w:ascii="Times New Roman" w:hAnsi="Times New Roman" w:cs="Times New Roman"/>
        </w:rPr>
        <w:t>Destacam-se também no Município as festas e os eventos culturais, tais como o Festival da Canção, o evento Artistas na Praça, a Feira Cultural, bem como diversos grupos artísticos de teatro (Liberdade e Cultura, Escola Crescer) e de capoeira, o Grupo da Terceira Idade e da Associação de Bandas (ASBAN), a Filarmônica Municipal e alguns grupos musicais: Trio Forró na Veia, Forró Pé de Fogo, Créu e Seus Teclados e Forró Cangaia (</w:t>
      </w:r>
      <w:r w:rsidR="00876CD0">
        <w:rPr>
          <w:rFonts w:ascii="Times New Roman" w:hAnsi="Times New Roman" w:cs="Times New Roman"/>
        </w:rPr>
        <w:t>AGÊNCIA</w:t>
      </w:r>
      <w:r w:rsidRPr="007A0B11">
        <w:rPr>
          <w:rFonts w:ascii="Times New Roman" w:hAnsi="Times New Roman" w:cs="Times New Roman"/>
        </w:rPr>
        <w:t xml:space="preserve"> 21). </w:t>
      </w:r>
    </w:p>
    <w:p w:rsidR="00192DB6" w:rsidRPr="007A0B11" w:rsidRDefault="00192DB6" w:rsidP="008662EC">
      <w:pPr>
        <w:pStyle w:val="CM72"/>
        <w:spacing w:line="360" w:lineRule="auto"/>
        <w:ind w:firstLine="709"/>
        <w:jc w:val="both"/>
        <w:rPr>
          <w:rFonts w:ascii="Times New Roman" w:hAnsi="Times New Roman" w:cs="Times New Roman"/>
        </w:rPr>
      </w:pPr>
      <w:r w:rsidRPr="007A0B11">
        <w:rPr>
          <w:rFonts w:ascii="Times New Roman" w:hAnsi="Times New Roman" w:cs="Times New Roman"/>
        </w:rPr>
        <w:t>O referido estudo também relata sobre o patrimônio cultural, afirmando que, apesar do patrimônio guardar viva a memória do Município e ser de inegável valor histórico e cultural, ainda é subestimado. É certo que a cidade se renovou, surgindo assim construções mais modernas e contemporâneas. Porém, prédios como o do Fórum, da Igreja da Matriz, o da Prefeitura, e mesmo algumas residências, são exemplos da história e da formação do município de Aimorés. Para ajudar na preservação do patrimônio histórico de Aimorés, a Usina de Aimorés apoiou a reforma da Matriz Nossa Senhora do Carmo.</w:t>
      </w:r>
    </w:p>
    <w:p w:rsidR="00192DB6" w:rsidRPr="007A0B11" w:rsidRDefault="00192DB6" w:rsidP="008662EC">
      <w:pPr>
        <w:pStyle w:val="CM72"/>
        <w:spacing w:line="360" w:lineRule="auto"/>
        <w:ind w:firstLine="709"/>
        <w:jc w:val="both"/>
        <w:rPr>
          <w:rFonts w:ascii="Times New Roman" w:hAnsi="Times New Roman" w:cs="Times New Roman"/>
        </w:rPr>
      </w:pPr>
      <w:r w:rsidRPr="007A0B11">
        <w:rPr>
          <w:rFonts w:ascii="Times New Roman" w:hAnsi="Times New Roman" w:cs="Times New Roman"/>
        </w:rPr>
        <w:t>Pesquisa realizada junto a 182 moradores de Aimorés pela Ag</w:t>
      </w:r>
      <w:r w:rsidR="00876CD0">
        <w:rPr>
          <w:rFonts w:ascii="Times New Roman" w:hAnsi="Times New Roman" w:cs="Times New Roman"/>
        </w:rPr>
        <w:t>ência</w:t>
      </w:r>
      <w:r w:rsidRPr="007A0B11">
        <w:rPr>
          <w:rFonts w:ascii="Times New Roman" w:hAnsi="Times New Roman" w:cs="Times New Roman"/>
        </w:rPr>
        <w:t xml:space="preserve"> 21 (2007) mostrou que 21% dos entrevistados apontaram como um dos principais problemas do Município a falta de opções de lazer, esportes e eventos culturais. A falta de praças, parques </w:t>
      </w:r>
      <w:r w:rsidRPr="007A0B11">
        <w:rPr>
          <w:rFonts w:ascii="Times New Roman" w:hAnsi="Times New Roman" w:cs="Times New Roman"/>
        </w:rPr>
        <w:lastRenderedPageBreak/>
        <w:t xml:space="preserve">e jardins foi assinalada por 17% dos entrevistados. </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Com relação aos equipamentos de esporte e lazer, sobressai a utilização expressiva de quadra poliesportiva e das praças, sobretudo no centro da cidade, além dos três clubes sociais (Lorena, AABB e Ferroviários), piscinas e ginásios.</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De acordo com a pesquisa feita pelo SEBRAE (2005, apud </w:t>
      </w:r>
      <w:r w:rsidR="00876CD0">
        <w:rPr>
          <w:rFonts w:ascii="Times New Roman" w:hAnsi="Times New Roman" w:cs="Times New Roman"/>
        </w:rPr>
        <w:t>AGÊNCIA</w:t>
      </w:r>
      <w:r w:rsidRPr="007A0B11">
        <w:rPr>
          <w:rFonts w:ascii="Times New Roman" w:hAnsi="Times New Roman" w:cs="Times New Roman"/>
        </w:rPr>
        <w:t xml:space="preserve"> 21, 2007), Aimorés conta com quatro campos de futebol de maior porte: Ferroviários, Estádio do Comercial, Campo do Botafogo e Ginásio Poliesportivo. Entre os entraves apontados para o desenvolvimento do esporte no Município está a falta de apoio às iniciativas populares, a falta de praças esportivas nos bairros e distritos e a falta de programas de jogos estudantis.</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Para estimular o desenvolvimento socioeconômico local, a Prefeitura de Aimorés tem investido no </w:t>
      </w:r>
      <w:hyperlink r:id="rId81" w:tooltip="Artesanato" w:history="1">
        <w:r w:rsidRPr="007A0B11">
          <w:rPr>
            <w:rFonts w:ascii="Times New Roman" w:hAnsi="Times New Roman" w:cs="Times New Roman"/>
          </w:rPr>
          <w:t>artesanato</w:t>
        </w:r>
      </w:hyperlink>
      <w:r w:rsidRPr="007A0B11">
        <w:rPr>
          <w:rFonts w:ascii="Times New Roman" w:hAnsi="Times New Roman" w:cs="Times New Roman"/>
        </w:rPr>
        <w:t xml:space="preserve"> local, que é também uma das formas mais espontâneas da </w:t>
      </w:r>
      <w:hyperlink r:id="rId82" w:tooltip="Expressão cultural" w:history="1">
        <w:r w:rsidRPr="007A0B11">
          <w:rPr>
            <w:rFonts w:ascii="Times New Roman" w:hAnsi="Times New Roman" w:cs="Times New Roman"/>
          </w:rPr>
          <w:t>expressão cultural</w:t>
        </w:r>
      </w:hyperlink>
      <w:r w:rsidRPr="007A0B11">
        <w:rPr>
          <w:rFonts w:ascii="Times New Roman" w:hAnsi="Times New Roman" w:cs="Times New Roman"/>
        </w:rPr>
        <w:t xml:space="preserve"> aimoreense. No município existem associações que reúnem artesãos da região, disponibilizando espaço para confecção, exposição e venda dos produtos artesanais. </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Segundo o IBGE, citado por A</w:t>
      </w:r>
      <w:r w:rsidR="00876CD0">
        <w:rPr>
          <w:rFonts w:ascii="Times New Roman" w:hAnsi="Times New Roman" w:cs="Times New Roman"/>
        </w:rPr>
        <w:t>genda</w:t>
      </w:r>
      <w:r w:rsidRPr="007A0B11">
        <w:rPr>
          <w:rFonts w:ascii="Times New Roman" w:hAnsi="Times New Roman" w:cs="Times New Roman"/>
        </w:rPr>
        <w:t xml:space="preserve"> 21 (2007), as principais atividades artesanais desenvolvidas em Aimorés são: o bordado, trabalhos com frutas e sementes extraídas da natureza e esculturas de argila. </w:t>
      </w:r>
    </w:p>
    <w:p w:rsidR="00192DB6" w:rsidRPr="007A0B11" w:rsidRDefault="00192DB6" w:rsidP="00876CD0">
      <w:pPr>
        <w:pStyle w:val="CM72"/>
        <w:spacing w:line="360" w:lineRule="auto"/>
        <w:ind w:firstLine="709"/>
        <w:jc w:val="both"/>
        <w:rPr>
          <w:rFonts w:ascii="Times New Roman" w:hAnsi="Times New Roman" w:cs="Times New Roman"/>
        </w:rPr>
      </w:pPr>
      <w:r w:rsidRPr="007A0B11">
        <w:rPr>
          <w:rFonts w:ascii="Times New Roman" w:hAnsi="Times New Roman" w:cs="Times New Roman"/>
        </w:rPr>
        <w:t>Entretanto, apesar da expressão cultural existente no Município, na percepção dos moradores locais, a situação atual não é a ideal, pela falta de apoio aos grupos culturais, carência de espaços de lazer, de um cinema mais acessível, bem como de uma programação cultural, são apontados como principais entraves para o resgate e o fortalecimento da cultura e turismo local.</w:t>
      </w:r>
    </w:p>
    <w:p w:rsidR="00192DB6" w:rsidRPr="007A0B11" w:rsidRDefault="00192DB6" w:rsidP="00876CD0">
      <w:pPr>
        <w:pStyle w:val="CM72"/>
        <w:spacing w:line="360" w:lineRule="auto"/>
        <w:ind w:firstLine="708"/>
        <w:jc w:val="both"/>
        <w:rPr>
          <w:rFonts w:ascii="Times New Roman" w:hAnsi="Times New Roman" w:cs="Times New Roman"/>
        </w:rPr>
      </w:pPr>
      <w:r w:rsidRPr="007A0B11">
        <w:rPr>
          <w:rFonts w:ascii="Times New Roman" w:hAnsi="Times New Roman" w:cs="Times New Roman"/>
        </w:rPr>
        <w:t xml:space="preserve">O turismo está entre as atividades econômicas de maior crescimento nas últimas décadas. Segundo </w:t>
      </w:r>
      <w:r w:rsidR="00876CD0">
        <w:rPr>
          <w:rFonts w:ascii="Times New Roman" w:hAnsi="Times New Roman" w:cs="Times New Roman"/>
        </w:rPr>
        <w:t>Agência</w:t>
      </w:r>
      <w:r w:rsidRPr="007A0B11">
        <w:rPr>
          <w:rFonts w:ascii="Times New Roman" w:hAnsi="Times New Roman" w:cs="Times New Roman"/>
        </w:rPr>
        <w:t xml:space="preserve"> 21 (2007), o aumento da atividade turística produz um efeito multiplicador positivo na demanda e na oferta local, estimando-se que para cada R$ 1 gasto por um turista, aproximadamente R$ 3 circulam na economia local.</w:t>
      </w:r>
    </w:p>
    <w:p w:rsidR="00192DB6" w:rsidRPr="007A0B11" w:rsidRDefault="00192DB6" w:rsidP="00843498">
      <w:pPr>
        <w:pStyle w:val="CM72"/>
        <w:spacing w:line="360" w:lineRule="auto"/>
        <w:ind w:firstLine="708"/>
        <w:jc w:val="both"/>
        <w:rPr>
          <w:rFonts w:ascii="Times New Roman" w:hAnsi="Times New Roman" w:cs="Times New Roman"/>
        </w:rPr>
      </w:pPr>
      <w:r w:rsidRPr="007A0B11">
        <w:rPr>
          <w:rFonts w:ascii="Times New Roman" w:hAnsi="Times New Roman" w:cs="Times New Roman"/>
        </w:rPr>
        <w:t xml:space="preserve">Aimorés tem alguns ativos turísticos, com destaque para o lago da Usina </w:t>
      </w:r>
      <w:r w:rsidR="001D2F23" w:rsidRPr="007A0B11">
        <w:rPr>
          <w:rFonts w:ascii="Times New Roman" w:hAnsi="Times New Roman" w:cs="Times New Roman"/>
        </w:rPr>
        <w:t>Hidrelétrica</w:t>
      </w:r>
      <w:r w:rsidRPr="007A0B11">
        <w:rPr>
          <w:rFonts w:ascii="Times New Roman" w:hAnsi="Times New Roman" w:cs="Times New Roman"/>
        </w:rPr>
        <w:t xml:space="preserve">, que pode ser uma alternativa ao turismo familiar e esportivo (esportes aquáticos e pesca); o Parque Estadual Sete Salões, com suas cavernas, nascentes d´agua e formações de quartzito e pinturas rupestres; o Instituto Terra. Na UHE destaca-se outro ponto turístico, o Parque Botânico, pois, alem de preservar a fauna e flora local, é aberto diariamente ao público e </w:t>
      </w:r>
      <w:r w:rsidRPr="007A0B11">
        <w:rPr>
          <w:rFonts w:ascii="Times New Roman" w:hAnsi="Times New Roman" w:cs="Times New Roman"/>
        </w:rPr>
        <w:lastRenderedPageBreak/>
        <w:t xml:space="preserve">conta com auditório, teatro de arena, espaço cultural, centro de educação ambiental, com realização de palestras, exposições e atividades ecológicas. </w:t>
      </w:r>
    </w:p>
    <w:p w:rsidR="00192DB6" w:rsidRPr="007A0B11" w:rsidRDefault="00192DB6" w:rsidP="00843498">
      <w:pPr>
        <w:pStyle w:val="CM72"/>
        <w:spacing w:line="360" w:lineRule="auto"/>
        <w:ind w:firstLine="708"/>
        <w:jc w:val="both"/>
        <w:rPr>
          <w:rFonts w:ascii="Times New Roman" w:hAnsi="Times New Roman" w:cs="Times New Roman"/>
        </w:rPr>
      </w:pPr>
      <w:r w:rsidRPr="007A0B11">
        <w:rPr>
          <w:rFonts w:ascii="Times New Roman" w:hAnsi="Times New Roman" w:cs="Times New Roman"/>
        </w:rPr>
        <w:t>Vários agrupamentos rochosos também são alguns dos principais atrativos, tais como a pedra Bonita, a pedra da Fundanga, a pedra da Onça e a pedra Lorena, sendo esta última propícia para escaladas e saltos (</w:t>
      </w:r>
      <w:r w:rsidR="00876CD0">
        <w:rPr>
          <w:rFonts w:ascii="Times New Roman" w:hAnsi="Times New Roman" w:cs="Times New Roman"/>
        </w:rPr>
        <w:t>Figura 36</w:t>
      </w:r>
      <w:r w:rsidRPr="007A0B11">
        <w:rPr>
          <w:rFonts w:ascii="Times New Roman" w:hAnsi="Times New Roman" w:cs="Times New Roman"/>
        </w:rPr>
        <w:t>)</w:t>
      </w:r>
    </w:p>
    <w:p w:rsidR="00CB07F3" w:rsidRDefault="00CB07F3" w:rsidP="00CB07F3">
      <w:pPr>
        <w:pStyle w:val="Legenda"/>
        <w:keepNext/>
      </w:pPr>
      <w:bookmarkStart w:id="146" w:name="_Toc372740119"/>
      <w:bookmarkStart w:id="147" w:name="_Toc372117075"/>
      <w:r>
        <w:t xml:space="preserve">Figura </w:t>
      </w:r>
      <w:fldSimple w:instr=" SEQ Figura \* ARABIC ">
        <w:r w:rsidR="004F77E2">
          <w:rPr>
            <w:noProof/>
          </w:rPr>
          <w:t>36</w:t>
        </w:r>
      </w:fldSimple>
      <w:r>
        <w:t xml:space="preserve"> - </w:t>
      </w:r>
      <w:r w:rsidRPr="00CD4F3D">
        <w:t>Dimensões do IDH e suas contribuições, Aimorés, MG, 2000.</w:t>
      </w:r>
      <w:bookmarkEnd w:id="146"/>
    </w:p>
    <w:p w:rsidR="002558A4" w:rsidRPr="002558A4" w:rsidRDefault="002558A4" w:rsidP="00876CD0">
      <w:pPr>
        <w:pStyle w:val="TituloFiguras"/>
        <w:spacing w:before="120" w:after="120" w:line="240" w:lineRule="auto"/>
        <w:jc w:val="center"/>
        <w:rPr>
          <w:lang w:val="pt-PT"/>
        </w:rPr>
      </w:pPr>
      <w:r w:rsidRPr="00876CD0">
        <w:rPr>
          <w:b/>
        </w:rPr>
        <w:t>Visão d</w:t>
      </w:r>
      <w:r w:rsidRPr="00876CD0">
        <w:rPr>
          <w:b/>
          <w:lang w:val="pt-PT"/>
        </w:rPr>
        <w:t>a Pedra Lorena, Aimorés, Minas Gerais</w:t>
      </w:r>
      <w:bookmarkEnd w:id="147"/>
      <w:r w:rsidR="00876CD0">
        <w:rPr>
          <w:b/>
          <w:lang w:val="pt-PT"/>
        </w:rPr>
        <w:t>.</w:t>
      </w:r>
    </w:p>
    <w:p w:rsidR="00192DB6" w:rsidRPr="004803AF" w:rsidRDefault="00192DB6" w:rsidP="00192DB6">
      <w:pPr>
        <w:autoSpaceDE w:val="0"/>
        <w:autoSpaceDN w:val="0"/>
        <w:adjustRightInd w:val="0"/>
        <w:spacing w:after="0" w:line="360" w:lineRule="auto"/>
        <w:jc w:val="center"/>
        <w:rPr>
          <w:rFonts w:ascii="Comic Sans MS" w:hAnsi="Comic Sans MS" w:cs="Calibri"/>
          <w:color w:val="000000" w:themeColor="text1"/>
          <w:sz w:val="26"/>
          <w:szCs w:val="26"/>
        </w:rPr>
      </w:pPr>
      <w:r w:rsidRPr="004803AF">
        <w:rPr>
          <w:rFonts w:ascii="Comic Sans MS" w:hAnsi="Comic Sans MS" w:cs="Calibri"/>
          <w:noProof/>
          <w:color w:val="000000" w:themeColor="text1"/>
          <w:sz w:val="26"/>
          <w:szCs w:val="26"/>
          <w:lang w:eastAsia="pt-BR"/>
        </w:rPr>
        <w:drawing>
          <wp:inline distT="0" distB="0" distL="0" distR="0" wp14:anchorId="68A35E68" wp14:editId="5E69B16B">
            <wp:extent cx="5414187" cy="2479927"/>
            <wp:effectExtent l="19050" t="0" r="0" b="0"/>
            <wp:docPr id="232" name="Imagem 2" descr="http://upload.wikimedia.org/wikipedia/commons/thumb/a/a1/Aimores_1.jpg/220px-Aimores_1.jpg">
              <a:hlinkClick xmlns:a="http://schemas.openxmlformats.org/drawingml/2006/main" r:id="rId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upload.wikimedia.org/wikipedia/commons/thumb/a/a1/Aimores_1.jpg/220px-Aimores_1.jpg">
                      <a:hlinkClick r:id="rId83"/>
                    </pic:cNvPr>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422867" cy="2483903"/>
                    </a:xfrm>
                    <a:prstGeom prst="rect">
                      <a:avLst/>
                    </a:prstGeom>
                    <a:noFill/>
                    <a:ln>
                      <a:noFill/>
                    </a:ln>
                  </pic:spPr>
                </pic:pic>
              </a:graphicData>
            </a:graphic>
          </wp:inline>
        </w:drawing>
      </w:r>
    </w:p>
    <w:p w:rsidR="003F1385" w:rsidRPr="00876CD0" w:rsidRDefault="00876CD0" w:rsidP="00876CD0">
      <w:pPr>
        <w:pStyle w:val="CM72"/>
        <w:spacing w:after="240"/>
        <w:ind w:firstLine="142"/>
        <w:jc w:val="both"/>
        <w:rPr>
          <w:rFonts w:ascii="Times New Roman" w:hAnsi="Times New Roman" w:cs="Times New Roman"/>
          <w:sz w:val="20"/>
          <w:szCs w:val="20"/>
        </w:rPr>
      </w:pPr>
      <w:r w:rsidRPr="00876CD0">
        <w:rPr>
          <w:rFonts w:ascii="Times New Roman" w:hAnsi="Times New Roman" w:cs="Times New Roman"/>
          <w:sz w:val="20"/>
          <w:szCs w:val="20"/>
        </w:rPr>
        <w:t>Fonte: Fundação Educacional de Caratinga, 2013</w:t>
      </w:r>
    </w:p>
    <w:p w:rsidR="00192DB6" w:rsidRPr="007A0B11" w:rsidRDefault="00192DB6" w:rsidP="00876CD0">
      <w:pPr>
        <w:pStyle w:val="CM72"/>
        <w:spacing w:line="360" w:lineRule="auto"/>
        <w:ind w:firstLine="709"/>
        <w:jc w:val="both"/>
        <w:rPr>
          <w:rFonts w:ascii="Times New Roman" w:hAnsi="Times New Roman" w:cs="Times New Roman"/>
        </w:rPr>
      </w:pPr>
      <w:r w:rsidRPr="007A0B11">
        <w:rPr>
          <w:rFonts w:ascii="Times New Roman" w:hAnsi="Times New Roman" w:cs="Times New Roman"/>
        </w:rPr>
        <w:t>Apesar da cultura, assim como o turismo/esporte/ lazer, sejam bens sociais de direito dos cidadãos, os gastos per capita, no valor de R$</w:t>
      </w:r>
      <w:r w:rsidR="00876CD0">
        <w:rPr>
          <w:rFonts w:ascii="Times New Roman" w:hAnsi="Times New Roman" w:cs="Times New Roman"/>
        </w:rPr>
        <w:t xml:space="preserve"> </w:t>
      </w:r>
      <w:r w:rsidRPr="007A0B11">
        <w:rPr>
          <w:rFonts w:ascii="Times New Roman" w:hAnsi="Times New Roman" w:cs="Times New Roman"/>
        </w:rPr>
        <w:t>13,44 e R</w:t>
      </w:r>
      <w:r w:rsidR="00876CD0">
        <w:rPr>
          <w:rFonts w:ascii="Times New Roman" w:hAnsi="Times New Roman" w:cs="Times New Roman"/>
        </w:rPr>
        <w:t xml:space="preserve"> </w:t>
      </w:r>
      <w:r w:rsidRPr="007A0B11">
        <w:rPr>
          <w:rFonts w:ascii="Times New Roman" w:hAnsi="Times New Roman" w:cs="Times New Roman"/>
        </w:rPr>
        <w:t>$2,39, especialmente com a Difusão Cultural e Esporte/Lazer, foram ínfimos, situando-se em 0,9% e 0,2% dos gastos públicos de dez/2010, respectivamente.</w:t>
      </w:r>
    </w:p>
    <w:p w:rsidR="00192DB6" w:rsidRPr="000F4E80" w:rsidRDefault="0064025D" w:rsidP="00971B37">
      <w:pPr>
        <w:pStyle w:val="Titulo"/>
      </w:pPr>
      <w:bookmarkStart w:id="148" w:name="_Toc372559063"/>
      <w:bookmarkStart w:id="149" w:name="_Toc372789503"/>
      <w:r>
        <w:t xml:space="preserve">8.3.9 </w:t>
      </w:r>
      <w:r w:rsidR="00192DB6" w:rsidRPr="000F4E80">
        <w:t>Dimensionamento da Segurança Pública</w:t>
      </w:r>
      <w:bookmarkEnd w:id="148"/>
      <w:bookmarkEnd w:id="149"/>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A preocupação com a segurança pública vem-se tornando um dos pontos mais debatidos nas discussões sobre qualidade de vida, uma vez que o crescimento da violência no Brasil é nítido e requer muita atenção.</w:t>
      </w:r>
    </w:p>
    <w:p w:rsidR="00192DB6" w:rsidRPr="003F1385" w:rsidRDefault="00192DB6" w:rsidP="00843498">
      <w:pPr>
        <w:pStyle w:val="CM72"/>
        <w:spacing w:line="360" w:lineRule="auto"/>
        <w:ind w:firstLine="709"/>
        <w:jc w:val="both"/>
        <w:rPr>
          <w:rFonts w:ascii="Times New Roman" w:hAnsi="Times New Roman" w:cs="Times New Roman"/>
          <w:spacing w:val="-2"/>
        </w:rPr>
      </w:pPr>
      <w:r w:rsidRPr="003F1385">
        <w:rPr>
          <w:rFonts w:ascii="Times New Roman" w:hAnsi="Times New Roman" w:cs="Times New Roman"/>
          <w:spacing w:val="-2"/>
        </w:rPr>
        <w:t xml:space="preserve">Baseando-se em FJP (2013). </w:t>
      </w:r>
      <w:r w:rsidR="00876CD0">
        <w:rPr>
          <w:rFonts w:ascii="Times New Roman" w:hAnsi="Times New Roman" w:cs="Times New Roman"/>
          <w:spacing w:val="-2"/>
        </w:rPr>
        <w:t>O</w:t>
      </w:r>
      <w:r w:rsidRPr="003F1385">
        <w:rPr>
          <w:rFonts w:ascii="Times New Roman" w:hAnsi="Times New Roman" w:cs="Times New Roman"/>
          <w:spacing w:val="-2"/>
        </w:rPr>
        <w:t xml:space="preserve">s indicadores de segurança pública envolveram três dimensões:  Criminalidade, que contempla os crimes violentos contra a pessoa e contra o patrimônio, as mortes por homicídio, que contemplam os crimes violentos contra a pessoa; crimes violentos contra o patrimônio; Recursos humanos e institucionais, no qual são </w:t>
      </w:r>
      <w:r w:rsidRPr="003F1385">
        <w:rPr>
          <w:rFonts w:ascii="Times New Roman" w:hAnsi="Times New Roman" w:cs="Times New Roman"/>
          <w:spacing w:val="-2"/>
        </w:rPr>
        <w:lastRenderedPageBreak/>
        <w:t>contempladas informações sobre habitantes por policiais civis e militares; Esforço de gestão, com informações sobre gasto per capita em segurança pública. .</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Em 2010, a taxa de </w:t>
      </w:r>
      <w:hyperlink r:id="rId85" w:tooltip="Homicídio" w:history="1">
        <w:r w:rsidRPr="007A0B11">
          <w:rPr>
            <w:rFonts w:ascii="Times New Roman" w:hAnsi="Times New Roman" w:cs="Times New Roman"/>
          </w:rPr>
          <w:t>homicídios</w:t>
        </w:r>
      </w:hyperlink>
      <w:r w:rsidRPr="007A0B11">
        <w:rPr>
          <w:rFonts w:ascii="Times New Roman" w:hAnsi="Times New Roman" w:cs="Times New Roman"/>
        </w:rPr>
        <w:t xml:space="preserve"> no município de Aimorés foi de 28,05 para cada 100 mil habitantes, enquanto que a taxa de crimes violentos foi bem mais elevada, em torno de 120/cem mil habitantes (Quadro 1</w:t>
      </w:r>
      <w:r w:rsidR="00876CD0">
        <w:rPr>
          <w:rFonts w:ascii="Times New Roman" w:hAnsi="Times New Roman" w:cs="Times New Roman"/>
        </w:rPr>
        <w:t>4</w:t>
      </w:r>
      <w:r w:rsidRPr="007A0B11">
        <w:rPr>
          <w:rFonts w:ascii="Times New Roman" w:hAnsi="Times New Roman" w:cs="Times New Roman"/>
        </w:rPr>
        <w:t xml:space="preserve">) Já em relação aos Crimes Contra Patrimônio e Crimes Violentos Contra, as taxas foram 68,11 e 52,09, respectivamente, para cada 100 mil habitantes (FJP, 2013). </w:t>
      </w:r>
    </w:p>
    <w:p w:rsidR="003F1385" w:rsidRPr="00103E4A" w:rsidRDefault="0075744C" w:rsidP="0075744C">
      <w:pPr>
        <w:pStyle w:val="Legenda"/>
      </w:pPr>
      <w:bookmarkStart w:id="150" w:name="_Toc372740520"/>
      <w:r>
        <w:t xml:space="preserve">Quadro </w:t>
      </w:r>
      <w:fldSimple w:instr=" SEQ Quadro \* ARABIC ">
        <w:r w:rsidR="004F77E2">
          <w:rPr>
            <w:noProof/>
          </w:rPr>
          <w:t>14</w:t>
        </w:r>
      </w:fldSimple>
      <w:r>
        <w:t xml:space="preserve"> - </w:t>
      </w:r>
      <w:r w:rsidRPr="00982404">
        <w:rPr>
          <w:noProof/>
        </w:rPr>
        <w:t>Indicadores de Segurança Pública, do Município de Aimorés, 2010.</w:t>
      </w:r>
      <w:bookmarkEnd w:id="150"/>
    </w:p>
    <w:tbl>
      <w:tblPr>
        <w:tblStyle w:val="Tabelacomgrade"/>
        <w:tblW w:w="0" w:type="auto"/>
        <w:tblInd w:w="108" w:type="dxa"/>
        <w:tblLook w:val="04A0" w:firstRow="1" w:lastRow="0" w:firstColumn="1" w:lastColumn="0" w:noHBand="0" w:noVBand="1"/>
      </w:tblPr>
      <w:tblGrid>
        <w:gridCol w:w="4498"/>
        <w:gridCol w:w="2407"/>
        <w:gridCol w:w="1744"/>
      </w:tblGrid>
      <w:tr w:rsidR="00192DB6" w:rsidRPr="003F1385" w:rsidTr="00D508FB">
        <w:trPr>
          <w:trHeight w:val="510"/>
        </w:trPr>
        <w:tc>
          <w:tcPr>
            <w:tcW w:w="5387"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3F1385" w:rsidRDefault="00192DB6" w:rsidP="00D508FB">
            <w:pPr>
              <w:spacing w:before="120" w:after="120" w:line="240" w:lineRule="auto"/>
              <w:jc w:val="center"/>
              <w:rPr>
                <w:rFonts w:cs="Times New Roman"/>
                <w:b/>
                <w:szCs w:val="24"/>
              </w:rPr>
            </w:pPr>
            <w:r w:rsidRPr="003F1385">
              <w:rPr>
                <w:rFonts w:cs="Times New Roman"/>
                <w:b/>
                <w:szCs w:val="24"/>
              </w:rPr>
              <w:t>Indicadores</w:t>
            </w:r>
          </w:p>
        </w:tc>
        <w:tc>
          <w:tcPr>
            <w:tcW w:w="2835"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3F1385" w:rsidRDefault="00192DB6" w:rsidP="00D508FB">
            <w:pPr>
              <w:spacing w:before="120" w:after="120" w:line="240" w:lineRule="auto"/>
              <w:jc w:val="center"/>
              <w:rPr>
                <w:rFonts w:cs="Times New Roman"/>
                <w:b/>
                <w:szCs w:val="24"/>
              </w:rPr>
            </w:pPr>
            <w:r w:rsidRPr="003F1385">
              <w:rPr>
                <w:rFonts w:cs="Times New Roman"/>
                <w:b/>
                <w:szCs w:val="24"/>
              </w:rPr>
              <w:t>Unidade</w:t>
            </w:r>
          </w:p>
        </w:tc>
        <w:tc>
          <w:tcPr>
            <w:tcW w:w="1984"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3F1385" w:rsidRDefault="00192DB6" w:rsidP="00D508FB">
            <w:pPr>
              <w:spacing w:before="120" w:after="120" w:line="240" w:lineRule="auto"/>
              <w:jc w:val="center"/>
              <w:rPr>
                <w:rFonts w:cs="Times New Roman"/>
                <w:b/>
                <w:szCs w:val="24"/>
              </w:rPr>
            </w:pPr>
            <w:r w:rsidRPr="003F1385">
              <w:rPr>
                <w:rFonts w:cs="Times New Roman"/>
                <w:b/>
                <w:szCs w:val="24"/>
              </w:rPr>
              <w:t>Valores</w:t>
            </w:r>
          </w:p>
        </w:tc>
      </w:tr>
      <w:tr w:rsidR="00192DB6" w:rsidRPr="003F1385" w:rsidTr="00D508FB">
        <w:trPr>
          <w:trHeight w:val="510"/>
        </w:trPr>
        <w:tc>
          <w:tcPr>
            <w:tcW w:w="5387" w:type="dxa"/>
            <w:tcBorders>
              <w:top w:val="single" w:sz="12" w:space="0" w:color="auto"/>
              <w:left w:val="single" w:sz="12" w:space="0" w:color="auto"/>
              <w:bottom w:val="single" w:sz="6" w:space="0" w:color="auto"/>
              <w:right w:val="single" w:sz="12" w:space="0" w:color="auto"/>
            </w:tcBorders>
            <w:vAlign w:val="center"/>
          </w:tcPr>
          <w:p w:rsidR="00192DB6" w:rsidRPr="00D508FB" w:rsidRDefault="00192DB6" w:rsidP="00D508FB">
            <w:pPr>
              <w:spacing w:before="120" w:after="120" w:line="240" w:lineRule="auto"/>
              <w:rPr>
                <w:rFonts w:cs="Times New Roman"/>
                <w:szCs w:val="24"/>
              </w:rPr>
            </w:pPr>
            <w:r w:rsidRPr="00D508FB">
              <w:rPr>
                <w:rFonts w:cs="Times New Roman"/>
                <w:szCs w:val="24"/>
              </w:rPr>
              <w:t>Taxa de Crimes Violentos</w:t>
            </w:r>
          </w:p>
        </w:tc>
        <w:tc>
          <w:tcPr>
            <w:tcW w:w="2835" w:type="dxa"/>
            <w:tcBorders>
              <w:top w:val="single" w:sz="12"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Nº/cem mil habit.</w:t>
            </w:r>
          </w:p>
        </w:tc>
        <w:tc>
          <w:tcPr>
            <w:tcW w:w="1984" w:type="dxa"/>
            <w:tcBorders>
              <w:top w:val="single" w:sz="12"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120,20</w:t>
            </w:r>
          </w:p>
        </w:tc>
      </w:tr>
      <w:tr w:rsidR="00192DB6" w:rsidRPr="003F1385" w:rsidTr="00D508FB">
        <w:trPr>
          <w:trHeight w:val="510"/>
        </w:trPr>
        <w:tc>
          <w:tcPr>
            <w:tcW w:w="5387" w:type="dxa"/>
            <w:tcBorders>
              <w:top w:val="single" w:sz="6" w:space="0" w:color="auto"/>
              <w:left w:val="single" w:sz="12" w:space="0" w:color="auto"/>
              <w:bottom w:val="single" w:sz="6" w:space="0" w:color="auto"/>
              <w:right w:val="single" w:sz="12" w:space="0" w:color="auto"/>
            </w:tcBorders>
            <w:vAlign w:val="center"/>
          </w:tcPr>
          <w:p w:rsidR="00192DB6" w:rsidRPr="00D508FB" w:rsidRDefault="00192DB6" w:rsidP="00D508FB">
            <w:pPr>
              <w:spacing w:before="120" w:after="120" w:line="240" w:lineRule="auto"/>
              <w:rPr>
                <w:rFonts w:cs="Times New Roman"/>
                <w:szCs w:val="24"/>
              </w:rPr>
            </w:pPr>
            <w:r w:rsidRPr="00D508FB">
              <w:rPr>
                <w:rFonts w:cs="Times New Roman"/>
                <w:szCs w:val="24"/>
              </w:rPr>
              <w:t>Taxa de Homicídios</w:t>
            </w:r>
          </w:p>
        </w:tc>
        <w:tc>
          <w:tcPr>
            <w:tcW w:w="2835"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Nº/cem mil habit.</w:t>
            </w:r>
          </w:p>
        </w:tc>
        <w:tc>
          <w:tcPr>
            <w:tcW w:w="1984" w:type="dxa"/>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28,05</w:t>
            </w:r>
          </w:p>
        </w:tc>
      </w:tr>
      <w:tr w:rsidR="00192DB6" w:rsidRPr="003F1385" w:rsidTr="00D508FB">
        <w:trPr>
          <w:trHeight w:val="510"/>
        </w:trPr>
        <w:tc>
          <w:tcPr>
            <w:tcW w:w="5387" w:type="dxa"/>
            <w:tcBorders>
              <w:top w:val="single" w:sz="6" w:space="0" w:color="auto"/>
              <w:left w:val="single" w:sz="12" w:space="0" w:color="auto"/>
              <w:bottom w:val="single" w:sz="6" w:space="0" w:color="auto"/>
              <w:right w:val="single" w:sz="12" w:space="0" w:color="auto"/>
            </w:tcBorders>
            <w:vAlign w:val="center"/>
          </w:tcPr>
          <w:p w:rsidR="00192DB6" w:rsidRPr="00D508FB" w:rsidRDefault="00192DB6" w:rsidP="00D508FB">
            <w:pPr>
              <w:spacing w:before="120" w:after="120" w:line="240" w:lineRule="auto"/>
              <w:rPr>
                <w:rFonts w:cs="Times New Roman"/>
                <w:szCs w:val="24"/>
              </w:rPr>
            </w:pPr>
            <w:r w:rsidRPr="00D508FB">
              <w:rPr>
                <w:rFonts w:cs="Times New Roman"/>
                <w:szCs w:val="24"/>
              </w:rPr>
              <w:t>Homicídios</w:t>
            </w:r>
          </w:p>
        </w:tc>
        <w:tc>
          <w:tcPr>
            <w:tcW w:w="2835"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Nº</w:t>
            </w:r>
          </w:p>
        </w:tc>
        <w:tc>
          <w:tcPr>
            <w:tcW w:w="198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7</w:t>
            </w:r>
            <w:r w:rsidR="00D508FB">
              <w:rPr>
                <w:rFonts w:cs="Times New Roman"/>
                <w:szCs w:val="24"/>
              </w:rPr>
              <w:t>,00</w:t>
            </w:r>
          </w:p>
        </w:tc>
      </w:tr>
      <w:tr w:rsidR="00192DB6" w:rsidRPr="003F1385" w:rsidTr="00D508FB">
        <w:trPr>
          <w:trHeight w:val="510"/>
        </w:trPr>
        <w:tc>
          <w:tcPr>
            <w:tcW w:w="5387" w:type="dxa"/>
            <w:tcBorders>
              <w:top w:val="single" w:sz="6" w:space="0" w:color="auto"/>
              <w:left w:val="single" w:sz="12" w:space="0" w:color="auto"/>
              <w:bottom w:val="single" w:sz="6" w:space="0" w:color="auto"/>
              <w:right w:val="single" w:sz="12" w:space="0" w:color="auto"/>
            </w:tcBorders>
            <w:vAlign w:val="center"/>
          </w:tcPr>
          <w:p w:rsidR="00192DB6" w:rsidRPr="00D508FB" w:rsidRDefault="00192DB6" w:rsidP="00D508FB">
            <w:pPr>
              <w:spacing w:before="120" w:after="120" w:line="240" w:lineRule="auto"/>
              <w:rPr>
                <w:rFonts w:cs="Times New Roman"/>
                <w:szCs w:val="24"/>
              </w:rPr>
            </w:pPr>
            <w:r w:rsidRPr="00D508FB">
              <w:rPr>
                <w:rFonts w:cs="Times New Roman"/>
                <w:szCs w:val="24"/>
              </w:rPr>
              <w:t xml:space="preserve">Taxa de Crimes Contra Patrimônio </w:t>
            </w:r>
          </w:p>
        </w:tc>
        <w:tc>
          <w:tcPr>
            <w:tcW w:w="2835"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Nº/cem mil habit.</w:t>
            </w:r>
          </w:p>
        </w:tc>
        <w:tc>
          <w:tcPr>
            <w:tcW w:w="198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68,11</w:t>
            </w:r>
          </w:p>
        </w:tc>
      </w:tr>
      <w:tr w:rsidR="00192DB6" w:rsidRPr="003F1385" w:rsidTr="00D508FB">
        <w:trPr>
          <w:trHeight w:val="510"/>
        </w:trPr>
        <w:tc>
          <w:tcPr>
            <w:tcW w:w="5387" w:type="dxa"/>
            <w:tcBorders>
              <w:top w:val="single" w:sz="6" w:space="0" w:color="auto"/>
              <w:left w:val="single" w:sz="12" w:space="0" w:color="auto"/>
              <w:bottom w:val="single" w:sz="6" w:space="0" w:color="auto"/>
              <w:right w:val="single" w:sz="12" w:space="0" w:color="auto"/>
            </w:tcBorders>
            <w:vAlign w:val="center"/>
          </w:tcPr>
          <w:p w:rsidR="00192DB6" w:rsidRPr="00D508FB" w:rsidRDefault="00192DB6" w:rsidP="00D508FB">
            <w:pPr>
              <w:spacing w:before="120" w:after="120" w:line="240" w:lineRule="auto"/>
              <w:rPr>
                <w:rFonts w:cs="Times New Roman"/>
                <w:szCs w:val="24"/>
              </w:rPr>
            </w:pPr>
            <w:r w:rsidRPr="00D508FB">
              <w:rPr>
                <w:rFonts w:cs="Times New Roman"/>
                <w:szCs w:val="24"/>
              </w:rPr>
              <w:t>Taxa de Crimes Violentos Contra a Pessoa</w:t>
            </w:r>
          </w:p>
        </w:tc>
        <w:tc>
          <w:tcPr>
            <w:tcW w:w="2835"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Nº/cem mil habit.</w:t>
            </w:r>
          </w:p>
        </w:tc>
        <w:tc>
          <w:tcPr>
            <w:tcW w:w="198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52,09</w:t>
            </w:r>
          </w:p>
        </w:tc>
      </w:tr>
      <w:tr w:rsidR="00192DB6" w:rsidRPr="003F1385" w:rsidTr="00D508FB">
        <w:trPr>
          <w:trHeight w:val="510"/>
        </w:trPr>
        <w:tc>
          <w:tcPr>
            <w:tcW w:w="5387" w:type="dxa"/>
            <w:tcBorders>
              <w:top w:val="single" w:sz="6" w:space="0" w:color="auto"/>
              <w:left w:val="single" w:sz="12" w:space="0" w:color="auto"/>
              <w:bottom w:val="single" w:sz="6" w:space="0" w:color="auto"/>
              <w:right w:val="single" w:sz="12" w:space="0" w:color="auto"/>
            </w:tcBorders>
            <w:vAlign w:val="center"/>
          </w:tcPr>
          <w:p w:rsidR="00192DB6" w:rsidRPr="00D508FB" w:rsidRDefault="00192DB6" w:rsidP="00D508FB">
            <w:pPr>
              <w:spacing w:before="120" w:after="120" w:line="240" w:lineRule="auto"/>
              <w:rPr>
                <w:rFonts w:cs="Times New Roman"/>
                <w:szCs w:val="24"/>
              </w:rPr>
            </w:pPr>
            <w:r w:rsidRPr="00D508FB">
              <w:rPr>
                <w:rFonts w:cs="Times New Roman"/>
                <w:szCs w:val="24"/>
              </w:rPr>
              <w:t>Policiais Militares</w:t>
            </w:r>
          </w:p>
        </w:tc>
        <w:tc>
          <w:tcPr>
            <w:tcW w:w="2835"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Nº</w:t>
            </w:r>
          </w:p>
        </w:tc>
        <w:tc>
          <w:tcPr>
            <w:tcW w:w="198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46</w:t>
            </w:r>
            <w:r w:rsidR="00D508FB">
              <w:rPr>
                <w:rFonts w:cs="Times New Roman"/>
                <w:szCs w:val="24"/>
              </w:rPr>
              <w:t>,00</w:t>
            </w:r>
          </w:p>
        </w:tc>
      </w:tr>
      <w:tr w:rsidR="00192DB6" w:rsidRPr="003F1385" w:rsidTr="00D508FB">
        <w:trPr>
          <w:trHeight w:val="510"/>
        </w:trPr>
        <w:tc>
          <w:tcPr>
            <w:tcW w:w="5387" w:type="dxa"/>
            <w:tcBorders>
              <w:top w:val="single" w:sz="6" w:space="0" w:color="auto"/>
              <w:left w:val="single" w:sz="12" w:space="0" w:color="auto"/>
              <w:bottom w:val="single" w:sz="6" w:space="0" w:color="auto"/>
              <w:right w:val="single" w:sz="12" w:space="0" w:color="auto"/>
            </w:tcBorders>
            <w:vAlign w:val="center"/>
          </w:tcPr>
          <w:p w:rsidR="00192DB6" w:rsidRPr="00D508FB" w:rsidRDefault="00192DB6" w:rsidP="00D508FB">
            <w:pPr>
              <w:spacing w:before="120" w:after="120" w:line="240" w:lineRule="auto"/>
              <w:rPr>
                <w:rFonts w:cs="Times New Roman"/>
                <w:szCs w:val="24"/>
              </w:rPr>
            </w:pPr>
            <w:r w:rsidRPr="00D508FB">
              <w:rPr>
                <w:rFonts w:cs="Times New Roman"/>
                <w:szCs w:val="24"/>
              </w:rPr>
              <w:t>Habitantes por Policial Militar</w:t>
            </w:r>
          </w:p>
        </w:tc>
        <w:tc>
          <w:tcPr>
            <w:tcW w:w="2835"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Nº</w:t>
            </w:r>
          </w:p>
        </w:tc>
        <w:tc>
          <w:tcPr>
            <w:tcW w:w="198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542,59</w:t>
            </w:r>
          </w:p>
        </w:tc>
      </w:tr>
      <w:tr w:rsidR="00192DB6" w:rsidRPr="003F1385" w:rsidTr="00D508FB">
        <w:trPr>
          <w:trHeight w:val="510"/>
        </w:trPr>
        <w:tc>
          <w:tcPr>
            <w:tcW w:w="5387" w:type="dxa"/>
            <w:tcBorders>
              <w:top w:val="single" w:sz="6" w:space="0" w:color="auto"/>
              <w:left w:val="single" w:sz="12" w:space="0" w:color="auto"/>
              <w:bottom w:val="single" w:sz="6" w:space="0" w:color="auto"/>
              <w:right w:val="single" w:sz="12" w:space="0" w:color="auto"/>
            </w:tcBorders>
            <w:vAlign w:val="center"/>
          </w:tcPr>
          <w:p w:rsidR="00192DB6" w:rsidRPr="00D508FB" w:rsidRDefault="00192DB6" w:rsidP="00D508FB">
            <w:pPr>
              <w:spacing w:before="120" w:after="120" w:line="240" w:lineRule="auto"/>
              <w:rPr>
                <w:rFonts w:cs="Times New Roman"/>
                <w:szCs w:val="24"/>
              </w:rPr>
            </w:pPr>
            <w:r w:rsidRPr="00D508FB">
              <w:rPr>
                <w:rFonts w:cs="Times New Roman"/>
                <w:szCs w:val="24"/>
              </w:rPr>
              <w:t>Taxa de Armas Apreendidas</w:t>
            </w:r>
          </w:p>
        </w:tc>
        <w:tc>
          <w:tcPr>
            <w:tcW w:w="2835"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Nº/cem mil habit.</w:t>
            </w:r>
          </w:p>
        </w:tc>
        <w:tc>
          <w:tcPr>
            <w:tcW w:w="198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212,35</w:t>
            </w:r>
          </w:p>
        </w:tc>
      </w:tr>
      <w:tr w:rsidR="00192DB6" w:rsidRPr="003F1385" w:rsidTr="00D508FB">
        <w:trPr>
          <w:trHeight w:val="510"/>
        </w:trPr>
        <w:tc>
          <w:tcPr>
            <w:tcW w:w="5387" w:type="dxa"/>
            <w:tcBorders>
              <w:top w:val="single" w:sz="6" w:space="0" w:color="auto"/>
              <w:left w:val="single" w:sz="12" w:space="0" w:color="auto"/>
              <w:bottom w:val="single" w:sz="12" w:space="0" w:color="auto"/>
              <w:right w:val="single" w:sz="12" w:space="0" w:color="auto"/>
            </w:tcBorders>
            <w:vAlign w:val="center"/>
          </w:tcPr>
          <w:p w:rsidR="00192DB6" w:rsidRPr="00D508FB" w:rsidRDefault="00192DB6" w:rsidP="00D508FB">
            <w:pPr>
              <w:spacing w:before="120" w:after="120" w:line="240" w:lineRule="auto"/>
              <w:rPr>
                <w:rFonts w:cs="Times New Roman"/>
                <w:szCs w:val="24"/>
              </w:rPr>
            </w:pPr>
            <w:r w:rsidRPr="00D508FB">
              <w:rPr>
                <w:rFonts w:cs="Times New Roman"/>
                <w:szCs w:val="24"/>
              </w:rPr>
              <w:t>Taxa de Sentenciamento</w:t>
            </w:r>
          </w:p>
        </w:tc>
        <w:tc>
          <w:tcPr>
            <w:tcW w:w="2835" w:type="dxa"/>
            <w:tcBorders>
              <w:top w:val="single" w:sz="6" w:space="0" w:color="auto"/>
              <w:left w:val="single" w:sz="12" w:space="0" w:color="auto"/>
              <w:bottom w:val="single" w:sz="12"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w:t>
            </w:r>
          </w:p>
        </w:tc>
        <w:tc>
          <w:tcPr>
            <w:tcW w:w="1984" w:type="dxa"/>
            <w:tcBorders>
              <w:top w:val="single" w:sz="6" w:space="0" w:color="auto"/>
              <w:left w:val="single" w:sz="12" w:space="0" w:color="auto"/>
              <w:bottom w:val="single" w:sz="12" w:space="0" w:color="auto"/>
              <w:right w:val="single" w:sz="12" w:space="0" w:color="auto"/>
            </w:tcBorders>
            <w:vAlign w:val="center"/>
          </w:tcPr>
          <w:p w:rsidR="00192DB6" w:rsidRPr="003F1385" w:rsidRDefault="00192DB6" w:rsidP="00D508FB">
            <w:pPr>
              <w:spacing w:before="120" w:after="120" w:line="240" w:lineRule="auto"/>
              <w:jc w:val="center"/>
              <w:rPr>
                <w:rFonts w:cs="Times New Roman"/>
                <w:szCs w:val="24"/>
              </w:rPr>
            </w:pPr>
            <w:r w:rsidRPr="003F1385">
              <w:rPr>
                <w:rFonts w:cs="Times New Roman"/>
                <w:szCs w:val="24"/>
              </w:rPr>
              <w:t>82,66</w:t>
            </w:r>
          </w:p>
        </w:tc>
      </w:tr>
    </w:tbl>
    <w:p w:rsidR="00192DB6" w:rsidRPr="00186FE2" w:rsidRDefault="00192DB6" w:rsidP="00876CD0">
      <w:pPr>
        <w:pStyle w:val="Fonte"/>
        <w:ind w:left="142"/>
      </w:pPr>
      <w:r w:rsidRPr="00186FE2">
        <w:t xml:space="preserve">FONTE: </w:t>
      </w:r>
      <w:r>
        <w:t>FJP</w:t>
      </w:r>
      <w:r w:rsidRPr="00186FE2">
        <w:t xml:space="preserve"> (201</w:t>
      </w:r>
      <w:r>
        <w:t>3</w:t>
      </w:r>
      <w:r w:rsidRPr="00186FE2">
        <w:t>)</w:t>
      </w:r>
    </w:p>
    <w:p w:rsidR="00192DB6" w:rsidRPr="007A0B11" w:rsidRDefault="00192DB6" w:rsidP="00D508FB">
      <w:pPr>
        <w:pStyle w:val="CM72"/>
        <w:spacing w:line="360" w:lineRule="auto"/>
        <w:ind w:firstLine="709"/>
        <w:jc w:val="both"/>
        <w:rPr>
          <w:rFonts w:ascii="Times New Roman" w:hAnsi="Times New Roman" w:cs="Times New Roman"/>
        </w:rPr>
      </w:pPr>
      <w:r w:rsidRPr="007A0B11">
        <w:rPr>
          <w:rFonts w:ascii="Times New Roman" w:hAnsi="Times New Roman" w:cs="Times New Roman"/>
        </w:rPr>
        <w:t>O município não possui Unidade Prisional, somente a Delegacia de Polícia Civil, com capacidade para 900 pessoas, sendo a taxa de ocupação equivalente a 107,22%. Conta também com uma Unidade Policial Militar (6º BPM), com 46 policiais militares, com capacidade de atendimento de 524 habitantes por Policial Militar (FJP, 2013).</w:t>
      </w:r>
    </w:p>
    <w:p w:rsidR="00192DB6" w:rsidRPr="007A0B11" w:rsidRDefault="00192DB6" w:rsidP="00D508FB">
      <w:pPr>
        <w:pStyle w:val="CM72"/>
        <w:spacing w:line="360" w:lineRule="auto"/>
        <w:ind w:firstLine="709"/>
        <w:jc w:val="both"/>
        <w:rPr>
          <w:rFonts w:ascii="Times New Roman" w:hAnsi="Times New Roman" w:cs="Times New Roman"/>
        </w:rPr>
      </w:pPr>
      <w:r w:rsidRPr="007A0B11">
        <w:rPr>
          <w:rFonts w:ascii="Times New Roman" w:hAnsi="Times New Roman" w:cs="Times New Roman"/>
        </w:rPr>
        <w:t>Além disso, não existe Conselho de Segurança Pública, somente Defesa dos Direitos das Crianças e Adolescentes; sendo a taxa de sentenciamento de 82,66% e foram apreendidas 212 armas, para cada 100 mil habitantes. Os gastos per capita com o setor de segurança pública envolveram 0,3% do orçamento público, equivalente a R$</w:t>
      </w:r>
      <w:r w:rsidR="00D508FB">
        <w:rPr>
          <w:rFonts w:ascii="Times New Roman" w:hAnsi="Times New Roman" w:cs="Times New Roman"/>
        </w:rPr>
        <w:t xml:space="preserve"> </w:t>
      </w:r>
      <w:r w:rsidRPr="007A0B11">
        <w:rPr>
          <w:rFonts w:ascii="Times New Roman" w:hAnsi="Times New Roman" w:cs="Times New Roman"/>
        </w:rPr>
        <w:t xml:space="preserve">4,92 por habitante (FJP, </w:t>
      </w:r>
      <w:r w:rsidRPr="007A0B11">
        <w:rPr>
          <w:rFonts w:ascii="Times New Roman" w:hAnsi="Times New Roman" w:cs="Times New Roman"/>
        </w:rPr>
        <w:lastRenderedPageBreak/>
        <w:t>2013).</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Segundo, pesquisa realizada por Agência 21 (2007), ainda que o grau de violência local seja considerado baixo (42%) e que a maior parte da população local se sinta segura (62%), há uma preocupação com o incremento do tráfico de drogas, do roubo e desmanche de bicicletas; considerando ser necessária a implantação de um centro de recuperação de presos.</w:t>
      </w:r>
    </w:p>
    <w:p w:rsidR="00192DB6" w:rsidRPr="004803AF" w:rsidRDefault="0064025D" w:rsidP="00971B37">
      <w:pPr>
        <w:pStyle w:val="Titulo"/>
      </w:pPr>
      <w:bookmarkStart w:id="151" w:name="_Toc372559064"/>
      <w:bookmarkStart w:id="152" w:name="_Toc372789504"/>
      <w:r>
        <w:t xml:space="preserve">8.3.10 </w:t>
      </w:r>
      <w:r w:rsidR="00192DB6" w:rsidRPr="004803AF">
        <w:t>Situação das Finanças Públicas e o Índice de Responsabilidade Social</w:t>
      </w:r>
      <w:bookmarkEnd w:id="151"/>
      <w:bookmarkEnd w:id="152"/>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A situação das finanças públicas, examinada pelos critérios da economicidade e eficiência, contemplou os gastos e receitas per capita; os gastos per capita com pessoal, com o Poder legislativo e com a máquina administrativa; participação da dívida consolidada líquida na receita corrente líquida, limitada, no caso dos municípios, em 120%; operações de crédito/despesas de capital e o esforço de investimentos da administração, medido pela participação deste componente no gasto total (FJP, 2013).</w:t>
      </w:r>
    </w:p>
    <w:p w:rsidR="00192DB6"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Os dados sobre os gastos per capita do município de Aimorés/MG, apresentados no Quadro </w:t>
      </w:r>
      <w:r w:rsidR="005C7DDE">
        <w:rPr>
          <w:rFonts w:ascii="Times New Roman" w:hAnsi="Times New Roman" w:cs="Times New Roman"/>
        </w:rPr>
        <w:t>15</w:t>
      </w:r>
      <w:r w:rsidRPr="007A0B11">
        <w:rPr>
          <w:rFonts w:ascii="Times New Roman" w:hAnsi="Times New Roman" w:cs="Times New Roman"/>
        </w:rPr>
        <w:t>, evidenciaram que mais de 50% dos gastos municipais, no valor de R$</w:t>
      </w:r>
      <w:r w:rsidR="005C7DDE">
        <w:rPr>
          <w:rFonts w:ascii="Times New Roman" w:hAnsi="Times New Roman" w:cs="Times New Roman"/>
        </w:rPr>
        <w:t xml:space="preserve"> </w:t>
      </w:r>
      <w:r w:rsidRPr="007A0B11">
        <w:rPr>
          <w:rFonts w:ascii="Times New Roman" w:hAnsi="Times New Roman" w:cs="Times New Roman"/>
        </w:rPr>
        <w:t>773,26 por habitante, envolveram outras atividades; seguidos pelos gastos com educação (R$247,13), saúde (R%182,55) e infraestruturas (R$138,29), como os setores de maior representatividade no orçamento público, com 16,0%, 11,8% e 9,0%, respectivamente.</w:t>
      </w:r>
    </w:p>
    <w:p w:rsidR="005C7DDE" w:rsidRPr="007A0B11" w:rsidRDefault="005C7DDE" w:rsidP="005C7DDE">
      <w:pPr>
        <w:pStyle w:val="CM72"/>
        <w:spacing w:line="360" w:lineRule="auto"/>
        <w:ind w:firstLine="709"/>
        <w:jc w:val="both"/>
        <w:rPr>
          <w:rFonts w:ascii="Times New Roman" w:hAnsi="Times New Roman" w:cs="Times New Roman"/>
        </w:rPr>
      </w:pPr>
      <w:r w:rsidRPr="007A0B11">
        <w:rPr>
          <w:rFonts w:ascii="Times New Roman" w:hAnsi="Times New Roman" w:cs="Times New Roman"/>
        </w:rPr>
        <w:t>Os demais gastos não ultrapassaram a 5,0% do orçamento público, sendo os gastos per capita com saneamento de R$19,42 (1,2%); enquanto que o percentual de gastos com o legislativo (EC–Nº25) foi de 5,3%, com o custeio da máquina administrativa/RCL de 38,1% e com pessoal (LRF) equivalente a 52,3%.</w:t>
      </w:r>
    </w:p>
    <w:p w:rsidR="005C7DDE" w:rsidRDefault="005C7DDE" w:rsidP="005C7DDE">
      <w:pPr>
        <w:pStyle w:val="CM72"/>
        <w:spacing w:line="360" w:lineRule="auto"/>
        <w:ind w:firstLine="709"/>
        <w:jc w:val="both"/>
        <w:rPr>
          <w:rFonts w:ascii="Times New Roman" w:hAnsi="Times New Roman" w:cs="Times New Roman"/>
        </w:rPr>
      </w:pPr>
      <w:r w:rsidRPr="007A0B11">
        <w:rPr>
          <w:rFonts w:ascii="Times New Roman" w:hAnsi="Times New Roman" w:cs="Times New Roman"/>
        </w:rPr>
        <w:t>A receita líquida per capita (R$ de dez/2010/</w:t>
      </w:r>
      <w:r w:rsidR="00D06390" w:rsidRPr="007A0B11">
        <w:rPr>
          <w:rFonts w:ascii="Times New Roman" w:hAnsi="Times New Roman" w:cs="Times New Roman"/>
        </w:rPr>
        <w:t>hab.</w:t>
      </w:r>
      <w:r w:rsidRPr="007A0B11">
        <w:rPr>
          <w:rFonts w:ascii="Times New Roman" w:hAnsi="Times New Roman" w:cs="Times New Roman"/>
        </w:rPr>
        <w:t>) foi de R$1322,18, que foi inferior aos gastos totais (R$1543,18), sendo o equilíbrio fiscal negativo. A participação da dívida consolidada líquida na receita corrente líquida, que mede o endividamento público, foi de 0,04%, com 19,4% em operações de crédito/despesas de capital.</w:t>
      </w:r>
    </w:p>
    <w:p w:rsidR="005C7DDE" w:rsidRPr="007A0B11" w:rsidRDefault="005C7DDE" w:rsidP="005C7DDE">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O esforço de investimento no gasto total foi de 9,14%, que permite avaliar tanto a eficiência quanto a economicidade do gasto realizado pela administração na provisão de políticas públicas. Considera-se que administrações mais eficientes tendem a apresentar gastos relativos menores com o custeio da máquina pública e com o Legislativo, liberando </w:t>
      </w:r>
      <w:r w:rsidRPr="007A0B11">
        <w:rPr>
          <w:rFonts w:ascii="Times New Roman" w:hAnsi="Times New Roman" w:cs="Times New Roman"/>
        </w:rPr>
        <w:lastRenderedPageBreak/>
        <w:t>mais recursos para os investimentos, ao contrário de administrações menos eficientes.</w:t>
      </w:r>
    </w:p>
    <w:p w:rsidR="003F1385" w:rsidRPr="000F4E80" w:rsidRDefault="0075744C" w:rsidP="0075744C">
      <w:pPr>
        <w:pStyle w:val="Legenda"/>
      </w:pPr>
      <w:bookmarkStart w:id="153" w:name="_Toc372740521"/>
      <w:r>
        <w:t xml:space="preserve">Quadro </w:t>
      </w:r>
      <w:fldSimple w:instr=" SEQ Quadro \* ARABIC ">
        <w:r w:rsidR="004F77E2">
          <w:rPr>
            <w:noProof/>
          </w:rPr>
          <w:t>15</w:t>
        </w:r>
      </w:fldSimple>
      <w:r>
        <w:t xml:space="preserve"> - </w:t>
      </w:r>
      <w:r w:rsidRPr="00D62005">
        <w:rPr>
          <w:noProof/>
        </w:rPr>
        <w:t>Gastos per capita do Município de Aimorés, 2010.</w:t>
      </w:r>
      <w:bookmarkEnd w:id="153"/>
    </w:p>
    <w:tbl>
      <w:tblPr>
        <w:tblStyle w:val="Tabelacomgrade"/>
        <w:tblW w:w="0" w:type="auto"/>
        <w:tblInd w:w="108" w:type="dxa"/>
        <w:tblLook w:val="04A0" w:firstRow="1" w:lastRow="0" w:firstColumn="1" w:lastColumn="0" w:noHBand="0" w:noVBand="1"/>
      </w:tblPr>
      <w:tblGrid>
        <w:gridCol w:w="4181"/>
        <w:gridCol w:w="2686"/>
        <w:gridCol w:w="1638"/>
      </w:tblGrid>
      <w:tr w:rsidR="00192DB6" w:rsidRPr="003F1385" w:rsidTr="003F1385">
        <w:trPr>
          <w:trHeight w:val="510"/>
        </w:trPr>
        <w:tc>
          <w:tcPr>
            <w:tcW w:w="4181"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3F1385" w:rsidRDefault="00192DB6" w:rsidP="005C7DDE">
            <w:pPr>
              <w:spacing w:before="120" w:after="120" w:line="240" w:lineRule="auto"/>
              <w:jc w:val="center"/>
              <w:rPr>
                <w:rFonts w:cs="Times New Roman"/>
                <w:b/>
                <w:szCs w:val="24"/>
              </w:rPr>
            </w:pPr>
            <w:r w:rsidRPr="003F1385">
              <w:rPr>
                <w:rFonts w:cs="Times New Roman"/>
                <w:b/>
                <w:szCs w:val="24"/>
              </w:rPr>
              <w:t>Itens</w:t>
            </w:r>
          </w:p>
        </w:tc>
        <w:tc>
          <w:tcPr>
            <w:tcW w:w="2686"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3F1385" w:rsidRDefault="00192DB6" w:rsidP="005C7DDE">
            <w:pPr>
              <w:spacing w:before="120" w:after="120" w:line="240" w:lineRule="auto"/>
              <w:jc w:val="center"/>
              <w:rPr>
                <w:rFonts w:cs="Times New Roman"/>
                <w:b/>
                <w:szCs w:val="24"/>
              </w:rPr>
            </w:pPr>
            <w:r w:rsidRPr="003F1385">
              <w:rPr>
                <w:rFonts w:cs="Times New Roman"/>
                <w:b/>
                <w:szCs w:val="24"/>
              </w:rPr>
              <w:t>Valores</w:t>
            </w:r>
          </w:p>
          <w:p w:rsidR="00192DB6" w:rsidRPr="003F1385" w:rsidRDefault="00192DB6" w:rsidP="005C7DDE">
            <w:pPr>
              <w:spacing w:before="120" w:after="120" w:line="240" w:lineRule="auto"/>
              <w:jc w:val="center"/>
              <w:rPr>
                <w:rFonts w:cs="Times New Roman"/>
                <w:b/>
                <w:szCs w:val="24"/>
              </w:rPr>
            </w:pPr>
            <w:r w:rsidRPr="003F1385">
              <w:rPr>
                <w:rFonts w:cs="Times New Roman"/>
                <w:b/>
                <w:szCs w:val="24"/>
              </w:rPr>
              <w:t xml:space="preserve">(R$ dez/2010) </w:t>
            </w:r>
          </w:p>
        </w:tc>
        <w:tc>
          <w:tcPr>
            <w:tcW w:w="1638"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3F1385" w:rsidRDefault="00192DB6" w:rsidP="005C7DDE">
            <w:pPr>
              <w:spacing w:before="120" w:after="120" w:line="240" w:lineRule="auto"/>
              <w:jc w:val="center"/>
              <w:rPr>
                <w:rFonts w:cs="Times New Roman"/>
                <w:b/>
                <w:szCs w:val="24"/>
              </w:rPr>
            </w:pPr>
            <w:r w:rsidRPr="003F1385">
              <w:rPr>
                <w:rFonts w:cs="Times New Roman"/>
                <w:b/>
                <w:szCs w:val="24"/>
              </w:rPr>
              <w:t>%</w:t>
            </w:r>
          </w:p>
        </w:tc>
      </w:tr>
      <w:tr w:rsidR="00192DB6" w:rsidRPr="003F1385" w:rsidTr="003F1385">
        <w:trPr>
          <w:trHeight w:val="510"/>
        </w:trPr>
        <w:tc>
          <w:tcPr>
            <w:tcW w:w="4181" w:type="dxa"/>
            <w:tcBorders>
              <w:top w:val="single" w:sz="12" w:space="0" w:color="auto"/>
              <w:left w:val="single" w:sz="12" w:space="0" w:color="auto"/>
              <w:bottom w:val="single" w:sz="6" w:space="0" w:color="auto"/>
              <w:right w:val="single" w:sz="12" w:space="0" w:color="auto"/>
            </w:tcBorders>
            <w:vAlign w:val="center"/>
          </w:tcPr>
          <w:p w:rsidR="00192DB6" w:rsidRPr="005C7DDE" w:rsidRDefault="00192DB6" w:rsidP="005C7DDE">
            <w:pPr>
              <w:spacing w:before="120" w:after="120" w:line="240" w:lineRule="auto"/>
              <w:ind w:left="34"/>
              <w:rPr>
                <w:rFonts w:cs="Times New Roman"/>
                <w:szCs w:val="24"/>
              </w:rPr>
            </w:pPr>
            <w:r w:rsidRPr="005C7DDE">
              <w:rPr>
                <w:rFonts w:cs="Times New Roman"/>
                <w:szCs w:val="24"/>
              </w:rPr>
              <w:t>Saneamento</w:t>
            </w:r>
          </w:p>
        </w:tc>
        <w:tc>
          <w:tcPr>
            <w:tcW w:w="2686" w:type="dxa"/>
            <w:tcBorders>
              <w:top w:val="single" w:sz="12"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19,42</w:t>
            </w:r>
          </w:p>
        </w:tc>
        <w:tc>
          <w:tcPr>
            <w:tcW w:w="1638" w:type="dxa"/>
            <w:tcBorders>
              <w:top w:val="single" w:sz="12"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1,2</w:t>
            </w:r>
          </w:p>
        </w:tc>
      </w:tr>
      <w:tr w:rsidR="00192DB6" w:rsidRPr="003F1385" w:rsidTr="003F1385">
        <w:trPr>
          <w:trHeight w:val="510"/>
        </w:trPr>
        <w:tc>
          <w:tcPr>
            <w:tcW w:w="4181" w:type="dxa"/>
            <w:tcBorders>
              <w:top w:val="single" w:sz="6" w:space="0" w:color="auto"/>
              <w:left w:val="single" w:sz="12" w:space="0" w:color="auto"/>
              <w:bottom w:val="single" w:sz="6" w:space="0" w:color="auto"/>
              <w:right w:val="single" w:sz="12" w:space="0" w:color="auto"/>
            </w:tcBorders>
            <w:vAlign w:val="center"/>
          </w:tcPr>
          <w:p w:rsidR="00192DB6" w:rsidRPr="005C7DDE" w:rsidRDefault="00192DB6" w:rsidP="005C7DDE">
            <w:pPr>
              <w:spacing w:before="120" w:after="120" w:line="240" w:lineRule="auto"/>
              <w:ind w:left="34"/>
              <w:rPr>
                <w:rFonts w:cs="Times New Roman"/>
                <w:szCs w:val="24"/>
              </w:rPr>
            </w:pPr>
            <w:r w:rsidRPr="005C7DDE">
              <w:rPr>
                <w:rFonts w:cs="Times New Roman"/>
                <w:szCs w:val="24"/>
              </w:rPr>
              <w:t>Meio Ambiente</w:t>
            </w:r>
          </w:p>
        </w:tc>
        <w:tc>
          <w:tcPr>
            <w:tcW w:w="2686"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63,81</w:t>
            </w:r>
          </w:p>
        </w:tc>
        <w:tc>
          <w:tcPr>
            <w:tcW w:w="1638"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4,1</w:t>
            </w:r>
          </w:p>
        </w:tc>
      </w:tr>
      <w:tr w:rsidR="00192DB6" w:rsidRPr="003F1385" w:rsidTr="003F1385">
        <w:trPr>
          <w:trHeight w:val="510"/>
        </w:trPr>
        <w:tc>
          <w:tcPr>
            <w:tcW w:w="4181" w:type="dxa"/>
            <w:tcBorders>
              <w:top w:val="single" w:sz="6" w:space="0" w:color="auto"/>
              <w:left w:val="single" w:sz="12" w:space="0" w:color="auto"/>
              <w:bottom w:val="single" w:sz="6" w:space="0" w:color="auto"/>
              <w:right w:val="single" w:sz="12" w:space="0" w:color="auto"/>
            </w:tcBorders>
            <w:vAlign w:val="center"/>
          </w:tcPr>
          <w:p w:rsidR="00192DB6" w:rsidRPr="005C7DDE" w:rsidRDefault="00192DB6" w:rsidP="005C7DDE">
            <w:pPr>
              <w:spacing w:before="120" w:after="120" w:line="240" w:lineRule="auto"/>
              <w:ind w:left="34"/>
              <w:rPr>
                <w:rFonts w:cs="Times New Roman"/>
                <w:szCs w:val="24"/>
              </w:rPr>
            </w:pPr>
            <w:r w:rsidRPr="005C7DDE">
              <w:rPr>
                <w:rFonts w:cs="Times New Roman"/>
                <w:szCs w:val="24"/>
              </w:rPr>
              <w:t>Saúde</w:t>
            </w:r>
          </w:p>
        </w:tc>
        <w:tc>
          <w:tcPr>
            <w:tcW w:w="2686"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182,55</w:t>
            </w:r>
          </w:p>
        </w:tc>
        <w:tc>
          <w:tcPr>
            <w:tcW w:w="1638"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11,8</w:t>
            </w:r>
          </w:p>
        </w:tc>
      </w:tr>
      <w:tr w:rsidR="00192DB6" w:rsidRPr="003F1385" w:rsidTr="003F1385">
        <w:trPr>
          <w:trHeight w:val="510"/>
        </w:trPr>
        <w:tc>
          <w:tcPr>
            <w:tcW w:w="4181" w:type="dxa"/>
            <w:tcBorders>
              <w:top w:val="single" w:sz="6" w:space="0" w:color="auto"/>
              <w:left w:val="single" w:sz="12" w:space="0" w:color="auto"/>
              <w:bottom w:val="single" w:sz="6" w:space="0" w:color="auto"/>
              <w:right w:val="single" w:sz="12" w:space="0" w:color="auto"/>
            </w:tcBorders>
            <w:vAlign w:val="center"/>
          </w:tcPr>
          <w:p w:rsidR="00192DB6" w:rsidRPr="005C7DDE" w:rsidRDefault="00192DB6" w:rsidP="005C7DDE">
            <w:pPr>
              <w:spacing w:before="120" w:after="120" w:line="240" w:lineRule="auto"/>
              <w:ind w:left="34"/>
              <w:rPr>
                <w:rFonts w:cs="Times New Roman"/>
                <w:szCs w:val="24"/>
              </w:rPr>
            </w:pPr>
            <w:r w:rsidRPr="005C7DDE">
              <w:rPr>
                <w:rFonts w:cs="Times New Roman"/>
                <w:szCs w:val="24"/>
              </w:rPr>
              <w:t>Educação</w:t>
            </w:r>
          </w:p>
        </w:tc>
        <w:tc>
          <w:tcPr>
            <w:tcW w:w="2686"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247,13</w:t>
            </w:r>
          </w:p>
        </w:tc>
        <w:tc>
          <w:tcPr>
            <w:tcW w:w="1638"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16,0</w:t>
            </w:r>
          </w:p>
        </w:tc>
      </w:tr>
      <w:tr w:rsidR="00192DB6" w:rsidRPr="003F1385" w:rsidTr="003F1385">
        <w:trPr>
          <w:trHeight w:val="510"/>
        </w:trPr>
        <w:tc>
          <w:tcPr>
            <w:tcW w:w="4181" w:type="dxa"/>
            <w:tcBorders>
              <w:top w:val="single" w:sz="6" w:space="0" w:color="auto"/>
              <w:left w:val="single" w:sz="12" w:space="0" w:color="auto"/>
              <w:bottom w:val="single" w:sz="6" w:space="0" w:color="auto"/>
              <w:right w:val="single" w:sz="12" w:space="0" w:color="auto"/>
            </w:tcBorders>
            <w:vAlign w:val="center"/>
          </w:tcPr>
          <w:p w:rsidR="00192DB6" w:rsidRPr="005C7DDE" w:rsidRDefault="00192DB6" w:rsidP="005C7DDE">
            <w:pPr>
              <w:spacing w:before="120" w:after="120" w:line="240" w:lineRule="auto"/>
              <w:ind w:left="34"/>
              <w:rPr>
                <w:rFonts w:cs="Times New Roman"/>
                <w:szCs w:val="24"/>
              </w:rPr>
            </w:pPr>
            <w:r w:rsidRPr="005C7DDE">
              <w:rPr>
                <w:rFonts w:cs="Times New Roman"/>
                <w:szCs w:val="24"/>
              </w:rPr>
              <w:t>Assistência Social Cidadania</w:t>
            </w:r>
          </w:p>
        </w:tc>
        <w:tc>
          <w:tcPr>
            <w:tcW w:w="2686"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49,01</w:t>
            </w:r>
          </w:p>
        </w:tc>
        <w:tc>
          <w:tcPr>
            <w:tcW w:w="1638"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3,2</w:t>
            </w:r>
          </w:p>
        </w:tc>
      </w:tr>
      <w:tr w:rsidR="00192DB6" w:rsidRPr="003F1385" w:rsidTr="003F1385">
        <w:trPr>
          <w:trHeight w:val="510"/>
        </w:trPr>
        <w:tc>
          <w:tcPr>
            <w:tcW w:w="4181" w:type="dxa"/>
            <w:tcBorders>
              <w:top w:val="single" w:sz="6" w:space="0" w:color="auto"/>
              <w:left w:val="single" w:sz="12" w:space="0" w:color="auto"/>
              <w:bottom w:val="single" w:sz="6" w:space="0" w:color="auto"/>
              <w:right w:val="single" w:sz="12" w:space="0" w:color="auto"/>
            </w:tcBorders>
            <w:vAlign w:val="center"/>
          </w:tcPr>
          <w:p w:rsidR="00192DB6" w:rsidRPr="005C7DDE" w:rsidRDefault="00192DB6" w:rsidP="005C7DDE">
            <w:pPr>
              <w:spacing w:before="120" w:after="120" w:line="240" w:lineRule="auto"/>
              <w:ind w:left="34"/>
              <w:rPr>
                <w:rFonts w:cs="Times New Roman"/>
                <w:szCs w:val="24"/>
              </w:rPr>
            </w:pPr>
            <w:r w:rsidRPr="005C7DDE">
              <w:rPr>
                <w:rFonts w:cs="Times New Roman"/>
                <w:szCs w:val="24"/>
              </w:rPr>
              <w:t>Difusão Cultural</w:t>
            </w:r>
          </w:p>
        </w:tc>
        <w:tc>
          <w:tcPr>
            <w:tcW w:w="2686"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13,44</w:t>
            </w:r>
          </w:p>
        </w:tc>
        <w:tc>
          <w:tcPr>
            <w:tcW w:w="1638"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0,9</w:t>
            </w:r>
          </w:p>
        </w:tc>
      </w:tr>
      <w:tr w:rsidR="00192DB6" w:rsidRPr="003F1385" w:rsidTr="003F1385">
        <w:trPr>
          <w:trHeight w:val="510"/>
        </w:trPr>
        <w:tc>
          <w:tcPr>
            <w:tcW w:w="4181" w:type="dxa"/>
            <w:tcBorders>
              <w:top w:val="single" w:sz="6" w:space="0" w:color="auto"/>
              <w:left w:val="single" w:sz="12" w:space="0" w:color="auto"/>
              <w:bottom w:val="single" w:sz="6" w:space="0" w:color="auto"/>
              <w:right w:val="single" w:sz="12" w:space="0" w:color="auto"/>
            </w:tcBorders>
            <w:vAlign w:val="center"/>
          </w:tcPr>
          <w:p w:rsidR="00192DB6" w:rsidRPr="005C7DDE" w:rsidRDefault="00192DB6" w:rsidP="005C7DDE">
            <w:pPr>
              <w:spacing w:before="120" w:after="120" w:line="240" w:lineRule="auto"/>
              <w:ind w:left="34"/>
              <w:rPr>
                <w:rFonts w:cs="Times New Roman"/>
                <w:szCs w:val="24"/>
              </w:rPr>
            </w:pPr>
            <w:r w:rsidRPr="005C7DDE">
              <w:rPr>
                <w:rFonts w:cs="Times New Roman"/>
                <w:szCs w:val="24"/>
              </w:rPr>
              <w:t>Esporte/Lazer</w:t>
            </w:r>
          </w:p>
        </w:tc>
        <w:tc>
          <w:tcPr>
            <w:tcW w:w="2686"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2,39</w:t>
            </w:r>
          </w:p>
        </w:tc>
        <w:tc>
          <w:tcPr>
            <w:tcW w:w="1638"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0,2</w:t>
            </w:r>
          </w:p>
        </w:tc>
      </w:tr>
      <w:tr w:rsidR="00192DB6" w:rsidRPr="003F1385" w:rsidTr="003F1385">
        <w:trPr>
          <w:trHeight w:val="510"/>
        </w:trPr>
        <w:tc>
          <w:tcPr>
            <w:tcW w:w="4181" w:type="dxa"/>
            <w:tcBorders>
              <w:top w:val="single" w:sz="6" w:space="0" w:color="auto"/>
              <w:left w:val="single" w:sz="12" w:space="0" w:color="auto"/>
              <w:bottom w:val="single" w:sz="6" w:space="0" w:color="auto"/>
              <w:right w:val="single" w:sz="12" w:space="0" w:color="auto"/>
            </w:tcBorders>
            <w:vAlign w:val="center"/>
          </w:tcPr>
          <w:p w:rsidR="00192DB6" w:rsidRPr="005C7DDE" w:rsidRDefault="00192DB6" w:rsidP="005C7DDE">
            <w:pPr>
              <w:spacing w:before="120" w:after="120" w:line="240" w:lineRule="auto"/>
              <w:ind w:left="34"/>
              <w:rPr>
                <w:rFonts w:cs="Times New Roman"/>
                <w:szCs w:val="24"/>
              </w:rPr>
            </w:pPr>
            <w:r w:rsidRPr="005C7DDE">
              <w:rPr>
                <w:rFonts w:cs="Times New Roman"/>
                <w:szCs w:val="24"/>
              </w:rPr>
              <w:t>Segurança Pública</w:t>
            </w:r>
          </w:p>
        </w:tc>
        <w:tc>
          <w:tcPr>
            <w:tcW w:w="2686"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4,92</w:t>
            </w:r>
          </w:p>
        </w:tc>
        <w:tc>
          <w:tcPr>
            <w:tcW w:w="1638"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0,3</w:t>
            </w:r>
          </w:p>
        </w:tc>
      </w:tr>
      <w:tr w:rsidR="00192DB6" w:rsidRPr="003F1385" w:rsidTr="003F1385">
        <w:trPr>
          <w:trHeight w:val="510"/>
        </w:trPr>
        <w:tc>
          <w:tcPr>
            <w:tcW w:w="4181" w:type="dxa"/>
            <w:tcBorders>
              <w:top w:val="single" w:sz="6" w:space="0" w:color="auto"/>
              <w:left w:val="single" w:sz="12" w:space="0" w:color="auto"/>
              <w:bottom w:val="single" w:sz="6" w:space="0" w:color="auto"/>
              <w:right w:val="single" w:sz="12" w:space="0" w:color="auto"/>
            </w:tcBorders>
            <w:vAlign w:val="center"/>
          </w:tcPr>
          <w:p w:rsidR="00192DB6" w:rsidRPr="005C7DDE" w:rsidRDefault="00192DB6" w:rsidP="005C7DDE">
            <w:pPr>
              <w:spacing w:before="120" w:after="120" w:line="240" w:lineRule="auto"/>
              <w:ind w:left="34"/>
              <w:rPr>
                <w:rFonts w:cs="Times New Roman"/>
                <w:szCs w:val="24"/>
              </w:rPr>
            </w:pPr>
            <w:r w:rsidRPr="005C7DDE">
              <w:rPr>
                <w:rFonts w:cs="Times New Roman"/>
                <w:szCs w:val="24"/>
              </w:rPr>
              <w:t>Agropecuária</w:t>
            </w:r>
          </w:p>
        </w:tc>
        <w:tc>
          <w:tcPr>
            <w:tcW w:w="2686"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6,36</w:t>
            </w:r>
          </w:p>
        </w:tc>
        <w:tc>
          <w:tcPr>
            <w:tcW w:w="1638"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0,4</w:t>
            </w:r>
          </w:p>
        </w:tc>
      </w:tr>
      <w:tr w:rsidR="00192DB6" w:rsidRPr="003F1385" w:rsidTr="003F1385">
        <w:trPr>
          <w:trHeight w:val="510"/>
        </w:trPr>
        <w:tc>
          <w:tcPr>
            <w:tcW w:w="4181" w:type="dxa"/>
            <w:tcBorders>
              <w:top w:val="single" w:sz="6" w:space="0" w:color="auto"/>
              <w:left w:val="single" w:sz="12" w:space="0" w:color="auto"/>
              <w:bottom w:val="single" w:sz="6" w:space="0" w:color="auto"/>
              <w:right w:val="single" w:sz="12" w:space="0" w:color="auto"/>
            </w:tcBorders>
            <w:vAlign w:val="center"/>
          </w:tcPr>
          <w:p w:rsidR="00192DB6" w:rsidRPr="005C7DDE" w:rsidRDefault="00192DB6" w:rsidP="005C7DDE">
            <w:pPr>
              <w:spacing w:before="120" w:after="120" w:line="240" w:lineRule="auto"/>
              <w:ind w:left="34"/>
              <w:rPr>
                <w:rFonts w:cs="Times New Roman"/>
                <w:szCs w:val="24"/>
              </w:rPr>
            </w:pPr>
            <w:r w:rsidRPr="005C7DDE">
              <w:rPr>
                <w:rFonts w:cs="Times New Roman"/>
                <w:szCs w:val="24"/>
              </w:rPr>
              <w:t>Infraestrutura</w:t>
            </w:r>
          </w:p>
        </w:tc>
        <w:tc>
          <w:tcPr>
            <w:tcW w:w="2686"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138,29</w:t>
            </w:r>
          </w:p>
        </w:tc>
        <w:tc>
          <w:tcPr>
            <w:tcW w:w="1638"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9,0</w:t>
            </w:r>
          </w:p>
        </w:tc>
      </w:tr>
      <w:tr w:rsidR="00192DB6" w:rsidRPr="003F1385" w:rsidTr="003F1385">
        <w:trPr>
          <w:trHeight w:val="510"/>
        </w:trPr>
        <w:tc>
          <w:tcPr>
            <w:tcW w:w="4181" w:type="dxa"/>
            <w:tcBorders>
              <w:top w:val="single" w:sz="6" w:space="0" w:color="auto"/>
              <w:left w:val="single" w:sz="12" w:space="0" w:color="auto"/>
              <w:bottom w:val="single" w:sz="6" w:space="0" w:color="auto"/>
              <w:right w:val="single" w:sz="12" w:space="0" w:color="auto"/>
            </w:tcBorders>
            <w:vAlign w:val="center"/>
          </w:tcPr>
          <w:p w:rsidR="00192DB6" w:rsidRPr="005C7DDE" w:rsidRDefault="00192DB6" w:rsidP="005C7DDE">
            <w:pPr>
              <w:spacing w:before="120" w:after="120" w:line="240" w:lineRule="auto"/>
              <w:ind w:left="34"/>
              <w:rPr>
                <w:rFonts w:cs="Times New Roman"/>
                <w:szCs w:val="24"/>
              </w:rPr>
            </w:pPr>
            <w:r w:rsidRPr="005C7DDE">
              <w:rPr>
                <w:rFonts w:cs="Times New Roman"/>
                <w:szCs w:val="24"/>
              </w:rPr>
              <w:t>Desenvolvimento Econômico</w:t>
            </w:r>
          </w:p>
        </w:tc>
        <w:tc>
          <w:tcPr>
            <w:tcW w:w="2686"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42,60</w:t>
            </w:r>
          </w:p>
        </w:tc>
        <w:tc>
          <w:tcPr>
            <w:tcW w:w="1638"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2,8</w:t>
            </w:r>
          </w:p>
        </w:tc>
      </w:tr>
      <w:tr w:rsidR="00192DB6" w:rsidRPr="003F1385" w:rsidTr="003F1385">
        <w:trPr>
          <w:trHeight w:val="510"/>
        </w:trPr>
        <w:tc>
          <w:tcPr>
            <w:tcW w:w="4181" w:type="dxa"/>
            <w:tcBorders>
              <w:top w:val="single" w:sz="6" w:space="0" w:color="auto"/>
              <w:left w:val="single" w:sz="12" w:space="0" w:color="auto"/>
              <w:bottom w:val="single" w:sz="12" w:space="0" w:color="auto"/>
              <w:right w:val="single" w:sz="12" w:space="0" w:color="auto"/>
            </w:tcBorders>
            <w:vAlign w:val="center"/>
          </w:tcPr>
          <w:p w:rsidR="00192DB6" w:rsidRPr="005C7DDE" w:rsidRDefault="00192DB6" w:rsidP="005C7DDE">
            <w:pPr>
              <w:spacing w:before="120" w:after="120" w:line="240" w:lineRule="auto"/>
              <w:ind w:left="34"/>
              <w:rPr>
                <w:rFonts w:cs="Times New Roman"/>
                <w:szCs w:val="24"/>
              </w:rPr>
            </w:pPr>
            <w:r w:rsidRPr="005C7DDE">
              <w:rPr>
                <w:rFonts w:cs="Times New Roman"/>
                <w:szCs w:val="24"/>
              </w:rPr>
              <w:t>Gastos com Outras Atividades</w:t>
            </w:r>
          </w:p>
        </w:tc>
        <w:tc>
          <w:tcPr>
            <w:tcW w:w="2686" w:type="dxa"/>
            <w:tcBorders>
              <w:top w:val="single" w:sz="6" w:space="0" w:color="auto"/>
              <w:left w:val="single" w:sz="12" w:space="0" w:color="auto"/>
              <w:bottom w:val="single" w:sz="12"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773,26</w:t>
            </w:r>
          </w:p>
        </w:tc>
        <w:tc>
          <w:tcPr>
            <w:tcW w:w="1638" w:type="dxa"/>
            <w:tcBorders>
              <w:top w:val="single" w:sz="6" w:space="0" w:color="auto"/>
              <w:left w:val="single" w:sz="12" w:space="0" w:color="auto"/>
              <w:bottom w:val="single" w:sz="12" w:space="0" w:color="auto"/>
              <w:right w:val="single" w:sz="12" w:space="0" w:color="auto"/>
            </w:tcBorders>
            <w:vAlign w:val="center"/>
          </w:tcPr>
          <w:p w:rsidR="00192DB6" w:rsidRPr="003F1385" w:rsidRDefault="00192DB6" w:rsidP="005C7DDE">
            <w:pPr>
              <w:spacing w:before="120" w:after="120" w:line="240" w:lineRule="auto"/>
              <w:jc w:val="center"/>
              <w:rPr>
                <w:rFonts w:cs="Times New Roman"/>
                <w:szCs w:val="24"/>
              </w:rPr>
            </w:pPr>
            <w:r w:rsidRPr="003F1385">
              <w:rPr>
                <w:rFonts w:cs="Times New Roman"/>
                <w:szCs w:val="24"/>
              </w:rPr>
              <w:t>50,1</w:t>
            </w:r>
          </w:p>
        </w:tc>
      </w:tr>
      <w:tr w:rsidR="00192DB6" w:rsidRPr="003F1385" w:rsidTr="003F1385">
        <w:trPr>
          <w:trHeight w:val="510"/>
        </w:trPr>
        <w:tc>
          <w:tcPr>
            <w:tcW w:w="4181" w:type="dxa"/>
            <w:tcBorders>
              <w:top w:val="single" w:sz="12" w:space="0" w:color="auto"/>
              <w:left w:val="single" w:sz="12" w:space="0" w:color="auto"/>
              <w:bottom w:val="single" w:sz="12" w:space="0" w:color="auto"/>
              <w:right w:val="single" w:sz="12" w:space="0" w:color="auto"/>
            </w:tcBorders>
            <w:vAlign w:val="center"/>
          </w:tcPr>
          <w:p w:rsidR="00192DB6" w:rsidRPr="003F1385" w:rsidRDefault="00192DB6" w:rsidP="005C7DDE">
            <w:pPr>
              <w:spacing w:before="120" w:after="120" w:line="240" w:lineRule="auto"/>
              <w:ind w:left="34"/>
              <w:rPr>
                <w:rFonts w:cs="Times New Roman"/>
                <w:b/>
                <w:szCs w:val="24"/>
              </w:rPr>
            </w:pPr>
            <w:r w:rsidRPr="003F1385">
              <w:rPr>
                <w:rFonts w:cs="Times New Roman"/>
                <w:b/>
                <w:szCs w:val="24"/>
              </w:rPr>
              <w:t>GASTOS TOTAIS</w:t>
            </w:r>
          </w:p>
        </w:tc>
        <w:tc>
          <w:tcPr>
            <w:tcW w:w="2686" w:type="dxa"/>
            <w:tcBorders>
              <w:top w:val="single" w:sz="12" w:space="0" w:color="auto"/>
              <w:left w:val="single" w:sz="12" w:space="0" w:color="auto"/>
              <w:bottom w:val="single" w:sz="12" w:space="0" w:color="auto"/>
              <w:right w:val="single" w:sz="12" w:space="0" w:color="auto"/>
            </w:tcBorders>
            <w:vAlign w:val="center"/>
          </w:tcPr>
          <w:p w:rsidR="00192DB6" w:rsidRPr="003F1385" w:rsidRDefault="00192DB6" w:rsidP="005C7DDE">
            <w:pPr>
              <w:spacing w:before="120" w:after="120" w:line="240" w:lineRule="auto"/>
              <w:jc w:val="center"/>
              <w:rPr>
                <w:rFonts w:cs="Times New Roman"/>
                <w:b/>
                <w:szCs w:val="24"/>
              </w:rPr>
            </w:pPr>
            <w:r w:rsidRPr="003F1385">
              <w:rPr>
                <w:rFonts w:cs="Times New Roman"/>
                <w:b/>
                <w:szCs w:val="24"/>
              </w:rPr>
              <w:t>1.543,18</w:t>
            </w:r>
          </w:p>
        </w:tc>
        <w:tc>
          <w:tcPr>
            <w:tcW w:w="1638" w:type="dxa"/>
            <w:tcBorders>
              <w:top w:val="single" w:sz="12" w:space="0" w:color="auto"/>
              <w:left w:val="single" w:sz="12" w:space="0" w:color="auto"/>
              <w:bottom w:val="single" w:sz="12" w:space="0" w:color="auto"/>
              <w:right w:val="single" w:sz="12" w:space="0" w:color="auto"/>
            </w:tcBorders>
            <w:vAlign w:val="center"/>
          </w:tcPr>
          <w:p w:rsidR="00192DB6" w:rsidRPr="003F1385" w:rsidRDefault="00192DB6" w:rsidP="005C7DDE">
            <w:pPr>
              <w:spacing w:before="120" w:after="120" w:line="240" w:lineRule="auto"/>
              <w:ind w:right="15"/>
              <w:jc w:val="center"/>
              <w:rPr>
                <w:rFonts w:cs="Times New Roman"/>
                <w:b/>
                <w:szCs w:val="24"/>
              </w:rPr>
            </w:pPr>
            <w:r w:rsidRPr="003F1385">
              <w:rPr>
                <w:rFonts w:cs="Times New Roman"/>
                <w:b/>
                <w:szCs w:val="24"/>
              </w:rPr>
              <w:t>100,0</w:t>
            </w:r>
          </w:p>
        </w:tc>
      </w:tr>
    </w:tbl>
    <w:p w:rsidR="00192DB6" w:rsidRPr="009337FF" w:rsidRDefault="00192DB6" w:rsidP="005C7DDE">
      <w:pPr>
        <w:pStyle w:val="Fonte"/>
        <w:ind w:left="142"/>
      </w:pPr>
      <w:r w:rsidRPr="009337FF">
        <w:t>FONTE: FJP (2013)</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O comportamento das finanças públicas é um dos componentes do Índice Mineiro de Responsabilidade Social</w:t>
      </w:r>
      <w:r w:rsidRPr="00843498">
        <w:rPr>
          <w:rFonts w:ascii="Times New Roman" w:hAnsi="Times New Roman" w:cs="Times New Roman"/>
          <w:vertAlign w:val="superscript"/>
        </w:rPr>
        <w:footnoteReference w:id="11"/>
      </w:r>
      <w:r w:rsidRPr="007A0B11">
        <w:rPr>
          <w:rFonts w:ascii="Times New Roman" w:hAnsi="Times New Roman" w:cs="Times New Roman"/>
        </w:rPr>
        <w:t xml:space="preserve"> (IMRS), organizado numa base de dados com cerca de 350 indicadores municipais para o Estado de Minas Gerais, desenvolvido pelo Centro de Estudos </w:t>
      </w:r>
      <w:r w:rsidRPr="007A0B11">
        <w:rPr>
          <w:rFonts w:ascii="Times New Roman" w:hAnsi="Times New Roman" w:cs="Times New Roman"/>
        </w:rPr>
        <w:lastRenderedPageBreak/>
        <w:t>de Políticas Públicas (CEPP) da</w:t>
      </w:r>
      <w:hyperlink r:id="rId86" w:tgtFrame="_blank" w:history="1">
        <w:r w:rsidRPr="007A0B11">
          <w:rPr>
            <w:rFonts w:ascii="Times New Roman" w:hAnsi="Times New Roman" w:cs="Times New Roman"/>
          </w:rPr>
          <w:t xml:space="preserve"> Fundação João Pinheiro (FJP)</w:t>
        </w:r>
      </w:hyperlink>
      <w:r w:rsidRPr="007A0B11">
        <w:rPr>
          <w:rFonts w:ascii="Times New Roman" w:hAnsi="Times New Roman" w:cs="Times New Roman"/>
        </w:rPr>
        <w:t>. O IMRS contempla as dimensões saúde, educação, renda, segurança pública, habitação e meio ambiente, cultura, esporte, turismo e lazer, além das finanças municipais, com condições de subsidiar o planejamento das políticas públicas de âmbito local, a alocação de recursos financeiros, materiais e humanos.</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Os dados do IMRS permitem uma avaliação do desempenho do poder público na promoção da responsabilidade social nas diversas áreas setoriais, promovendo o sistema de monitoramento das atividades do setor público, bem como a transparência e controle por parte da sociedade (FJP, 2013). </w:t>
      </w:r>
    </w:p>
    <w:p w:rsidR="00192DB6"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O IMRS do município de Aimorés, no ano de 2008, conforme dados </w:t>
      </w:r>
      <w:r w:rsidRPr="00213AEB">
        <w:rPr>
          <w:rFonts w:ascii="Times New Roman" w:hAnsi="Times New Roman" w:cs="Times New Roman"/>
        </w:rPr>
        <w:t>do Quadro</w:t>
      </w:r>
      <w:r w:rsidRPr="007A0B11">
        <w:rPr>
          <w:rFonts w:ascii="Times New Roman" w:hAnsi="Times New Roman" w:cs="Times New Roman"/>
        </w:rPr>
        <w:t xml:space="preserve"> </w:t>
      </w:r>
      <w:r w:rsidR="005C7DDE">
        <w:rPr>
          <w:rFonts w:ascii="Times New Roman" w:hAnsi="Times New Roman" w:cs="Times New Roman"/>
        </w:rPr>
        <w:t>16</w:t>
      </w:r>
      <w:r w:rsidRPr="007A0B11">
        <w:rPr>
          <w:rFonts w:ascii="Times New Roman" w:hAnsi="Times New Roman" w:cs="Times New Roman"/>
        </w:rPr>
        <w:t>, foi de 0,631, influenciado principalmente pelas dimensões Assistência Social (0,768), Saúde (0,734) e Finanças Municipais (0,66). A maioria das dimensões, excetuando Educação e Segurança Pública, apresentou um crescimento, no intervalo de 2006 a 2008, como: Meio Ambiente e Habitação (crescimento de 26,4%), Educação (11,2%), Finanças Municipais (4,8%) e renda e emprego (2,2%). As demais dimensões sofreram modificações, em 2008, como a inserção de Assistência Social e o desmembramento de Cultura e Esporte (com crescimento de 49,3%, no período de 2004/2006) em Cultura e Esporte/ Turismo/ Lazer.</w:t>
      </w:r>
    </w:p>
    <w:p w:rsidR="00213AEB" w:rsidRPr="007A0B11" w:rsidRDefault="00213AEB" w:rsidP="00213AEB">
      <w:pPr>
        <w:pStyle w:val="CM72"/>
        <w:spacing w:line="360" w:lineRule="auto"/>
        <w:ind w:firstLine="708"/>
        <w:jc w:val="both"/>
        <w:rPr>
          <w:rFonts w:ascii="Times New Roman" w:hAnsi="Times New Roman" w:cs="Times New Roman"/>
        </w:rPr>
      </w:pPr>
      <w:r w:rsidRPr="007A0B11">
        <w:rPr>
          <w:rFonts w:ascii="Times New Roman" w:hAnsi="Times New Roman" w:cs="Times New Roman"/>
        </w:rPr>
        <w:t>As duas novas dimensões incluídas em 2008 apresentaram índices de responsabilidade social expressivos, comparativamente às demais dimensões, como foi o caso da Assistência Social, com o valor mais alto (0,768), além da Cultura (0,639).</w:t>
      </w:r>
    </w:p>
    <w:p w:rsidR="00213AEB" w:rsidRPr="007A0B11" w:rsidRDefault="00213AEB" w:rsidP="00213AEB">
      <w:pPr>
        <w:pStyle w:val="CM72"/>
        <w:spacing w:line="360" w:lineRule="auto"/>
        <w:ind w:firstLine="708"/>
        <w:jc w:val="both"/>
        <w:rPr>
          <w:rFonts w:ascii="Times New Roman" w:hAnsi="Times New Roman" w:cs="Times New Roman"/>
        </w:rPr>
      </w:pPr>
      <w:r w:rsidRPr="007A0B11">
        <w:rPr>
          <w:rFonts w:ascii="Times New Roman" w:hAnsi="Times New Roman" w:cs="Times New Roman"/>
        </w:rPr>
        <w:t>Como pode ser observado, houve uma melhoria do índice ao longo dos anos, com aumento de 20,4%, ao passar de 0,524 para 0,631. O índice só não foi maior, porque algumas dimensões apresentaram um decréscimo, no período 2006/2008, como: Educação (7,4%) e Segurança Pública (10,3%)</w:t>
      </w:r>
    </w:p>
    <w:p w:rsidR="00213AEB" w:rsidRDefault="00213AEB">
      <w:pPr>
        <w:spacing w:after="200" w:line="276" w:lineRule="auto"/>
        <w:rPr>
          <w:rFonts w:eastAsiaTheme="minorEastAsia" w:cs="Times New Roman"/>
          <w:bCs/>
          <w:szCs w:val="24"/>
          <w:lang w:eastAsia="pt-BR"/>
        </w:rPr>
      </w:pPr>
      <w:bookmarkStart w:id="154" w:name="_Toc372117259"/>
      <w:r>
        <w:br w:type="page"/>
      </w:r>
    </w:p>
    <w:p w:rsidR="003F1385" w:rsidRPr="00C433BB" w:rsidRDefault="0075744C" w:rsidP="0075744C">
      <w:pPr>
        <w:pStyle w:val="Legenda"/>
        <w:rPr>
          <w:sz w:val="28"/>
          <w:szCs w:val="28"/>
        </w:rPr>
      </w:pPr>
      <w:bookmarkStart w:id="155" w:name="_Toc372740522"/>
      <w:bookmarkEnd w:id="154"/>
      <w:r>
        <w:lastRenderedPageBreak/>
        <w:t xml:space="preserve">Quadro </w:t>
      </w:r>
      <w:fldSimple w:instr=" SEQ Quadro \* ARABIC ">
        <w:r w:rsidR="004F77E2">
          <w:rPr>
            <w:noProof/>
          </w:rPr>
          <w:t>16</w:t>
        </w:r>
      </w:fldSimple>
      <w:r>
        <w:t xml:space="preserve"> - </w:t>
      </w:r>
      <w:r w:rsidRPr="00F15B64">
        <w:rPr>
          <w:noProof/>
        </w:rPr>
        <w:t>Índice Mineiro de Responsabilidade Social (IMRS), Aimorés/MG, 2000 a 2008.</w:t>
      </w:r>
      <w:bookmarkEnd w:id="155"/>
    </w:p>
    <w:tbl>
      <w:tblPr>
        <w:tblStyle w:val="Tabelacomgrade3"/>
        <w:tblW w:w="0" w:type="auto"/>
        <w:tblInd w:w="108" w:type="dxa"/>
        <w:tblLook w:val="04A0" w:firstRow="1" w:lastRow="0" w:firstColumn="1" w:lastColumn="0" w:noHBand="0" w:noVBand="1"/>
      </w:tblPr>
      <w:tblGrid>
        <w:gridCol w:w="3402"/>
        <w:gridCol w:w="993"/>
        <w:gridCol w:w="992"/>
        <w:gridCol w:w="992"/>
        <w:gridCol w:w="992"/>
        <w:gridCol w:w="1134"/>
      </w:tblGrid>
      <w:tr w:rsidR="00192DB6" w:rsidRPr="003F1385" w:rsidTr="00213AEB">
        <w:trPr>
          <w:trHeight w:val="510"/>
        </w:trPr>
        <w:tc>
          <w:tcPr>
            <w:tcW w:w="3402" w:type="dxa"/>
            <w:vMerge w:val="restart"/>
            <w:tcBorders>
              <w:top w:val="single" w:sz="12" w:space="0" w:color="auto"/>
              <w:left w:val="single" w:sz="12" w:space="0" w:color="auto"/>
              <w:right w:val="single" w:sz="12" w:space="0" w:color="auto"/>
            </w:tcBorders>
            <w:shd w:val="clear" w:color="auto" w:fill="BFBFBF" w:themeFill="background1" w:themeFillShade="BF"/>
            <w:vAlign w:val="center"/>
          </w:tcPr>
          <w:p w:rsidR="00192DB6" w:rsidRPr="003F1385" w:rsidRDefault="00192DB6" w:rsidP="00213AEB">
            <w:pPr>
              <w:spacing w:before="120" w:after="120" w:line="240" w:lineRule="auto"/>
              <w:jc w:val="center"/>
              <w:rPr>
                <w:rFonts w:cs="Times New Roman"/>
                <w:b/>
                <w:szCs w:val="24"/>
              </w:rPr>
            </w:pPr>
            <w:r w:rsidRPr="003F1385">
              <w:rPr>
                <w:rFonts w:cs="Times New Roman"/>
                <w:b/>
                <w:szCs w:val="24"/>
              </w:rPr>
              <w:t>Índices</w:t>
            </w:r>
          </w:p>
          <w:p w:rsidR="00192DB6" w:rsidRPr="003F1385" w:rsidRDefault="00192DB6" w:rsidP="00213AEB">
            <w:pPr>
              <w:spacing w:before="120" w:after="120" w:line="240" w:lineRule="auto"/>
              <w:jc w:val="center"/>
              <w:rPr>
                <w:rFonts w:cs="Times New Roman"/>
                <w:b/>
                <w:szCs w:val="24"/>
              </w:rPr>
            </w:pPr>
            <w:r w:rsidRPr="003F1385">
              <w:rPr>
                <w:rFonts w:cs="Times New Roman"/>
                <w:b/>
                <w:szCs w:val="24"/>
              </w:rPr>
              <w:t>(0 a 1)</w:t>
            </w:r>
          </w:p>
        </w:tc>
        <w:tc>
          <w:tcPr>
            <w:tcW w:w="5103" w:type="dxa"/>
            <w:gridSpan w:val="5"/>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3F1385" w:rsidRDefault="00192DB6" w:rsidP="00213AEB">
            <w:pPr>
              <w:spacing w:before="120" w:after="120" w:line="240" w:lineRule="auto"/>
              <w:jc w:val="center"/>
              <w:rPr>
                <w:rFonts w:cs="Times New Roman"/>
                <w:b/>
                <w:szCs w:val="24"/>
              </w:rPr>
            </w:pPr>
            <w:r w:rsidRPr="003F1385">
              <w:rPr>
                <w:rFonts w:cs="Times New Roman"/>
                <w:b/>
                <w:szCs w:val="24"/>
              </w:rPr>
              <w:t>Anos</w:t>
            </w:r>
          </w:p>
        </w:tc>
      </w:tr>
      <w:tr w:rsidR="00192DB6" w:rsidRPr="003F1385" w:rsidTr="00213AEB">
        <w:trPr>
          <w:trHeight w:val="510"/>
        </w:trPr>
        <w:tc>
          <w:tcPr>
            <w:tcW w:w="3402" w:type="dxa"/>
            <w:vMerge/>
            <w:tcBorders>
              <w:left w:val="single" w:sz="12" w:space="0" w:color="auto"/>
              <w:bottom w:val="single" w:sz="12" w:space="0" w:color="auto"/>
              <w:right w:val="single" w:sz="12" w:space="0" w:color="auto"/>
            </w:tcBorders>
            <w:shd w:val="clear" w:color="auto" w:fill="BFBFBF" w:themeFill="background1" w:themeFillShade="BF"/>
            <w:vAlign w:val="center"/>
          </w:tcPr>
          <w:p w:rsidR="00192DB6" w:rsidRPr="003F1385" w:rsidRDefault="00192DB6" w:rsidP="00213AEB">
            <w:pPr>
              <w:spacing w:before="120" w:after="120" w:line="240" w:lineRule="auto"/>
              <w:jc w:val="center"/>
              <w:rPr>
                <w:rFonts w:cs="Times New Roman"/>
                <w:b/>
                <w:szCs w:val="24"/>
              </w:rPr>
            </w:pPr>
          </w:p>
        </w:tc>
        <w:tc>
          <w:tcPr>
            <w:tcW w:w="993"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3F1385" w:rsidRDefault="00192DB6" w:rsidP="00213AEB">
            <w:pPr>
              <w:spacing w:before="120" w:after="120" w:line="240" w:lineRule="auto"/>
              <w:jc w:val="center"/>
              <w:rPr>
                <w:rFonts w:cs="Times New Roman"/>
                <w:b/>
                <w:szCs w:val="24"/>
              </w:rPr>
            </w:pPr>
            <w:r w:rsidRPr="003F1385">
              <w:rPr>
                <w:rFonts w:cs="Times New Roman"/>
                <w:b/>
                <w:szCs w:val="24"/>
              </w:rPr>
              <w:t>2000</w:t>
            </w:r>
          </w:p>
        </w:tc>
        <w:tc>
          <w:tcPr>
            <w:tcW w:w="992"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3F1385" w:rsidRDefault="00192DB6" w:rsidP="00213AEB">
            <w:pPr>
              <w:spacing w:before="120" w:after="120" w:line="240" w:lineRule="auto"/>
              <w:jc w:val="center"/>
              <w:rPr>
                <w:rFonts w:cs="Times New Roman"/>
                <w:b/>
                <w:szCs w:val="24"/>
              </w:rPr>
            </w:pPr>
            <w:r w:rsidRPr="003F1385">
              <w:rPr>
                <w:rFonts w:cs="Times New Roman"/>
                <w:b/>
                <w:szCs w:val="24"/>
              </w:rPr>
              <w:t>2002</w:t>
            </w:r>
          </w:p>
        </w:tc>
        <w:tc>
          <w:tcPr>
            <w:tcW w:w="992"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3F1385" w:rsidRDefault="00192DB6" w:rsidP="00213AEB">
            <w:pPr>
              <w:spacing w:before="120" w:after="120" w:line="240" w:lineRule="auto"/>
              <w:jc w:val="center"/>
              <w:rPr>
                <w:rFonts w:cs="Times New Roman"/>
                <w:b/>
                <w:szCs w:val="24"/>
              </w:rPr>
            </w:pPr>
            <w:r w:rsidRPr="003F1385">
              <w:rPr>
                <w:rFonts w:cs="Times New Roman"/>
                <w:b/>
                <w:szCs w:val="24"/>
              </w:rPr>
              <w:t>2004</w:t>
            </w:r>
          </w:p>
        </w:tc>
        <w:tc>
          <w:tcPr>
            <w:tcW w:w="992"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3F1385" w:rsidRDefault="00192DB6" w:rsidP="00213AEB">
            <w:pPr>
              <w:spacing w:before="120" w:after="120" w:line="240" w:lineRule="auto"/>
              <w:jc w:val="center"/>
              <w:rPr>
                <w:rFonts w:cs="Times New Roman"/>
                <w:b/>
                <w:szCs w:val="24"/>
              </w:rPr>
            </w:pPr>
            <w:r w:rsidRPr="003F1385">
              <w:rPr>
                <w:rFonts w:cs="Times New Roman"/>
                <w:b/>
                <w:szCs w:val="24"/>
              </w:rPr>
              <w:t>2006</w:t>
            </w:r>
          </w:p>
        </w:tc>
        <w:tc>
          <w:tcPr>
            <w:tcW w:w="1134"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192DB6" w:rsidRPr="003F1385" w:rsidRDefault="00192DB6" w:rsidP="00213AEB">
            <w:pPr>
              <w:spacing w:before="120" w:after="120" w:line="240" w:lineRule="auto"/>
              <w:jc w:val="center"/>
              <w:rPr>
                <w:rFonts w:cs="Times New Roman"/>
                <w:b/>
                <w:szCs w:val="24"/>
              </w:rPr>
            </w:pPr>
            <w:r w:rsidRPr="003F1385">
              <w:rPr>
                <w:rFonts w:cs="Times New Roman"/>
                <w:b/>
                <w:szCs w:val="24"/>
              </w:rPr>
              <w:t>2008</w:t>
            </w:r>
          </w:p>
        </w:tc>
      </w:tr>
      <w:tr w:rsidR="00192DB6" w:rsidRPr="003F1385" w:rsidTr="00213AEB">
        <w:trPr>
          <w:trHeight w:val="510"/>
        </w:trPr>
        <w:tc>
          <w:tcPr>
            <w:tcW w:w="3402" w:type="dxa"/>
            <w:tcBorders>
              <w:top w:val="single" w:sz="12"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left="34"/>
              <w:contextualSpacing/>
              <w:rPr>
                <w:rFonts w:cs="Times New Roman"/>
                <w:b/>
                <w:szCs w:val="24"/>
              </w:rPr>
            </w:pPr>
            <w:r w:rsidRPr="003F1385">
              <w:rPr>
                <w:rFonts w:cs="Times New Roman"/>
                <w:b/>
                <w:szCs w:val="24"/>
              </w:rPr>
              <w:t>Índice Mineiro de Responsabilidade Social</w:t>
            </w:r>
          </w:p>
        </w:tc>
        <w:tc>
          <w:tcPr>
            <w:tcW w:w="993" w:type="dxa"/>
            <w:tcBorders>
              <w:top w:val="single" w:sz="12"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b/>
                <w:szCs w:val="24"/>
              </w:rPr>
            </w:pPr>
            <w:r w:rsidRPr="003F1385">
              <w:rPr>
                <w:rFonts w:cs="Times New Roman"/>
                <w:b/>
                <w:szCs w:val="24"/>
              </w:rPr>
              <w:t>0,524</w:t>
            </w:r>
          </w:p>
        </w:tc>
        <w:tc>
          <w:tcPr>
            <w:tcW w:w="992" w:type="dxa"/>
            <w:tcBorders>
              <w:top w:val="single" w:sz="12"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b/>
                <w:szCs w:val="24"/>
              </w:rPr>
            </w:pPr>
            <w:r w:rsidRPr="003F1385">
              <w:rPr>
                <w:rFonts w:cs="Times New Roman"/>
                <w:b/>
                <w:szCs w:val="24"/>
              </w:rPr>
              <w:t>0,532</w:t>
            </w:r>
          </w:p>
        </w:tc>
        <w:tc>
          <w:tcPr>
            <w:tcW w:w="992" w:type="dxa"/>
            <w:tcBorders>
              <w:top w:val="single" w:sz="12"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b/>
                <w:szCs w:val="24"/>
              </w:rPr>
            </w:pPr>
            <w:r w:rsidRPr="003F1385">
              <w:rPr>
                <w:rFonts w:cs="Times New Roman"/>
                <w:b/>
                <w:szCs w:val="24"/>
              </w:rPr>
              <w:t>0,583</w:t>
            </w:r>
          </w:p>
        </w:tc>
        <w:tc>
          <w:tcPr>
            <w:tcW w:w="992" w:type="dxa"/>
            <w:tcBorders>
              <w:top w:val="single" w:sz="12"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b/>
                <w:szCs w:val="24"/>
              </w:rPr>
            </w:pPr>
            <w:r w:rsidRPr="003F1385">
              <w:rPr>
                <w:rFonts w:cs="Times New Roman"/>
                <w:b/>
                <w:szCs w:val="24"/>
              </w:rPr>
              <w:t>0,618</w:t>
            </w:r>
          </w:p>
        </w:tc>
        <w:tc>
          <w:tcPr>
            <w:tcW w:w="1134" w:type="dxa"/>
            <w:tcBorders>
              <w:top w:val="single" w:sz="12"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right="35"/>
              <w:jc w:val="center"/>
              <w:rPr>
                <w:rFonts w:cs="Times New Roman"/>
                <w:b/>
                <w:szCs w:val="24"/>
              </w:rPr>
            </w:pPr>
            <w:r w:rsidRPr="003F1385">
              <w:rPr>
                <w:rFonts w:cs="Times New Roman"/>
                <w:b/>
                <w:szCs w:val="24"/>
              </w:rPr>
              <w:t>0,631</w:t>
            </w:r>
          </w:p>
        </w:tc>
      </w:tr>
      <w:tr w:rsidR="00192DB6" w:rsidRPr="003F1385" w:rsidTr="00213AEB">
        <w:trPr>
          <w:trHeight w:val="510"/>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left="195"/>
              <w:contextualSpacing/>
              <w:rPr>
                <w:rFonts w:cs="Times New Roman"/>
                <w:szCs w:val="24"/>
              </w:rPr>
            </w:pPr>
            <w:r w:rsidRPr="003F1385">
              <w:rPr>
                <w:rFonts w:cs="Times New Roman"/>
                <w:szCs w:val="24"/>
              </w:rPr>
              <w:t>IMRS – Saúde</w:t>
            </w:r>
          </w:p>
        </w:tc>
        <w:tc>
          <w:tcPr>
            <w:tcW w:w="993"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0,564</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0,560</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0,642</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0,660</w:t>
            </w:r>
          </w:p>
        </w:tc>
        <w:tc>
          <w:tcPr>
            <w:tcW w:w="113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right="35"/>
              <w:jc w:val="center"/>
              <w:rPr>
                <w:rFonts w:cs="Times New Roman"/>
                <w:szCs w:val="24"/>
              </w:rPr>
            </w:pPr>
            <w:r w:rsidRPr="003F1385">
              <w:rPr>
                <w:rFonts w:cs="Times New Roman"/>
                <w:szCs w:val="24"/>
              </w:rPr>
              <w:t>0,734</w:t>
            </w:r>
          </w:p>
        </w:tc>
      </w:tr>
      <w:tr w:rsidR="00192DB6" w:rsidRPr="003F1385" w:rsidTr="00213AEB">
        <w:trPr>
          <w:trHeight w:val="510"/>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left="195"/>
              <w:contextualSpacing/>
              <w:rPr>
                <w:rFonts w:cs="Times New Roman"/>
                <w:szCs w:val="24"/>
              </w:rPr>
            </w:pPr>
            <w:r w:rsidRPr="003F1385">
              <w:rPr>
                <w:rFonts w:cs="Times New Roman"/>
                <w:szCs w:val="24"/>
              </w:rPr>
              <w:t>IMRS – Educação</w:t>
            </w:r>
          </w:p>
        </w:tc>
        <w:tc>
          <w:tcPr>
            <w:tcW w:w="993"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0,552</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0,563</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0,574</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0,578</w:t>
            </w:r>
          </w:p>
        </w:tc>
        <w:tc>
          <w:tcPr>
            <w:tcW w:w="113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right="35"/>
              <w:jc w:val="center"/>
              <w:rPr>
                <w:rFonts w:cs="Times New Roman"/>
                <w:szCs w:val="24"/>
              </w:rPr>
            </w:pPr>
            <w:r w:rsidRPr="003F1385">
              <w:rPr>
                <w:rFonts w:cs="Times New Roman"/>
                <w:szCs w:val="24"/>
              </w:rPr>
              <w:t>0,535</w:t>
            </w:r>
          </w:p>
        </w:tc>
      </w:tr>
      <w:tr w:rsidR="00192DB6" w:rsidRPr="003F1385" w:rsidTr="00213AEB">
        <w:trPr>
          <w:trHeight w:val="510"/>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left="195"/>
              <w:contextualSpacing/>
              <w:rPr>
                <w:rFonts w:cs="Times New Roman"/>
                <w:szCs w:val="24"/>
              </w:rPr>
            </w:pPr>
            <w:r w:rsidRPr="003F1385">
              <w:rPr>
                <w:rFonts w:cs="Times New Roman"/>
                <w:szCs w:val="24"/>
              </w:rPr>
              <w:t>IMRS – Segurança Pública</w:t>
            </w:r>
          </w:p>
        </w:tc>
        <w:tc>
          <w:tcPr>
            <w:tcW w:w="993"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0,661</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0,650</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0,671</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0,652</w:t>
            </w:r>
          </w:p>
        </w:tc>
        <w:tc>
          <w:tcPr>
            <w:tcW w:w="113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right="35"/>
              <w:jc w:val="center"/>
              <w:rPr>
                <w:rFonts w:cs="Times New Roman"/>
                <w:szCs w:val="24"/>
              </w:rPr>
            </w:pPr>
            <w:r w:rsidRPr="003F1385">
              <w:rPr>
                <w:rFonts w:cs="Times New Roman"/>
                <w:szCs w:val="24"/>
              </w:rPr>
              <w:t>0,585</w:t>
            </w:r>
          </w:p>
        </w:tc>
      </w:tr>
      <w:tr w:rsidR="00192DB6" w:rsidRPr="003F1385" w:rsidTr="00213AEB">
        <w:trPr>
          <w:trHeight w:val="510"/>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left="195"/>
              <w:contextualSpacing/>
              <w:rPr>
                <w:rFonts w:cs="Times New Roman"/>
                <w:szCs w:val="24"/>
              </w:rPr>
            </w:pPr>
            <w:r w:rsidRPr="003F1385">
              <w:rPr>
                <w:rFonts w:cs="Times New Roman"/>
                <w:szCs w:val="24"/>
              </w:rPr>
              <w:t>IMRS – Assistência Social</w:t>
            </w:r>
          </w:p>
        </w:tc>
        <w:tc>
          <w:tcPr>
            <w:tcW w:w="993"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w:t>
            </w:r>
          </w:p>
        </w:tc>
        <w:tc>
          <w:tcPr>
            <w:tcW w:w="113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right="35"/>
              <w:jc w:val="center"/>
              <w:rPr>
                <w:rFonts w:cs="Times New Roman"/>
                <w:szCs w:val="24"/>
              </w:rPr>
            </w:pPr>
            <w:r w:rsidRPr="003F1385">
              <w:rPr>
                <w:rFonts w:cs="Times New Roman"/>
                <w:szCs w:val="24"/>
              </w:rPr>
              <w:t>0,768</w:t>
            </w:r>
          </w:p>
        </w:tc>
      </w:tr>
      <w:tr w:rsidR="00192DB6" w:rsidRPr="003F1385" w:rsidTr="00213AEB">
        <w:trPr>
          <w:trHeight w:val="510"/>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left="195"/>
              <w:contextualSpacing/>
              <w:rPr>
                <w:rFonts w:cs="Times New Roman"/>
                <w:szCs w:val="24"/>
              </w:rPr>
            </w:pPr>
            <w:r w:rsidRPr="003F1385">
              <w:rPr>
                <w:rFonts w:cs="Times New Roman"/>
                <w:szCs w:val="24"/>
              </w:rPr>
              <w:t>IMRS – Meio Ambiente e Habitação</w:t>
            </w:r>
          </w:p>
        </w:tc>
        <w:tc>
          <w:tcPr>
            <w:tcW w:w="993"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0,361</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0,386</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0,420</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0,402</w:t>
            </w:r>
          </w:p>
        </w:tc>
        <w:tc>
          <w:tcPr>
            <w:tcW w:w="113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right="35"/>
              <w:jc w:val="center"/>
              <w:rPr>
                <w:rFonts w:cs="Times New Roman"/>
                <w:szCs w:val="24"/>
              </w:rPr>
            </w:pPr>
            <w:r w:rsidRPr="003F1385">
              <w:rPr>
                <w:rFonts w:cs="Times New Roman"/>
                <w:szCs w:val="24"/>
              </w:rPr>
              <w:t>0,508</w:t>
            </w:r>
          </w:p>
        </w:tc>
      </w:tr>
      <w:tr w:rsidR="00192DB6" w:rsidRPr="003F1385" w:rsidTr="00213AEB">
        <w:trPr>
          <w:trHeight w:val="510"/>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left="195"/>
              <w:contextualSpacing/>
              <w:rPr>
                <w:rFonts w:cs="Times New Roman"/>
                <w:szCs w:val="24"/>
              </w:rPr>
            </w:pPr>
            <w:r w:rsidRPr="003F1385">
              <w:rPr>
                <w:rFonts w:cs="Times New Roman"/>
                <w:szCs w:val="24"/>
              </w:rPr>
              <w:t>IMRS – Cultura e Esporte</w:t>
            </w:r>
          </w:p>
        </w:tc>
        <w:tc>
          <w:tcPr>
            <w:tcW w:w="993"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0,200</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0,209</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0,539</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0,805</w:t>
            </w:r>
          </w:p>
        </w:tc>
        <w:tc>
          <w:tcPr>
            <w:tcW w:w="113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right="35"/>
              <w:jc w:val="center"/>
              <w:rPr>
                <w:rFonts w:cs="Times New Roman"/>
                <w:szCs w:val="24"/>
              </w:rPr>
            </w:pPr>
            <w:r w:rsidRPr="003F1385">
              <w:rPr>
                <w:rFonts w:cs="Times New Roman"/>
                <w:szCs w:val="24"/>
              </w:rPr>
              <w:t>---</w:t>
            </w:r>
          </w:p>
        </w:tc>
      </w:tr>
      <w:tr w:rsidR="00192DB6" w:rsidRPr="003F1385" w:rsidTr="00213AEB">
        <w:trPr>
          <w:trHeight w:val="510"/>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left="195"/>
              <w:contextualSpacing/>
              <w:rPr>
                <w:rFonts w:cs="Times New Roman"/>
                <w:szCs w:val="24"/>
              </w:rPr>
            </w:pPr>
            <w:r w:rsidRPr="003F1385">
              <w:rPr>
                <w:rFonts w:cs="Times New Roman"/>
                <w:szCs w:val="24"/>
              </w:rPr>
              <w:t>IMRS – Esporte, Turismo e Lazer</w:t>
            </w:r>
          </w:p>
        </w:tc>
        <w:tc>
          <w:tcPr>
            <w:tcW w:w="993"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w:t>
            </w:r>
          </w:p>
        </w:tc>
        <w:tc>
          <w:tcPr>
            <w:tcW w:w="113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right="35"/>
              <w:jc w:val="center"/>
              <w:rPr>
                <w:rFonts w:cs="Times New Roman"/>
                <w:szCs w:val="24"/>
              </w:rPr>
            </w:pPr>
            <w:r w:rsidRPr="003F1385">
              <w:rPr>
                <w:rFonts w:cs="Times New Roman"/>
                <w:szCs w:val="24"/>
              </w:rPr>
              <w:t>0,597</w:t>
            </w:r>
          </w:p>
        </w:tc>
      </w:tr>
      <w:tr w:rsidR="00192DB6" w:rsidRPr="003F1385" w:rsidTr="00213AEB">
        <w:trPr>
          <w:trHeight w:val="510"/>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left="195"/>
              <w:contextualSpacing/>
              <w:rPr>
                <w:rFonts w:cs="Times New Roman"/>
                <w:szCs w:val="24"/>
              </w:rPr>
            </w:pPr>
            <w:r w:rsidRPr="003F1385">
              <w:rPr>
                <w:rFonts w:cs="Times New Roman"/>
                <w:szCs w:val="24"/>
              </w:rPr>
              <w:t>IMRS – Cultura</w:t>
            </w:r>
          </w:p>
        </w:tc>
        <w:tc>
          <w:tcPr>
            <w:tcW w:w="993"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w:t>
            </w:r>
          </w:p>
        </w:tc>
        <w:tc>
          <w:tcPr>
            <w:tcW w:w="113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right="35"/>
              <w:jc w:val="center"/>
              <w:rPr>
                <w:rFonts w:cs="Times New Roman"/>
                <w:szCs w:val="24"/>
              </w:rPr>
            </w:pPr>
            <w:r w:rsidRPr="003F1385">
              <w:rPr>
                <w:rFonts w:cs="Times New Roman"/>
                <w:szCs w:val="24"/>
              </w:rPr>
              <w:t>0,630</w:t>
            </w:r>
          </w:p>
        </w:tc>
      </w:tr>
      <w:tr w:rsidR="00192DB6" w:rsidRPr="003F1385" w:rsidTr="00213AEB">
        <w:trPr>
          <w:trHeight w:val="510"/>
        </w:trPr>
        <w:tc>
          <w:tcPr>
            <w:tcW w:w="340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left="195"/>
              <w:contextualSpacing/>
              <w:rPr>
                <w:rFonts w:cs="Times New Roman"/>
                <w:szCs w:val="24"/>
              </w:rPr>
            </w:pPr>
            <w:r w:rsidRPr="003F1385">
              <w:rPr>
                <w:rFonts w:cs="Times New Roman"/>
                <w:szCs w:val="24"/>
              </w:rPr>
              <w:t>IMRS – Renda e Emprego</w:t>
            </w:r>
          </w:p>
        </w:tc>
        <w:tc>
          <w:tcPr>
            <w:tcW w:w="993"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0,597</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0,614</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0,581</w:t>
            </w:r>
          </w:p>
        </w:tc>
        <w:tc>
          <w:tcPr>
            <w:tcW w:w="992"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0,598</w:t>
            </w:r>
          </w:p>
        </w:tc>
        <w:tc>
          <w:tcPr>
            <w:tcW w:w="1134" w:type="dxa"/>
            <w:tcBorders>
              <w:top w:val="single" w:sz="6" w:space="0" w:color="auto"/>
              <w:left w:val="single" w:sz="12" w:space="0" w:color="auto"/>
              <w:bottom w:val="single" w:sz="6" w:space="0" w:color="auto"/>
              <w:right w:val="single" w:sz="12" w:space="0" w:color="auto"/>
            </w:tcBorders>
            <w:vAlign w:val="center"/>
          </w:tcPr>
          <w:p w:rsidR="00192DB6" w:rsidRPr="003F1385" w:rsidRDefault="00192DB6" w:rsidP="00213AEB">
            <w:pPr>
              <w:spacing w:before="120" w:after="120" w:line="240" w:lineRule="auto"/>
              <w:ind w:right="35"/>
              <w:jc w:val="center"/>
              <w:rPr>
                <w:rFonts w:cs="Times New Roman"/>
                <w:szCs w:val="24"/>
              </w:rPr>
            </w:pPr>
            <w:r w:rsidRPr="003F1385">
              <w:rPr>
                <w:rFonts w:cs="Times New Roman"/>
                <w:szCs w:val="24"/>
              </w:rPr>
              <w:t>0,611</w:t>
            </w:r>
          </w:p>
        </w:tc>
      </w:tr>
      <w:tr w:rsidR="00192DB6" w:rsidRPr="003F1385" w:rsidTr="00213AEB">
        <w:trPr>
          <w:trHeight w:val="510"/>
        </w:trPr>
        <w:tc>
          <w:tcPr>
            <w:tcW w:w="3402" w:type="dxa"/>
            <w:tcBorders>
              <w:top w:val="single" w:sz="6" w:space="0" w:color="auto"/>
              <w:left w:val="single" w:sz="12" w:space="0" w:color="auto"/>
              <w:bottom w:val="single" w:sz="12" w:space="0" w:color="auto"/>
              <w:right w:val="single" w:sz="12" w:space="0" w:color="auto"/>
            </w:tcBorders>
            <w:vAlign w:val="center"/>
          </w:tcPr>
          <w:p w:rsidR="00192DB6" w:rsidRPr="003F1385" w:rsidRDefault="00192DB6" w:rsidP="00213AEB">
            <w:pPr>
              <w:spacing w:before="120" w:after="120" w:line="240" w:lineRule="auto"/>
              <w:ind w:left="195"/>
              <w:contextualSpacing/>
              <w:rPr>
                <w:rFonts w:cs="Times New Roman"/>
                <w:szCs w:val="24"/>
              </w:rPr>
            </w:pPr>
            <w:r w:rsidRPr="003F1385">
              <w:rPr>
                <w:rFonts w:cs="Times New Roman"/>
                <w:szCs w:val="24"/>
              </w:rPr>
              <w:t>IMRS – Finanças Municipais</w:t>
            </w:r>
          </w:p>
        </w:tc>
        <w:tc>
          <w:tcPr>
            <w:tcW w:w="993" w:type="dxa"/>
            <w:tcBorders>
              <w:top w:val="single" w:sz="6" w:space="0" w:color="auto"/>
              <w:left w:val="single" w:sz="12" w:space="0" w:color="auto"/>
              <w:bottom w:val="single" w:sz="12"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0,591</w:t>
            </w:r>
          </w:p>
        </w:tc>
        <w:tc>
          <w:tcPr>
            <w:tcW w:w="992" w:type="dxa"/>
            <w:tcBorders>
              <w:top w:val="single" w:sz="6" w:space="0" w:color="auto"/>
              <w:left w:val="single" w:sz="12" w:space="0" w:color="auto"/>
              <w:bottom w:val="single" w:sz="12"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0,607</w:t>
            </w:r>
          </w:p>
        </w:tc>
        <w:tc>
          <w:tcPr>
            <w:tcW w:w="992" w:type="dxa"/>
            <w:tcBorders>
              <w:top w:val="single" w:sz="6" w:space="0" w:color="auto"/>
              <w:left w:val="single" w:sz="12" w:space="0" w:color="auto"/>
              <w:bottom w:val="single" w:sz="12"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0,598</w:t>
            </w:r>
          </w:p>
        </w:tc>
        <w:tc>
          <w:tcPr>
            <w:tcW w:w="992" w:type="dxa"/>
            <w:tcBorders>
              <w:top w:val="single" w:sz="6" w:space="0" w:color="auto"/>
              <w:left w:val="single" w:sz="12" w:space="0" w:color="auto"/>
              <w:bottom w:val="single" w:sz="12" w:space="0" w:color="auto"/>
              <w:right w:val="single" w:sz="12" w:space="0" w:color="auto"/>
            </w:tcBorders>
            <w:vAlign w:val="center"/>
          </w:tcPr>
          <w:p w:rsidR="00192DB6" w:rsidRPr="003F1385" w:rsidRDefault="00192DB6" w:rsidP="00213AEB">
            <w:pPr>
              <w:spacing w:before="120" w:after="120" w:line="240" w:lineRule="auto"/>
              <w:jc w:val="center"/>
              <w:rPr>
                <w:rFonts w:cs="Times New Roman"/>
                <w:szCs w:val="24"/>
              </w:rPr>
            </w:pPr>
            <w:r w:rsidRPr="003F1385">
              <w:rPr>
                <w:rFonts w:cs="Times New Roman"/>
                <w:szCs w:val="24"/>
              </w:rPr>
              <w:t>0,630</w:t>
            </w:r>
          </w:p>
        </w:tc>
        <w:tc>
          <w:tcPr>
            <w:tcW w:w="1134" w:type="dxa"/>
            <w:tcBorders>
              <w:top w:val="single" w:sz="6" w:space="0" w:color="auto"/>
              <w:left w:val="single" w:sz="12" w:space="0" w:color="auto"/>
              <w:bottom w:val="single" w:sz="12" w:space="0" w:color="auto"/>
              <w:right w:val="single" w:sz="12" w:space="0" w:color="auto"/>
            </w:tcBorders>
            <w:vAlign w:val="center"/>
          </w:tcPr>
          <w:p w:rsidR="00192DB6" w:rsidRPr="003F1385" w:rsidRDefault="00192DB6" w:rsidP="00213AEB">
            <w:pPr>
              <w:spacing w:before="120" w:after="120" w:line="240" w:lineRule="auto"/>
              <w:ind w:right="35"/>
              <w:jc w:val="center"/>
              <w:rPr>
                <w:rFonts w:cs="Times New Roman"/>
                <w:szCs w:val="24"/>
              </w:rPr>
            </w:pPr>
            <w:r w:rsidRPr="003F1385">
              <w:rPr>
                <w:rFonts w:cs="Times New Roman"/>
                <w:szCs w:val="24"/>
              </w:rPr>
              <w:t>0,660</w:t>
            </w:r>
          </w:p>
        </w:tc>
      </w:tr>
    </w:tbl>
    <w:p w:rsidR="00192DB6" w:rsidRPr="004803AF" w:rsidRDefault="00192DB6" w:rsidP="00213AEB">
      <w:pPr>
        <w:pStyle w:val="Fonte"/>
        <w:ind w:left="142"/>
      </w:pPr>
      <w:r w:rsidRPr="004803AF">
        <w:t>FONTE: FJP (2013)</w:t>
      </w:r>
    </w:p>
    <w:p w:rsidR="00192DB6" w:rsidRPr="009337FF" w:rsidRDefault="00213AEB" w:rsidP="00971B37">
      <w:pPr>
        <w:pStyle w:val="Titulo"/>
      </w:pPr>
      <w:bookmarkStart w:id="156" w:name="_Toc372559065"/>
      <w:bookmarkStart w:id="157" w:name="_Toc372789505"/>
      <w:r>
        <w:t xml:space="preserve">8.4 </w:t>
      </w:r>
      <w:r w:rsidRPr="009337FF">
        <w:t>Considerações Finais</w:t>
      </w:r>
      <w:bookmarkEnd w:id="156"/>
      <w:bookmarkEnd w:id="157"/>
    </w:p>
    <w:p w:rsidR="00192DB6" w:rsidRPr="007A0B11" w:rsidRDefault="00192DB6" w:rsidP="00213AEB">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Desde os anos 90, o país tem conseguido reduzir significativamente os níveis de pobreza; mas, a questão do saneamento avançou pouco. A utilização do saneamento como um direito público e social envolve a superação dos entraves tecnológicos e, principalmente, políticos e gerenciais; bem como a conscientização da população e administradores públicos sobre seus benefícios econômicos sociais e ambientais. </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Assim, para que ocorra uma mudança de atitude à respeito da relação pessoas versus meio ambiente, é necessário que sociedade se conscientize das vantagens do saneamento básico, em termos de: melhoria da saúde e das condições de vida da comunidade; diminuição da mortalidade em geral, principalmente da infantil; aumento da esperança de vida da </w:t>
      </w:r>
      <w:r w:rsidRPr="007A0B11">
        <w:rPr>
          <w:rFonts w:ascii="Times New Roman" w:hAnsi="Times New Roman" w:cs="Times New Roman"/>
        </w:rPr>
        <w:lastRenderedPageBreak/>
        <w:t>população; redução da incidência de doenças relacionadas à água, exposição de lixo, esgotamento sanitário e hábitos de higiene; facilidade na implantação e melhoria da limpeza pública e dos sistemas de esgotos sanitários; diminuição dos gastos particulares e públicos com consultas e internações hospitalares; aumento da vida produtiva dos indivíduos economicamente ativos; incentivo à indústria turística em localidades com potencialidades; possibilidades de maior conforto e bem-estar e incentivo ao desenvolvimento econômico.</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A universalização do saneamento básico no Brasil ainda está distante, apesar da maior disponibilidade de recursos pelo Governo Federal, Estados, municípios e iniciativa privada. O Programa de Aceleração do Crescimento (PAC), ao proporcionar a transferência obrigatória de recursos financeiros pela União, criou uma série de facilidades de acesso aos recursos pelos Estados, Municípios e companhias de saneamento, estando previstos mais R$ 41,1 bilhões, para investimentos em ações de saneamento no quadriênio 2011-2014. </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Considerando o decréscimo populacional local, o estado de pobreza, a situação de desemprego e a limitada verticalização e agregação de valor do setor primário à produção local, torna-se necessário o fortalecimento de outras atividades produtivas no Município de Aimorés, como: confecções, granito e artesanato; além do desenvolvimento do turismo e empreendedorismo ambiental e urbano.</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Entre as potencialidades turísticas encontradas no município de Aimorés estão aquelas referentes ao turismo natural ou eco-turismo, voltado para apreciação de ecossistemas naturais; o turismo cultural e histórico, além de outras atividades como: turismo rural, turismo esportivo e turismo de lazer, dentre outros. </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Merece destaque o Programa Microempreendedor Individual (MEI), que promove a inclusão social e o acesso a condições mínimas de dignidade e cidadania às pessoas que atuam informalmente com pequenos negócios ou prestação de serviços, como, por exemplo, artesão</w:t>
      </w:r>
      <w:r w:rsidR="007A0B11">
        <w:rPr>
          <w:rFonts w:ascii="Times New Roman" w:hAnsi="Times New Roman" w:cs="Times New Roman"/>
        </w:rPr>
        <w:t>s, cabeleireiros e ambulantes.</w:t>
      </w:r>
    </w:p>
    <w:p w:rsidR="00192DB6" w:rsidRPr="007A0B11" w:rsidRDefault="00192DB6" w:rsidP="00843498">
      <w:pPr>
        <w:pStyle w:val="CM72"/>
        <w:spacing w:line="360" w:lineRule="auto"/>
        <w:ind w:firstLine="709"/>
        <w:jc w:val="both"/>
        <w:rPr>
          <w:rFonts w:ascii="Times New Roman" w:hAnsi="Times New Roman" w:cs="Times New Roman"/>
        </w:rPr>
      </w:pPr>
      <w:r w:rsidRPr="007A0B11">
        <w:rPr>
          <w:rFonts w:ascii="Times New Roman" w:hAnsi="Times New Roman" w:cs="Times New Roman"/>
        </w:rPr>
        <w:t xml:space="preserve">Concluiu-se que o saneamento básico é um fator fundamental, mas não único, para a melhoria da qualidade de vida da população, devendo ser incorporado a um modelo de desenvolvimento que contemple um equilíbrio entre os aspectos ecológicos, econômicos e sociais, de tal forma que as necessidades básicas de cada indivíduo possam ser satisfeitas e que todos tenham oportunidades sociais, em função de seus próprios potencialidades, bem </w:t>
      </w:r>
      <w:r w:rsidRPr="007A0B11">
        <w:rPr>
          <w:rFonts w:ascii="Times New Roman" w:hAnsi="Times New Roman" w:cs="Times New Roman"/>
        </w:rPr>
        <w:lastRenderedPageBreak/>
        <w:t xml:space="preserve">como consciência de sua co-responsabilidade na preservação dos recursos naturais e na prevenção de doenças associadas aos serviços de água, lixo e esgotamento sanitário. </w:t>
      </w:r>
    </w:p>
    <w:p w:rsidR="00213AEB" w:rsidRDefault="00213AEB">
      <w:pPr>
        <w:spacing w:after="200" w:line="276" w:lineRule="auto"/>
        <w:rPr>
          <w:rFonts w:eastAsiaTheme="majorEastAsia" w:cs="Times New Roman"/>
          <w:b/>
          <w:bCs/>
          <w:color w:val="000000" w:themeColor="text1"/>
          <w:szCs w:val="28"/>
        </w:rPr>
      </w:pPr>
      <w:r>
        <w:br w:type="page"/>
      </w:r>
    </w:p>
    <w:p w:rsidR="006A31EB" w:rsidRPr="004C547A" w:rsidRDefault="00213AEB" w:rsidP="00971B37">
      <w:pPr>
        <w:pStyle w:val="Titulo"/>
      </w:pPr>
      <w:bookmarkStart w:id="158" w:name="_Toc372559066"/>
      <w:bookmarkStart w:id="159" w:name="_Toc372789506"/>
      <w:r>
        <w:lastRenderedPageBreak/>
        <w:t xml:space="preserve">9 </w:t>
      </w:r>
      <w:r w:rsidR="006A31EB" w:rsidRPr="004C547A">
        <w:t>FUNDAMENTAÇÃO LEGAL</w:t>
      </w:r>
      <w:bookmarkEnd w:id="158"/>
      <w:bookmarkEnd w:id="159"/>
    </w:p>
    <w:p w:rsidR="006A31EB" w:rsidRPr="004C547A" w:rsidRDefault="00213AEB" w:rsidP="00971B37">
      <w:pPr>
        <w:pStyle w:val="Titulo"/>
      </w:pPr>
      <w:bookmarkStart w:id="160" w:name="_Toc372559067"/>
      <w:bookmarkStart w:id="161" w:name="_Toc372789507"/>
      <w:r>
        <w:t>9.1</w:t>
      </w:r>
      <w:r w:rsidR="006A31EB" w:rsidRPr="004C547A">
        <w:t xml:space="preserve"> Princípios</w:t>
      </w:r>
      <w:bookmarkEnd w:id="160"/>
      <w:bookmarkEnd w:id="161"/>
      <w:r w:rsidR="006A31EB" w:rsidRPr="004C547A">
        <w:t xml:space="preserve"> </w:t>
      </w:r>
    </w:p>
    <w:p w:rsidR="006A31EB" w:rsidRPr="004C547A" w:rsidRDefault="006A31EB" w:rsidP="00213AEB">
      <w:pPr>
        <w:pStyle w:val="CM72"/>
        <w:spacing w:line="360" w:lineRule="auto"/>
        <w:ind w:firstLine="709"/>
        <w:jc w:val="both"/>
        <w:rPr>
          <w:rFonts w:ascii="Times New Roman" w:hAnsi="Times New Roman" w:cs="Times New Roman"/>
        </w:rPr>
      </w:pPr>
      <w:r w:rsidRPr="004C547A">
        <w:rPr>
          <w:rFonts w:ascii="Times New Roman" w:hAnsi="Times New Roman" w:cs="Times New Roman"/>
        </w:rPr>
        <w:t xml:space="preserve">Para uma Política Pública de Saneamento, são definidos princípios e diretrizes nos quais ela vai se pautar. Dentre os princípios fundamentais estabelecidos na Lei Federal n°. 11.445/2007, podem-se destacar: </w:t>
      </w:r>
    </w:p>
    <w:p w:rsidR="006A31EB" w:rsidRPr="004C547A" w:rsidRDefault="006A31EB" w:rsidP="0053477A">
      <w:pPr>
        <w:pStyle w:val="CM72"/>
        <w:numPr>
          <w:ilvl w:val="0"/>
          <w:numId w:val="12"/>
        </w:numPr>
        <w:spacing w:line="360" w:lineRule="auto"/>
        <w:ind w:left="714" w:hanging="357"/>
        <w:jc w:val="both"/>
        <w:rPr>
          <w:rFonts w:ascii="Times New Roman" w:hAnsi="Times New Roman" w:cs="Times New Roman"/>
        </w:rPr>
      </w:pPr>
      <w:r w:rsidRPr="004C547A">
        <w:rPr>
          <w:rFonts w:ascii="Times New Roman" w:hAnsi="Times New Roman" w:cs="Times New Roman"/>
        </w:rPr>
        <w:t xml:space="preserve">Universalização do acesso: todos têm direito ao acesso. Equidade social e territorial. O acesso aos serviços de saneamento ambiental deve ser garantido a todos os cidadãos mediante tecnologias apropriadas à realidade socioeconômica, cultural e ambiental; </w:t>
      </w:r>
    </w:p>
    <w:p w:rsidR="006A31EB" w:rsidRPr="004C547A" w:rsidRDefault="006A31EB" w:rsidP="0053477A">
      <w:pPr>
        <w:pStyle w:val="CM72"/>
        <w:numPr>
          <w:ilvl w:val="0"/>
          <w:numId w:val="12"/>
        </w:numPr>
        <w:spacing w:line="360" w:lineRule="auto"/>
        <w:ind w:left="714" w:hanging="357"/>
        <w:jc w:val="both"/>
        <w:rPr>
          <w:rFonts w:ascii="Times New Roman" w:hAnsi="Times New Roman" w:cs="Times New Roman"/>
        </w:rPr>
      </w:pPr>
      <w:r w:rsidRPr="004C547A">
        <w:rPr>
          <w:rFonts w:ascii="Times New Roman" w:hAnsi="Times New Roman" w:cs="Times New Roman"/>
        </w:rPr>
        <w:t xml:space="preserve">Integralidade: acesso aos serviços de acordo com a necessidade dos cidadãos. Prestação de serviços de saneamento básico completos, propiciando acesso a todos conforme as necessidades, com melhores resultados e de forma mais eficaz. As ações e serviços devem ser promovidos de forma integral, considerando a grande inter-relação dos diversos componentes; </w:t>
      </w:r>
    </w:p>
    <w:p w:rsidR="006A31EB" w:rsidRPr="004C547A" w:rsidRDefault="006A31EB" w:rsidP="0053477A">
      <w:pPr>
        <w:pStyle w:val="CM72"/>
        <w:numPr>
          <w:ilvl w:val="0"/>
          <w:numId w:val="12"/>
        </w:numPr>
        <w:spacing w:line="360" w:lineRule="auto"/>
        <w:ind w:left="714" w:hanging="357"/>
        <w:jc w:val="both"/>
        <w:rPr>
          <w:rFonts w:ascii="Times New Roman" w:hAnsi="Times New Roman" w:cs="Times New Roman"/>
        </w:rPr>
      </w:pPr>
      <w:r w:rsidRPr="004C547A">
        <w:rPr>
          <w:rFonts w:ascii="Times New Roman" w:hAnsi="Times New Roman" w:cs="Times New Roman"/>
        </w:rPr>
        <w:t xml:space="preserve">Os quatro componentes do saneamento básico devem ser realizados de forma adequada à saúde pública e à proteção do meio ambiente. Sendo o serviço de drenagem e manejo das águas pluviais, em toda área urbana, adequado também à segurança da vida e ao patrimônio público e privado; </w:t>
      </w:r>
    </w:p>
    <w:p w:rsidR="006A31EB" w:rsidRPr="004C547A" w:rsidRDefault="006A31EB" w:rsidP="0053477A">
      <w:pPr>
        <w:pStyle w:val="CM72"/>
        <w:numPr>
          <w:ilvl w:val="0"/>
          <w:numId w:val="12"/>
        </w:numPr>
        <w:spacing w:line="360" w:lineRule="auto"/>
        <w:ind w:left="714" w:hanging="357"/>
        <w:jc w:val="both"/>
        <w:rPr>
          <w:rFonts w:ascii="Times New Roman" w:hAnsi="Times New Roman" w:cs="Times New Roman"/>
        </w:rPr>
      </w:pPr>
      <w:r w:rsidRPr="004C547A">
        <w:rPr>
          <w:rFonts w:ascii="Times New Roman" w:hAnsi="Times New Roman" w:cs="Times New Roman"/>
        </w:rPr>
        <w:t xml:space="preserve">Adequação às peculiaridades locais e regionais; </w:t>
      </w:r>
    </w:p>
    <w:p w:rsidR="006A31EB" w:rsidRPr="004C547A" w:rsidRDefault="006A31EB" w:rsidP="0053477A">
      <w:pPr>
        <w:pStyle w:val="CM72"/>
        <w:numPr>
          <w:ilvl w:val="0"/>
          <w:numId w:val="12"/>
        </w:numPr>
        <w:spacing w:line="360" w:lineRule="auto"/>
        <w:ind w:left="714" w:hanging="357"/>
        <w:jc w:val="both"/>
        <w:rPr>
          <w:rFonts w:ascii="Times New Roman" w:hAnsi="Times New Roman" w:cs="Times New Roman"/>
        </w:rPr>
      </w:pPr>
      <w:r w:rsidRPr="004C547A">
        <w:rPr>
          <w:rFonts w:ascii="Times New Roman" w:hAnsi="Times New Roman" w:cs="Times New Roman"/>
        </w:rPr>
        <w:t xml:space="preserve">Articulação com políticas de desenvolvimento urbano e regional, de habitação, de combate à pobreza e de sua erradicação, de proteção ambiental, de promoção da saúde e outras voltadas à melhoria da qualidade de vida; </w:t>
      </w:r>
    </w:p>
    <w:p w:rsidR="006A31EB" w:rsidRPr="004C547A" w:rsidRDefault="006A31EB" w:rsidP="0053477A">
      <w:pPr>
        <w:pStyle w:val="CM72"/>
        <w:numPr>
          <w:ilvl w:val="0"/>
          <w:numId w:val="12"/>
        </w:numPr>
        <w:spacing w:line="360" w:lineRule="auto"/>
        <w:ind w:left="714" w:hanging="357"/>
        <w:jc w:val="both"/>
        <w:rPr>
          <w:rFonts w:ascii="Times New Roman" w:hAnsi="Times New Roman" w:cs="Times New Roman"/>
        </w:rPr>
      </w:pPr>
      <w:r w:rsidRPr="004C547A">
        <w:rPr>
          <w:rFonts w:ascii="Times New Roman" w:hAnsi="Times New Roman" w:cs="Times New Roman"/>
        </w:rPr>
        <w:t xml:space="preserve">Eficiência e sustentabilidade econômica; </w:t>
      </w:r>
    </w:p>
    <w:p w:rsidR="006A31EB" w:rsidRPr="004C547A" w:rsidRDefault="006A31EB" w:rsidP="0053477A">
      <w:pPr>
        <w:pStyle w:val="CM72"/>
        <w:numPr>
          <w:ilvl w:val="0"/>
          <w:numId w:val="12"/>
        </w:numPr>
        <w:spacing w:line="360" w:lineRule="auto"/>
        <w:ind w:left="714" w:hanging="357"/>
        <w:jc w:val="both"/>
        <w:rPr>
          <w:rFonts w:ascii="Times New Roman" w:hAnsi="Times New Roman" w:cs="Times New Roman"/>
        </w:rPr>
      </w:pPr>
      <w:r w:rsidRPr="004C547A">
        <w:rPr>
          <w:rFonts w:ascii="Times New Roman" w:hAnsi="Times New Roman" w:cs="Times New Roman"/>
        </w:rPr>
        <w:t xml:space="preserve">Uso de tecnologias condizentes com a capacidade de pagamento dos usuários e adoção de soluções graduais e progressivas; </w:t>
      </w:r>
    </w:p>
    <w:p w:rsidR="006A31EB" w:rsidRPr="004C547A" w:rsidRDefault="006A31EB" w:rsidP="0053477A">
      <w:pPr>
        <w:pStyle w:val="CM72"/>
        <w:numPr>
          <w:ilvl w:val="0"/>
          <w:numId w:val="12"/>
        </w:numPr>
        <w:spacing w:line="360" w:lineRule="auto"/>
        <w:ind w:left="714" w:hanging="357"/>
        <w:jc w:val="both"/>
        <w:rPr>
          <w:rFonts w:ascii="Times New Roman" w:hAnsi="Times New Roman" w:cs="Times New Roman"/>
        </w:rPr>
      </w:pPr>
      <w:r w:rsidRPr="004C547A">
        <w:rPr>
          <w:rFonts w:ascii="Times New Roman" w:hAnsi="Times New Roman" w:cs="Times New Roman"/>
        </w:rPr>
        <w:t xml:space="preserve">Transparência das ações; </w:t>
      </w:r>
    </w:p>
    <w:p w:rsidR="006A31EB" w:rsidRPr="004C547A" w:rsidRDefault="006A31EB" w:rsidP="0053477A">
      <w:pPr>
        <w:pStyle w:val="CM72"/>
        <w:numPr>
          <w:ilvl w:val="0"/>
          <w:numId w:val="12"/>
        </w:numPr>
        <w:spacing w:line="360" w:lineRule="auto"/>
        <w:ind w:left="714" w:hanging="357"/>
        <w:jc w:val="both"/>
        <w:rPr>
          <w:rFonts w:ascii="Times New Roman" w:hAnsi="Times New Roman" w:cs="Times New Roman"/>
        </w:rPr>
      </w:pPr>
      <w:r w:rsidRPr="004C547A">
        <w:rPr>
          <w:rFonts w:ascii="Times New Roman" w:hAnsi="Times New Roman" w:cs="Times New Roman"/>
        </w:rPr>
        <w:t xml:space="preserve">Controle social: conjunto de mecanismos e procedimentos que garantem à sociedade informações, representações técnicas e participações nos processos de formulação de políticas, de planejamento e de avaliação relacionadas aos serviços públicos de saneamento básico; </w:t>
      </w:r>
    </w:p>
    <w:p w:rsidR="006A31EB" w:rsidRPr="004C547A" w:rsidRDefault="006A31EB" w:rsidP="0053477A">
      <w:pPr>
        <w:pStyle w:val="CM72"/>
        <w:numPr>
          <w:ilvl w:val="0"/>
          <w:numId w:val="12"/>
        </w:numPr>
        <w:spacing w:line="360" w:lineRule="auto"/>
        <w:ind w:left="714" w:hanging="357"/>
        <w:jc w:val="both"/>
        <w:rPr>
          <w:rFonts w:ascii="Times New Roman" w:hAnsi="Times New Roman" w:cs="Times New Roman"/>
        </w:rPr>
      </w:pPr>
      <w:r w:rsidRPr="004C547A">
        <w:rPr>
          <w:rFonts w:ascii="Times New Roman" w:hAnsi="Times New Roman" w:cs="Times New Roman"/>
        </w:rPr>
        <w:lastRenderedPageBreak/>
        <w:t xml:space="preserve">Segurança, qualidade e regularidade; </w:t>
      </w:r>
    </w:p>
    <w:p w:rsidR="006A31EB" w:rsidRDefault="006A31EB" w:rsidP="0053477A">
      <w:pPr>
        <w:pStyle w:val="CM72"/>
        <w:numPr>
          <w:ilvl w:val="0"/>
          <w:numId w:val="12"/>
        </w:numPr>
        <w:spacing w:line="360" w:lineRule="auto"/>
        <w:ind w:left="714" w:hanging="357"/>
        <w:jc w:val="both"/>
        <w:rPr>
          <w:rFonts w:ascii="Times New Roman" w:hAnsi="Times New Roman" w:cs="Times New Roman"/>
        </w:rPr>
      </w:pPr>
      <w:r w:rsidRPr="004C547A">
        <w:rPr>
          <w:rFonts w:ascii="Times New Roman" w:hAnsi="Times New Roman" w:cs="Times New Roman"/>
        </w:rPr>
        <w:t xml:space="preserve">Integração com a gestão dos recursos hídricos. </w:t>
      </w:r>
    </w:p>
    <w:p w:rsidR="006A31EB" w:rsidRPr="004C547A" w:rsidRDefault="00213AEB" w:rsidP="00971B37">
      <w:pPr>
        <w:pStyle w:val="Titulo"/>
      </w:pPr>
      <w:bookmarkStart w:id="162" w:name="_Toc372559068"/>
      <w:bookmarkStart w:id="163" w:name="_Toc372789508"/>
      <w:r>
        <w:t>9.</w:t>
      </w:r>
      <w:r w:rsidR="006A31EB" w:rsidRPr="004C547A">
        <w:t xml:space="preserve">2 Compilação da </w:t>
      </w:r>
      <w:r w:rsidR="006A31EB" w:rsidRPr="00437716">
        <w:t>Legislação</w:t>
      </w:r>
      <w:r w:rsidR="006A31EB" w:rsidRPr="004C547A">
        <w:t xml:space="preserve"> Vigente</w:t>
      </w:r>
      <w:bookmarkEnd w:id="162"/>
      <w:bookmarkEnd w:id="163"/>
      <w:r w:rsidR="006A31EB" w:rsidRPr="004C547A">
        <w:t xml:space="preserve"> </w:t>
      </w:r>
    </w:p>
    <w:p w:rsidR="006A31EB" w:rsidRDefault="006A31EB" w:rsidP="00DF7568">
      <w:pPr>
        <w:pStyle w:val="CM72"/>
        <w:spacing w:line="360" w:lineRule="auto"/>
        <w:ind w:firstLine="709"/>
        <w:jc w:val="both"/>
        <w:rPr>
          <w:rFonts w:ascii="Times New Roman" w:hAnsi="Times New Roman" w:cs="Times New Roman"/>
        </w:rPr>
      </w:pPr>
      <w:r w:rsidRPr="004C547A">
        <w:rPr>
          <w:rFonts w:ascii="Times New Roman" w:hAnsi="Times New Roman" w:cs="Times New Roman"/>
        </w:rPr>
        <w:t xml:space="preserve">A seguir, são apresentadas informações a respeito das Legislações existentes nos âmbitos federal, estadual e municipal, pertinentes ou reguladoras das questões do saneamento básico, sem, contudo, tendo o escopo de esgotá-las, dado a amplitude do tema e o número de atos regulatórios. </w:t>
      </w:r>
    </w:p>
    <w:p w:rsidR="006A31EB" w:rsidRPr="004C547A" w:rsidRDefault="0064025D" w:rsidP="00971B37">
      <w:pPr>
        <w:pStyle w:val="Titulo"/>
      </w:pPr>
      <w:bookmarkStart w:id="164" w:name="_Toc372559069"/>
      <w:bookmarkStart w:id="165" w:name="_Toc372789509"/>
      <w:r>
        <w:t xml:space="preserve">9.2.1 </w:t>
      </w:r>
      <w:r w:rsidR="006A31EB" w:rsidRPr="00437716">
        <w:t>Legislação</w:t>
      </w:r>
      <w:r w:rsidR="006A31EB" w:rsidRPr="004C547A">
        <w:t xml:space="preserve"> Federal</w:t>
      </w:r>
      <w:bookmarkEnd w:id="164"/>
      <w:bookmarkEnd w:id="165"/>
      <w:r w:rsidR="006A31EB" w:rsidRPr="004C547A">
        <w:t xml:space="preserve"> </w:t>
      </w:r>
    </w:p>
    <w:p w:rsidR="006A31EB" w:rsidRPr="00437716" w:rsidRDefault="006A31EB" w:rsidP="00437716">
      <w:pPr>
        <w:rPr>
          <w:rFonts w:cs="Times New Roman"/>
          <w:b/>
          <w:szCs w:val="24"/>
        </w:rPr>
      </w:pPr>
      <w:bookmarkStart w:id="166" w:name="_Toc372559070"/>
      <w:r w:rsidRPr="00437716">
        <w:rPr>
          <w:rFonts w:cs="Times New Roman"/>
          <w:b/>
          <w:szCs w:val="24"/>
        </w:rPr>
        <w:t>Constituição Federal</w:t>
      </w:r>
      <w:bookmarkEnd w:id="166"/>
      <w:r w:rsidRPr="00437716">
        <w:rPr>
          <w:rFonts w:cs="Times New Roman"/>
          <w:b/>
          <w:szCs w:val="24"/>
        </w:rPr>
        <w:t xml:space="preserve"> </w:t>
      </w:r>
    </w:p>
    <w:p w:rsidR="006A31EB" w:rsidRPr="004C547A" w:rsidRDefault="006A31EB" w:rsidP="00DF7568">
      <w:pPr>
        <w:pStyle w:val="CM70"/>
        <w:spacing w:line="360" w:lineRule="auto"/>
        <w:jc w:val="both"/>
        <w:rPr>
          <w:rFonts w:ascii="Times New Roman" w:hAnsi="Times New Roman" w:cs="Times New Roman"/>
        </w:rPr>
      </w:pPr>
      <w:r w:rsidRPr="004C547A">
        <w:rPr>
          <w:rFonts w:ascii="Times New Roman" w:hAnsi="Times New Roman" w:cs="Times New Roman"/>
        </w:rPr>
        <w:t xml:space="preserve">Art. 21. Compete à União: XIX -instituir sistema nacional de gerenciamento de recursos hídricos e definir critérios de outorga de direitos de seu uso; XX -instituir diretrizes para o desenvolvimento urbano, inclusive habitação, saneamento básico e transportes urbanos. Art. 22. Compete privativamente à União legislar sobre: ....... IV -águas, energia, informática, telecomunicações e radiodifusão. Art. 23. É competência comum da União, dos Estados, do Distrito Federal e dos Municípios: ....... IX -promover programas de construção de moradias e melhoria das condições habitacionais e de saneamento básico. Art. 25. Os Estados organizam-se e regem-se pelas Constituições e leis que adotarem, observados os princípios desta Constituição. ...... § 3º Os Estados poderão, mediante lei complementar, instituir regiões metropolitanas, aglomerações urbanas e microrregiões, constituídas por agrupamentos de municípios limítrofes, para integrar a organização, o planejamento e a execução de funções públicas de interesse comum. Art. 30. Compete aos Municípios: I – legislar sobre assuntos de interesse local; ...... V -organizar e prestar, diretamente ou sob regime de concessão ou permissão, os serviços públicos de interesse local, incluindo o de transporte coletivo, que tem caráter essencial; Art. 175. Incumbe ao Poder público, na forma da lei, diretamente ou sob regime de concessão ou permissão, sempre através de licitação, a prestação de serviços públicos. </w:t>
      </w:r>
    </w:p>
    <w:p w:rsidR="006A31EB" w:rsidRPr="004C547A" w:rsidRDefault="006A31EB" w:rsidP="00DF7568">
      <w:pPr>
        <w:pStyle w:val="CM81"/>
        <w:spacing w:line="360" w:lineRule="auto"/>
        <w:jc w:val="both"/>
        <w:rPr>
          <w:rFonts w:ascii="Times New Roman" w:hAnsi="Times New Roman" w:cs="Times New Roman"/>
        </w:rPr>
      </w:pPr>
      <w:r w:rsidRPr="004C547A">
        <w:rPr>
          <w:rFonts w:ascii="Times New Roman" w:hAnsi="Times New Roman" w:cs="Times New Roman"/>
        </w:rPr>
        <w:t xml:space="preserve">Parágrafo único. A lei disporá sobre: I -o regime das empresas concessionárias e permissionárias de serviços públicos, o caráter especial de seu contrato e de sua prorrogação, bem como as condições II -de caducidade, fiscalização e rescisão da concessão ou </w:t>
      </w:r>
      <w:r w:rsidRPr="004C547A">
        <w:rPr>
          <w:rFonts w:ascii="Times New Roman" w:hAnsi="Times New Roman" w:cs="Times New Roman"/>
        </w:rPr>
        <w:lastRenderedPageBreak/>
        <w:t xml:space="preserve">permissão; III -os direitos dos usuários; IV -política tarifária; V -a obrigação de manter serviço adequado. Art. 182. A política de desenvolvimento urbano, executada pelo Poder Público municipal, conforme diretrizes gerais fixadas em lei, tem por objetivo ordenar o pleno desenvolvimento das funções sociais da cidade e garantir o bem-estar de seus habitantes. § 1º O plano diretor, aprovado pela Câmara Municipal, obrigatório para cidades com mais de vinte mil habitantes, é o instrumento básico da política de desenvolvimento e de expansão urbana. Art. 200. Ao Sistema Único de Saúde compete, além de outras atribuições, nos termos da lei: ......... IV -participar da formulação da política e da execução das ações de saneamento básico; .......... VI -fiscalizar e inspecionar alimentos, compreendido o controle de seu teor nutricional, bem como bebidas e águas para consumo humano. Art. 225. Todos têm direito ao meio ambiente ecologicamente equilibrado, bem de uso comum do povo e essencial à sadia qualidade de vida, impondo-se ao Poder Público e à coletividade o dever de defendê-lo e preservá-lo para as presentes e futuras gerações. § 1º -Para assegurar a efetividade desse direito, incumbe ao Poder Público: I -preservar e restaurar os processos ecológicos essenciais e prover o manejo ecológico das espécies e ecossistemas; II -preservar a diversidade e a integridade do patrimônio genético do País e fiscalizar as entidades dedicadas à pesquisa e manipulação de material genético; III -definir, em todas as unidades da Federação, espaços territoriais e seus componentes a serem especialmente protegidos, sendo a alteração e a supressão permitidas somente através de lei, vedada qualquer utilização que comprometa a integridade dos atributos que justifiquem sua proteção; IV -exigir, na forma da lei, para instalação de obra ou atividade potencialmente causadora de significativa degradação do meio ambiente, estudo prévio de impacto ambiental, a que se dará publicidade; </w:t>
      </w:r>
    </w:p>
    <w:p w:rsidR="006A31EB"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V -controlar a produção, a comercialização e o emprego de técnicas, métodos e substâncias que comportem risco para a vida, a qualidade de vida e o meio ambiente; VI -promover a educação ambiental em todos os níveis de ensino e a conscientização pública para a preservação do meio ambiente; VII -proteger a fauna e a flora, vedadas, na forma da lei, as práticas que coloquem em risco sua função ecológica, provoquem a extinção de espécies ou submetam os animais a crueldade. Art. 241. A União, os Estados, o Distrito Federal e os Municípios disciplinarão por meio de lei os consórcios públicos e os convênios de </w:t>
      </w:r>
      <w:r w:rsidRPr="004C547A">
        <w:rPr>
          <w:rFonts w:ascii="Times New Roman" w:hAnsi="Times New Roman" w:cs="Times New Roman"/>
        </w:rPr>
        <w:lastRenderedPageBreak/>
        <w:t xml:space="preserve">cooperação entre os entes federados, autorizando a gestão associada de serviços públicos, bem como a transferência total ou parcial de encargos, serviços, pessoal e bens essenciais à continuidade dos serviços transferidos (Emenda Constitucional no. 19/1998). </w:t>
      </w:r>
    </w:p>
    <w:p w:rsidR="006A31EB" w:rsidRPr="00437716" w:rsidRDefault="006A31EB" w:rsidP="00437716">
      <w:pPr>
        <w:rPr>
          <w:rFonts w:cs="Times New Roman"/>
          <w:b/>
          <w:szCs w:val="24"/>
        </w:rPr>
      </w:pPr>
      <w:bookmarkStart w:id="167" w:name="_Toc372559071"/>
      <w:r w:rsidRPr="00437716">
        <w:rPr>
          <w:rFonts w:cs="Times New Roman"/>
          <w:b/>
          <w:szCs w:val="24"/>
        </w:rPr>
        <w:t>Leis Federais</w:t>
      </w:r>
      <w:bookmarkEnd w:id="167"/>
      <w:r w:rsidRPr="00437716">
        <w:rPr>
          <w:rFonts w:cs="Times New Roman"/>
          <w:b/>
          <w:szCs w:val="24"/>
        </w:rPr>
        <w:t xml:space="preserve"> </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LEI N°. 8.666, DE 21 DE JUNHO DE 1993 -Regulamenta o artigo 37, inciso XXI, da constituição federal, institui normas para licitações e contratos da administração pública e dá outras providências. </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LEI N°. 8.987, DE 13 DE FEVEREIRO DE 1995 -dispõe sobre o regime de concessão e permissão da prestação de serviços públicos previstos no art. 175 da constituição federal, e dá outras providências. </w:t>
      </w:r>
    </w:p>
    <w:p w:rsidR="006A31EB" w:rsidRPr="00437716" w:rsidRDefault="006A31EB" w:rsidP="00DF7568">
      <w:pPr>
        <w:pStyle w:val="CM81"/>
        <w:spacing w:line="360" w:lineRule="auto"/>
        <w:jc w:val="both"/>
        <w:rPr>
          <w:rFonts w:ascii="Times New Roman" w:hAnsi="Times New Roman" w:cs="Times New Roman"/>
          <w:spacing w:val="-2"/>
        </w:rPr>
      </w:pPr>
      <w:r w:rsidRPr="00437716">
        <w:rPr>
          <w:rFonts w:ascii="Times New Roman" w:hAnsi="Times New Roman" w:cs="Times New Roman"/>
          <w:spacing w:val="-2"/>
        </w:rPr>
        <w:t xml:space="preserve">LEI Nº. 9.433, DE 8 DE JANEIRO DE 1997 -Da política nacional de recursos hídricos. Art. 1º A Política Nacional de Recursos Hídricos baseia-se nos seguintes fundamentos: I -a água é um bem de domínio público; II -a água é um recurso natural limitado, dotado de valor econômico; III -em situações de escassez, o uso prioritário dos recursos hídricos é o consumo humano e a dessedentação de animais; IV -a gestão dos recursos hídricos deve sempre proporcionar o uso múltiplo das águas; V -a bacia hidrográfica é a unidade territorial para implementação da Política Nacional de Recursos Hídricos e atuação do Sistema Nacional de Gerenciamento de Recursos Hídricos; VI -a gestão dos recursos hídricos deve ser descentralizada e contar com a participação do Poder Público, dos usuários e das comunidades. Art. 2º São objetivos da Política Nacional de Recursos Hídricos: </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I -assegurar à atual e às futuras gerações a necessária disponibilidade de água, em padrões de qualidade adequados aos respectivos usos; II -a utilização racional e integrada dos recursos hídricos, incluindo o transporte aquaviário, com vistas ao desenvolvimento sustentável; III -a prevenção e a defesa contra eventos hidrológicos críticos de origem natural ou decorrentes do uso inadequado dos recursos naturais. </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LEI N°. 9.605, DE 12 DE FEVEREIRO DE 1998 -Dispõe sobre as sanções penais e administrativas derivadas de condutas e atividades lesivas ao meio ambiente, e dá outras providências. </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LEI Nº. 9.795, DE 27 DE ABRIL DE 1999 – Da política nacional de educação ambiental. Art. 1º Entende-se por educação ambiental os processos por meio dos quais o indivíduo e a </w:t>
      </w:r>
      <w:r w:rsidRPr="004C547A">
        <w:rPr>
          <w:rFonts w:ascii="Times New Roman" w:hAnsi="Times New Roman" w:cs="Times New Roman"/>
        </w:rPr>
        <w:lastRenderedPageBreak/>
        <w:t xml:space="preserve">coletividade constroem valores sociais, conhecimentos, habilidades, atitudes e competências voltadas para a conservação do meio ambiente, bem de uso comum do povo, essencial à sadia qualidade de vida e sua sustentabilidade. Art. 2º A educação ambiental é um componente essencial e permanente da educação nacional, devendo estar presente, de forma articulada, em todos os níveis e modalidades do processo educativo, em caráter formal e não formal. </w:t>
      </w:r>
    </w:p>
    <w:p w:rsidR="006A31EB" w:rsidRPr="004C547A" w:rsidRDefault="006A31EB" w:rsidP="00DF7568">
      <w:pPr>
        <w:spacing w:after="0" w:line="360" w:lineRule="auto"/>
        <w:jc w:val="both"/>
        <w:rPr>
          <w:rFonts w:cs="Times New Roman"/>
          <w:szCs w:val="24"/>
        </w:rPr>
      </w:pPr>
      <w:r w:rsidRPr="004C547A">
        <w:rPr>
          <w:rFonts w:cs="Times New Roman"/>
          <w:szCs w:val="24"/>
        </w:rPr>
        <w:t>LEI N°. 9.867, DE 10 DE NOVEMBRO DE 1999 -trata da criação e do funcionamento de cooperativas sociais, visando à integração social dos cidadãos, constituídas com a finalidade de inserir as pessoas em desvantagem no mercado econômico, por meio do trabalho, fundamentando-se no interesse geral da comunidade em promover a pessoa humana e a integração social dos cidadãos. Define suas atividades e organização.</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LEI N°. 10.257, DE 10 DE JULHO DE 2001 -Estatuto da Cidade. Art. 2° A política urbana tem por objetivo ordenar o pleno desenvolvimento das funções sociais da cidade e da propriedade urbana, mediante as seguintes diretrizes gerais: I -garantia do direito a cidades sustentáveis, entendido como o direito à terra urbana, à moradia, ao saneamento ambiental, à infraestrutura urbana, ao transporte e aos serviços públicos, ao trabalho e ao lazer, para as presentes e futuras gerações;</w:t>
      </w:r>
    </w:p>
    <w:p w:rsidR="006A31EB" w:rsidRPr="004C547A" w:rsidRDefault="006A31EB" w:rsidP="00DF7568">
      <w:pPr>
        <w:pStyle w:val="CM81"/>
        <w:spacing w:line="360" w:lineRule="auto"/>
        <w:jc w:val="both"/>
        <w:rPr>
          <w:rFonts w:ascii="Times New Roman" w:hAnsi="Times New Roman" w:cs="Times New Roman"/>
        </w:rPr>
      </w:pPr>
      <w:r w:rsidRPr="004C547A">
        <w:rPr>
          <w:rFonts w:ascii="Times New Roman" w:hAnsi="Times New Roman" w:cs="Times New Roman"/>
        </w:rPr>
        <w:t xml:space="preserve">LEI N°. 11.107, DE 6 DE ABRIL DE 2005 -Dispõe sobre normas gerais de contratação de consórcios públicos e dá outras providências. </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LEI Nº. 11.445, DE 5 DE JANEIRO DE 2007 -Estabelece diretrizes nacionais para o saneamento básico. </w:t>
      </w:r>
    </w:p>
    <w:p w:rsidR="006A31EB" w:rsidRPr="004C547A" w:rsidRDefault="006A31EB" w:rsidP="00DF7568">
      <w:pPr>
        <w:spacing w:after="0" w:line="360" w:lineRule="auto"/>
        <w:jc w:val="both"/>
        <w:rPr>
          <w:rFonts w:cs="Times New Roman"/>
          <w:szCs w:val="24"/>
        </w:rPr>
      </w:pPr>
      <w:r w:rsidRPr="004C547A">
        <w:rPr>
          <w:rFonts w:cs="Times New Roman"/>
          <w:szCs w:val="24"/>
        </w:rPr>
        <w:t xml:space="preserve">Art. 1º Esta Lei estabelece as diretrizes nacionais para o saneamento básico e para a política federal de saneamento básico. Art. 2º Os serviços públicos de saneamento básico serão prestados com base nos seguintes princípios fundamentais: I -universalização do acesso; II integralidade, compreendida como o conjunto de todas as atividades e componentes de cada um dos diversos serviços de saneamento básico, propiciando à população o acesso na conformidade de suas necessidades e maximizando a eficácia das ações e resultados; III -abastecimento de água, esgotamento sanitário, limpeza urbana e manejo dos resíduos sólidos realizados de formas adequadas à saúde pública e à proteção do meio ambiente; IV -disponibilidade, em todas as áreas urbanas, de serviços de drenagem e de manejo das águas </w:t>
      </w:r>
      <w:r w:rsidRPr="004C547A">
        <w:rPr>
          <w:rFonts w:cs="Times New Roman"/>
          <w:szCs w:val="24"/>
        </w:rPr>
        <w:lastRenderedPageBreak/>
        <w:t>pluviais adequados à saúde pública e à segurança da vida e do patrimônio público e privado; V -adoção de métodos, técnicas e processos que considerem as peculiaridades locais e regionais; VI -articulação com as políticas de desenvolvimento urbano e regional, de habitação, de combate à pobreza e de sua erradicação, de proteção ambiental, de promoção da saúde e outras de relevante interesse social voltadas para a melhoria da qualidade de vida, para a qual o saneamento básico seja fator determinante; VII -eficiência e sustentabilidade econômica; VIII -utilização de tecnologias apropriadas, considerando a capacidade de pagamento dos usuários e a adoção de soluções graduais e progressivas; IX -transparência das ações, baseada em sistemas de informações e processos decisórios institucionalizados; X -controle social; XI -segurança, qualidade e regularidade; XII -integração das infraestruturas e serviços com a gestão eficiente dos recursos hídricos. Art. 3° Para os efeitos desta Lei considera-se: I -saneamento básico: conjunto de serviços, infraestruturas e instalações operacionais de: a) abastecimento de água potável: constituído pelas atividades, infraestruturas e instalações necessárias ao abastecimento público de água potável, desde a captação até as ligações prediais e respectivos instrumentos de medição;</w:t>
      </w:r>
    </w:p>
    <w:p w:rsidR="006A31EB" w:rsidRPr="004C547A" w:rsidRDefault="006A31EB" w:rsidP="00DF7568">
      <w:pPr>
        <w:spacing w:after="0" w:line="360" w:lineRule="auto"/>
        <w:jc w:val="both"/>
        <w:rPr>
          <w:rFonts w:cs="Times New Roman"/>
          <w:szCs w:val="24"/>
        </w:rPr>
      </w:pPr>
      <w:r w:rsidRPr="004C547A">
        <w:rPr>
          <w:rFonts w:cs="Times New Roman"/>
          <w:szCs w:val="24"/>
        </w:rPr>
        <w:t xml:space="preserve">b) esgotamento sanitário: constituído pelas atividades, infraestruturas e instalações operacionais de coleta, transporte, tratamento e disposição final adequados dos esgotos sanitários, desde as ligações prediais até o seu lançamento final no meio ambiente; c) limpeza urbana e manejo de resíduos sólidos: conjunto de atividades, infraestruturas e instalações operacionais de coleta, transporte, transbordo, tratamento e destino final do lixo doméstico e do lixo originário da varrição e limpeza de logradouros e vias públicas; d) drenagem e manejo das águas pluviais urbanas: conjunto de atividades, infraestruturas e instalações operacionais de drenagem urbana de águas pluviais, de transporte, detenção ou retenção para o amortecimento de vazões de cheias, tratamento e disposição final das águas pluviais drenadas nas áreas urbanas; II -gestão associada: associação voluntária de entes federados, por convênio de cooperação ou consórcio público, conforme disposto no art. 241 da Constituição Federal; III -universalização: ampliação progressiva do acesso de todos os domicílios ocupados ao saneamento básico; IV -controle social: conjunto de mecanismos e procedimentos que garantem à sociedade informações, representações técnicas e participações nos processos de formulação de políticas, de planejamento e de avaliação </w:t>
      </w:r>
      <w:r w:rsidRPr="004C547A">
        <w:rPr>
          <w:rFonts w:cs="Times New Roman"/>
          <w:szCs w:val="24"/>
        </w:rPr>
        <w:lastRenderedPageBreak/>
        <w:t>relacionados aos serviços públicos de saneamento básico; V -(VETADO); VI -prestação regionalizada: aquela em que um único prestador atende a 2 (dois) ou mais titulares; VII -subsídios: instrumento econômico de política social para garantir a universalização do acesso ao saneamento básico, especialmente para populações e localidades de baixa renda; VIII -localidade de pequeno porte: vilas, aglomerados rurais, povoados, núcleos, lugarejos e aldeias, assim definidos pela Fundação Instituto Brasileiro de Geografia e Estatística -IBGE. § 1º (VETADO). § 2º (VETADO). § 3º (VETADO). Art. 4º Os recursos hídricos não integram os serviços públicos de saneamento básico. ................ Art. 11. São condições de validade dos contratos que tenham por objeto a prestação de serviços públicos de saneamento básico: I -a existência de plano de saneamento básico;</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II -a existência de estudo comprovando a viabilidade técnica e econômico-financeira da prestação universal e integral dos serviços, nos termos do respectivo plano de saneamento básico; III -a existência de normas de regulação que prevejam os meios para o cumprimento das diretrizes desta Lei, incluindo a designação da entidade de regulação e de fiscalização; IV -a realização prévia de audiência e de consulta públicas sobre o edital de licitação, no caso de concessão, e sobre a minuta do contrato. </w:t>
      </w:r>
    </w:p>
    <w:p w:rsidR="006A31EB"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LEI Nº. 12.305, DE 2 DE AGOSTO DE 2010 – Institui a Política Nacional De Resíduos Sólidos. </w:t>
      </w:r>
    </w:p>
    <w:p w:rsidR="006A31EB" w:rsidRPr="00437716" w:rsidRDefault="006A31EB" w:rsidP="00437716">
      <w:pPr>
        <w:rPr>
          <w:rFonts w:cs="Times New Roman"/>
          <w:b/>
          <w:szCs w:val="24"/>
        </w:rPr>
      </w:pPr>
      <w:bookmarkStart w:id="168" w:name="_Toc372559072"/>
      <w:r w:rsidRPr="00437716">
        <w:rPr>
          <w:rFonts w:cs="Times New Roman"/>
          <w:b/>
          <w:szCs w:val="24"/>
        </w:rPr>
        <w:t>Resoluções</w:t>
      </w:r>
      <w:bookmarkEnd w:id="168"/>
      <w:r w:rsidRPr="00437716">
        <w:rPr>
          <w:rFonts w:cs="Times New Roman"/>
          <w:b/>
          <w:szCs w:val="24"/>
        </w:rPr>
        <w:t xml:space="preserve"> </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RESOLUÇÃO Nº. 23, DE 12 DE DEZEMBRO DE 1996 – CONAMA -Dispõe sobre as definições e o tratamento a ser dado aos resíduos perigosos, conforme as normas adotadas pela convenção da Basileia sobre o controle de movimentos transfronteiriços de resíduos perigosos e seu depósito. Art. 1º Para efeito desta Resolução serão adotadas as seguintes definições: a) resíduos Perigosos -Classe I: são aqueles que se enquadrem em qualquer categoria contida nos Anexos 1-A a 1-C, a menos que não possuam quaisquer das características descritas no Anexo 2, bem como aqueles que, embora não listados nos anexos citados, apresentem quaisquer das características descritas no Anexo 2. b) resíduos Não Inertes -Classe II: são aqueles que não se classificam como resíduos perigosos, resíduos inertes ou outros resíduos, conforme definição das alíneas a, c e d, respectivamente. c) resíduos Inertes -Classe III: são aqueles que, quando submetidos a teste de solubilização, </w:t>
      </w:r>
      <w:r w:rsidRPr="004C547A">
        <w:rPr>
          <w:rFonts w:ascii="Times New Roman" w:hAnsi="Times New Roman" w:cs="Times New Roman"/>
        </w:rPr>
        <w:lastRenderedPageBreak/>
        <w:t xml:space="preserve">conforme NBR 10.006, não tiverem nenhum de seus constituintes solubilizados em concentrações superiores aos padrões especificados no Anexo 3. d) outros Resíduos: são aqueles coletados de residências ou decorrentes da incineração de resíduos domésticos. </w:t>
      </w:r>
    </w:p>
    <w:p w:rsidR="006A31EB" w:rsidRPr="004C547A" w:rsidRDefault="006A31EB" w:rsidP="00DF7568">
      <w:pPr>
        <w:pStyle w:val="CM81"/>
        <w:spacing w:line="360" w:lineRule="auto"/>
        <w:jc w:val="both"/>
        <w:rPr>
          <w:rFonts w:ascii="Times New Roman" w:hAnsi="Times New Roman" w:cs="Times New Roman"/>
        </w:rPr>
      </w:pPr>
      <w:r w:rsidRPr="004C547A">
        <w:rPr>
          <w:rFonts w:ascii="Times New Roman" w:hAnsi="Times New Roman" w:cs="Times New Roman"/>
        </w:rPr>
        <w:t xml:space="preserve">RESOLUÇÃO Nº. 237, DE 19 DE DEZEMBRO DE 1997 – CONAMA -Dispõe sobre licenciamento ambiental; competência da união, estados e municípios; listagem de atividades sujeitas ao licenciamento; estudos ambientais, estudo de impacto ambiental e relatório de impacto ambiental. </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Art. 2º A localização, construção, instalação, ampliação, modificação e operação de empreendimentos e atividades utilizadoras de recursos ambientais consideradas efetiva ou potencialmente poluidoras, bem como os empreendimentos capazes, sob qualquer forma, de causar degradação ambiental, dependerão de prévio licenciamento do órgão ambiental competente, sem prejuízo de outras licenças legalmente exigíveis. § 1º Estão sujeitos ao licenciamento ambiental os empreendimentos e as atividades relacionadas no Anexo 1, parte integrante desta Resolução. -RESOLUÇÃO Nº. 275 DE 25 DE ABRIL 2001 – CONAMA Estabelece o código de cores para os diferentes tipos de resíduos, a ser adotado na identificação de coletores e transportadores, bem como nas campanhas informativas para a coleta seletiva. Art.1º Estabelecer o código de cores para os diferentes tipos de resíduos, a ser adotado na identificação de coletores e transportadores, bem como nas campanhas informativas para a coleta seletiva. -RESOLUÇÃO Nº. 283, DE 12 DE JULHO DE 2001 – CONAMA -Dispõe sobre o tratamento e a disposição final dos resíduos dos serviços de saúde e dá outras providências. Art. 1º Para os efeitos desta Resolução definem-se: I -Resíduos de Serviços de Saúde são: a) aqueles provenientes de qualquer unidade que execute atividades de natureza médico assistencial humana ou animal; Art. 4º Caberá ao responsável legal dos estabelecimentos já referidos no art. 2º desta Resolução, a responsabilidade pelo gerenciamento de seus resíduos desde a geração até a disposição final, de forma a atender aos requisitos ambientais e de saúde pública, sem prejuízo da responsabilidade civil solidária, penal e administrativa de outros sujeitos envolvidos, em especial os transportadores e depositários finais. </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RESOLUÇÃO Nº. 307, DE 5 DE JULHO DE 2002 -CONAMA -Estabelece diretrizes, critérios e procedimentos para a gestão dos resíduos da construção civil. Art. 1º Estabelecer </w:t>
      </w:r>
      <w:r w:rsidRPr="004C547A">
        <w:rPr>
          <w:rFonts w:ascii="Times New Roman" w:hAnsi="Times New Roman" w:cs="Times New Roman"/>
        </w:rPr>
        <w:lastRenderedPageBreak/>
        <w:t xml:space="preserve">diretrizes, critérios e procedimentos para a gestão dos resíduos da construção civil, disciplinando as ações necessárias de forma a minimizar os impactos ambientais. </w:t>
      </w:r>
    </w:p>
    <w:p w:rsidR="006A31EB" w:rsidRPr="004C547A" w:rsidRDefault="006A31EB" w:rsidP="00DF7568">
      <w:pPr>
        <w:pStyle w:val="CM81"/>
        <w:spacing w:line="360" w:lineRule="auto"/>
        <w:jc w:val="both"/>
        <w:rPr>
          <w:rFonts w:ascii="Times New Roman" w:hAnsi="Times New Roman" w:cs="Times New Roman"/>
        </w:rPr>
      </w:pPr>
      <w:r w:rsidRPr="004C547A">
        <w:rPr>
          <w:rFonts w:ascii="Times New Roman" w:hAnsi="Times New Roman" w:cs="Times New Roman"/>
        </w:rPr>
        <w:t xml:space="preserve">RESOLUÇÃO Nº. 316, DE 29 DE OUTUBRO DE 2002 -CONAMA -Dispõe sobre procedimentos e critérios para o funcionamento de sistemas de tratamento térmico de resíduos. </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Art. 1º Disciplinar os processos de tratamento térmico de resíduos e cadáveres, estabelecendo procedimentos operacionais, limites de emissão e critérios de desempenho, controle, tratamento e disposição final de efluentes, de modo a minimizar os impactos ao meio ambiente e à saúde pública, resultantes destas atividades. -RESOLUÇÃO Nº. 357, DE 17 DE MARÇO DE 2005 -CONAMA -Dispõe sobre a classificação dos corpos de água e diretrizes ambientais para o seu enquadramento, bem como estabelece as condições e padrões de lançamento de efluentes, e dá outras providências. Art. 1º Esta Resolução dispõe sobre a classificação e diretrizes ambientais para o enquadramento dos corpos de água superficiais, bem como estabelece as condições e padrões de lançamento de efluentes. </w:t>
      </w:r>
    </w:p>
    <w:p w:rsidR="006A31EB" w:rsidRPr="004C547A" w:rsidRDefault="006A31EB" w:rsidP="00DF7568">
      <w:pPr>
        <w:spacing w:after="0" w:line="360" w:lineRule="auto"/>
        <w:jc w:val="both"/>
        <w:rPr>
          <w:rFonts w:cs="Times New Roman"/>
          <w:szCs w:val="24"/>
        </w:rPr>
      </w:pPr>
      <w:r w:rsidRPr="004C547A">
        <w:rPr>
          <w:rFonts w:cs="Times New Roman"/>
          <w:szCs w:val="24"/>
        </w:rPr>
        <w:t>RESOLUÇÃO Nº. 358, DE 29 DE ABRIL DE 2005 -CONAMA -Dispõe sobre o tratamento e a disposição final dos resíduos dos serviços de saúde e dá outras providências. Art. 1º Esta Resolução aplica-se a todos os serviços relacionados com o atendimento à saúde humana ou animal, inclusive os serviços de assistência domiciliar e de trabalhos de campo; laboratórios analíticos de produtos para saúde; necrotérios, funerárias e serviços onde se realizem atividades de embalsamamento (tanatopraxia e somatoconservação); serviços de medicina legal; drogarias e farmácias inclusive as de manipulação; estabelecimentos de ensino e pesquisa na área de saúde; centros de controle de zoonoses; distribuidores de produtos farmacêuticos; importadores, distribuidores e produtores de materiais e controles para diagnóstico in vitro; unidades móveis de atendimento à saúde; serviços de acupuntura; serviços de tatuagem, entre outros similares.</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RESOLUÇÃO Nº. 377, DE 09 DE OUTUBRO DE 2006 -CONAMA -Dispõe sobre licenciamento ambiental simplificado de sistemas de esgotamento sanitário. </w:t>
      </w:r>
    </w:p>
    <w:p w:rsidR="006A31EB" w:rsidRPr="004C547A" w:rsidRDefault="006A31EB" w:rsidP="00DF7568">
      <w:pPr>
        <w:spacing w:after="0" w:line="360" w:lineRule="auto"/>
        <w:jc w:val="both"/>
        <w:rPr>
          <w:rFonts w:cs="Times New Roman"/>
          <w:szCs w:val="24"/>
        </w:rPr>
      </w:pPr>
      <w:r w:rsidRPr="004C547A">
        <w:rPr>
          <w:rFonts w:cs="Times New Roman"/>
          <w:szCs w:val="24"/>
        </w:rPr>
        <w:t>RESOLUÇÃO Nº. 396, DE 07 DE ABRIL DE 2008 -CONAMA -Dispõe sobre a classificação e diretrizes ambientais para o enquadramento das águas subterrâneas e dá outras providências.</w:t>
      </w:r>
    </w:p>
    <w:p w:rsidR="006A31EB" w:rsidRPr="004C547A" w:rsidRDefault="006A31EB" w:rsidP="00DF7568">
      <w:pPr>
        <w:pStyle w:val="CM96"/>
        <w:spacing w:line="360" w:lineRule="auto"/>
        <w:jc w:val="both"/>
        <w:rPr>
          <w:rFonts w:ascii="Times New Roman" w:hAnsi="Times New Roman" w:cs="Times New Roman"/>
        </w:rPr>
      </w:pPr>
      <w:r w:rsidRPr="004C547A">
        <w:rPr>
          <w:rFonts w:ascii="Times New Roman" w:hAnsi="Times New Roman" w:cs="Times New Roman"/>
        </w:rPr>
        <w:lastRenderedPageBreak/>
        <w:t xml:space="preserve">RESOLUÇÃO Nº. 397, DE 07 DE ABRIL DE 2008 -CONAMA -Altera o inciso II do § 4º </w:t>
      </w:r>
      <w:r w:rsidR="00BF5409">
        <w:rPr>
          <w:rFonts w:ascii="Times New Roman" w:hAnsi="Times New Roman" w:cs="Times New Roman"/>
        </w:rPr>
        <w:t>e</w:t>
      </w:r>
      <w:r w:rsidRPr="004C547A">
        <w:rPr>
          <w:rFonts w:ascii="Times New Roman" w:hAnsi="Times New Roman" w:cs="Times New Roman"/>
        </w:rPr>
        <w:t xml:space="preserve"> § 5º, ambos do art. 34 da resolução CONAMA nº. 357 de 2005. </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RESOLUÇÃO Nº. 430, DE 13 DE MAIO DE 2011 -CONAMA – Dispõe sobre as condições e padrões de lançamentos de efluentes, complementa e altera a resolução n</w:t>
      </w:r>
      <w:r w:rsidRPr="004C547A">
        <w:rPr>
          <w:rFonts w:ascii="Times New Roman" w:hAnsi="Times New Roman" w:cs="Times New Roman"/>
          <w:position w:val="10"/>
          <w:vertAlign w:val="superscript"/>
        </w:rPr>
        <w:t xml:space="preserve">o </w:t>
      </w:r>
      <w:r w:rsidRPr="004C547A">
        <w:rPr>
          <w:rFonts w:ascii="Times New Roman" w:hAnsi="Times New Roman" w:cs="Times New Roman"/>
        </w:rPr>
        <w:t xml:space="preserve">357, de 17 de março de 2005, do Conselho Nacional Do Meio Ambiente -CONAMA. </w:t>
      </w:r>
    </w:p>
    <w:p w:rsidR="006A31EB"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RESOLUÇÃO Nº. 75 DO CONSELHO DAS CIDADES DE 05 DE OUTUBRO DE 2009 -Estabelece orientações relativas à Política de Saneamento Básico e ao conteúdo mínimo dos Planos de Saneamento Básico. </w:t>
      </w:r>
    </w:p>
    <w:p w:rsidR="006A31EB" w:rsidRPr="00437716" w:rsidRDefault="006A31EB" w:rsidP="00437716">
      <w:pPr>
        <w:rPr>
          <w:rFonts w:cs="Times New Roman"/>
          <w:b/>
          <w:szCs w:val="24"/>
        </w:rPr>
      </w:pPr>
      <w:bookmarkStart w:id="169" w:name="_Toc372559073"/>
      <w:r w:rsidRPr="00437716">
        <w:rPr>
          <w:rFonts w:cs="Times New Roman"/>
          <w:b/>
          <w:szCs w:val="24"/>
        </w:rPr>
        <w:t>Decretos</w:t>
      </w:r>
      <w:bookmarkEnd w:id="169"/>
      <w:r w:rsidRPr="00437716">
        <w:rPr>
          <w:rFonts w:cs="Times New Roman"/>
          <w:b/>
          <w:szCs w:val="24"/>
        </w:rPr>
        <w:t xml:space="preserve"> </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DECRETO Nº. 5.440, DE 4 DE MAIO DE 2005 -Estabelece definições e procedimentos sobre a qualidade da água e mecanismo para a divulgação de informação ao consumidor. </w:t>
      </w:r>
    </w:p>
    <w:p w:rsidR="006A31EB" w:rsidRPr="004C547A"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DECRETO Nº. 6.017, DE 17 DE JANEIRO DE 2007 -Regulamenta a Lei N° 11.107, de 6 de Abril de 2005, que dispõe sobre normas gerais de contratação de consórcios públicos. </w:t>
      </w:r>
    </w:p>
    <w:p w:rsidR="006A31EB" w:rsidRDefault="006A31EB" w:rsidP="00DF7568">
      <w:pPr>
        <w:pStyle w:val="CM71"/>
        <w:spacing w:line="360" w:lineRule="auto"/>
        <w:jc w:val="both"/>
        <w:rPr>
          <w:rFonts w:ascii="Times New Roman" w:hAnsi="Times New Roman" w:cs="Times New Roman"/>
        </w:rPr>
      </w:pPr>
      <w:r w:rsidRPr="004C547A">
        <w:rPr>
          <w:rFonts w:ascii="Times New Roman" w:hAnsi="Times New Roman" w:cs="Times New Roman"/>
        </w:rPr>
        <w:t xml:space="preserve">DECRETO Nº. 6.514, DE 22 DE JULHO DE 2008 -Dispõe sobre as infrações e sanções administrativas ao meio ambiente, estabelece o processo administrativo federal para apuração destas infrações, e dá outras providências. </w:t>
      </w:r>
    </w:p>
    <w:p w:rsidR="006A31EB" w:rsidRPr="00437716" w:rsidRDefault="006A31EB" w:rsidP="00437716">
      <w:pPr>
        <w:rPr>
          <w:rFonts w:cs="Times New Roman"/>
          <w:b/>
          <w:szCs w:val="24"/>
        </w:rPr>
      </w:pPr>
      <w:bookmarkStart w:id="170" w:name="_Toc372559074"/>
      <w:r w:rsidRPr="00437716">
        <w:rPr>
          <w:rFonts w:cs="Times New Roman"/>
          <w:b/>
          <w:szCs w:val="24"/>
        </w:rPr>
        <w:t>Portarias</w:t>
      </w:r>
      <w:bookmarkEnd w:id="170"/>
      <w:r w:rsidRPr="00437716">
        <w:rPr>
          <w:rFonts w:cs="Times New Roman"/>
          <w:b/>
          <w:szCs w:val="24"/>
        </w:rPr>
        <w:t xml:space="preserve"> </w:t>
      </w:r>
    </w:p>
    <w:p w:rsidR="006A31EB" w:rsidRPr="004C547A" w:rsidRDefault="006A31EB" w:rsidP="00DF7568">
      <w:pPr>
        <w:pStyle w:val="CM81"/>
        <w:spacing w:line="360" w:lineRule="auto"/>
        <w:jc w:val="both"/>
        <w:rPr>
          <w:rFonts w:ascii="Times New Roman" w:hAnsi="Times New Roman" w:cs="Times New Roman"/>
        </w:rPr>
      </w:pPr>
      <w:r w:rsidRPr="004C547A">
        <w:rPr>
          <w:rFonts w:ascii="Times New Roman" w:hAnsi="Times New Roman" w:cs="Times New Roman"/>
        </w:rPr>
        <w:t xml:space="preserve">PORTARIA Nº. 2.914, DE 12 DE DEZEMBRO DE 2011 -MINISTÉRIO DA SAÚDE -Dispõe sobre os procedimentos de controle e de vigilância da qualidade da água para consumo humano e seu padrão de portabilidade. Art. 1º Esta Portaria dispõe sobre os procedimentos de controle e de vigilância da qualidade da água para consumo humano e seu padrão de portabilidade. Art. 2° Esta Portaria se aplica à água destinada ao consumo humano proveniente de sistema e solução alternativa de abastecimento de água. Art. 3° Toda água destinada ao consumo humano, distribuída coletivamente por meio de sistema ou solução alternativa coletiva de abastecimento de água, deve ser objeto de controle e vigilância da qualidade da água. Art. 4° Toda água destinada ao consumo humano proveniente de solução alternativa individual de abastecimento de água, independentemente da forma de acesso da população, está sujeita à vigilância da qualidade da água. </w:t>
      </w:r>
    </w:p>
    <w:p w:rsidR="006A31EB" w:rsidRPr="00DF7568" w:rsidRDefault="0064025D" w:rsidP="00971B37">
      <w:pPr>
        <w:pStyle w:val="Titulo"/>
      </w:pPr>
      <w:bookmarkStart w:id="171" w:name="_Toc372559075"/>
      <w:bookmarkStart w:id="172" w:name="_Toc372789510"/>
      <w:r>
        <w:lastRenderedPageBreak/>
        <w:t xml:space="preserve">9.2.2 </w:t>
      </w:r>
      <w:r w:rsidR="006A31EB" w:rsidRPr="00DF7568">
        <w:t>Legislação Estadual</w:t>
      </w:r>
      <w:bookmarkEnd w:id="171"/>
      <w:bookmarkEnd w:id="172"/>
      <w:r w:rsidR="006A31EB" w:rsidRPr="00DF7568">
        <w:t xml:space="preserve"> </w:t>
      </w:r>
    </w:p>
    <w:p w:rsidR="006A31EB" w:rsidRPr="00437716" w:rsidRDefault="006A31EB" w:rsidP="00437716">
      <w:pPr>
        <w:rPr>
          <w:rFonts w:cs="Times New Roman"/>
          <w:b/>
          <w:szCs w:val="24"/>
        </w:rPr>
      </w:pPr>
      <w:bookmarkStart w:id="173" w:name="_Toc372559076"/>
      <w:r w:rsidRPr="00437716">
        <w:rPr>
          <w:rFonts w:cs="Times New Roman"/>
          <w:b/>
          <w:szCs w:val="24"/>
        </w:rPr>
        <w:t>Constituição do Estado de Minas Gerais</w:t>
      </w:r>
      <w:bookmarkEnd w:id="173"/>
      <w:r w:rsidRPr="00437716">
        <w:rPr>
          <w:rFonts w:cs="Times New Roman"/>
          <w:b/>
          <w:szCs w:val="24"/>
        </w:rPr>
        <w:t xml:space="preserve"> </w:t>
      </w:r>
    </w:p>
    <w:p w:rsidR="006A31EB" w:rsidRPr="004C547A" w:rsidRDefault="006A31EB" w:rsidP="00DF7568">
      <w:pPr>
        <w:pStyle w:val="CM81"/>
        <w:spacing w:line="360" w:lineRule="auto"/>
        <w:jc w:val="both"/>
        <w:rPr>
          <w:rFonts w:ascii="Times New Roman" w:hAnsi="Times New Roman" w:cs="Times New Roman"/>
        </w:rPr>
      </w:pPr>
      <w:r w:rsidRPr="004C547A">
        <w:rPr>
          <w:rFonts w:ascii="Times New Roman" w:hAnsi="Times New Roman" w:cs="Times New Roman"/>
        </w:rPr>
        <w:t xml:space="preserve">CONSTITUIÇÃO DO ESTADO DE MINAS GERAIS DE 1989 – 14ª EDIÇÃO (2011). Art. 158 – A lei orçamentária assegurará investimentos prioritários em programas de educação, saúde, habitação, saneamento básico, proteção ao meio ambiente, fomento ao ensino, à pesquisa científica e tecnológica, ao esporte e à cultura e ao atendimento das propostas priorizadas nas audiências públicas regionais. Seção I Da Saúde Art. 186 – A saúde é direito de todos, e a assistência a ela é dever do Estado, assegurada mediante políticas sociais e econômicas que visem à eliminação do risco de doenças e de outros agravos e ao acesso universal e igualitário às ações e aos serviços para sua promoção, proteção e recuperação. Parágrafo único – O direito à saúde implica a garantia de: I – condições dignas de trabalho, moradia, alimentação, educação, transporte, lazer e saneamento básico; II – acesso às informações de interesse para a saúde, obrigado o Poder Público a manter a população informada sobre os riscos e danos à saúde e sobre as medidas de prevenção e controle; III – dignidade, gratuidade e boa qualidade no atendimento e no tratamento de saúde; IV – participação da sociedade, por intermédio de entidades representativas, na elaboração de políticas, na definição de estratégias de implementações e no controle das atividades com impacto sobre a saúde. Art. 192 – O Estado formulará a política e os planos plurianuais estaduais de saneamento básico. § 1º – A política e os planos plurianuais serão submetidos a um Conselho Estadual de Saneamento Básico. § 2º – O Estado proverá os recursos necessários para a implementação da política estadual de saneamento básico. § 3º A execução de programa de saneamento básico, estadual ou municipal, será precedida de planejamento que atenda aos critérios de avaliação do quadro sanitário e epidemiológico estabelecidos em lei. Seção VI Do Meio Ambiente </w:t>
      </w:r>
    </w:p>
    <w:p w:rsidR="006A31EB" w:rsidRPr="004C547A" w:rsidRDefault="006A31EB" w:rsidP="00DF7568">
      <w:pPr>
        <w:spacing w:after="0" w:line="360" w:lineRule="auto"/>
        <w:jc w:val="both"/>
        <w:rPr>
          <w:rFonts w:cs="Times New Roman"/>
          <w:szCs w:val="24"/>
        </w:rPr>
      </w:pPr>
      <w:r w:rsidRPr="004C547A">
        <w:rPr>
          <w:rFonts w:cs="Times New Roman"/>
          <w:szCs w:val="24"/>
        </w:rPr>
        <w:t>Art. 214 – Todos têm direito a meio ambiente ecologicamente equilibrado, bem de uso comum do povo e essencial à sadia qualidade de vida, e ao Estado e à coletividade é imposto o dever de defendê-lo e conservá-lo para as gerações presentes e futuras.</w:t>
      </w:r>
    </w:p>
    <w:p w:rsidR="006A31EB" w:rsidRPr="004C547A" w:rsidRDefault="006A31EB" w:rsidP="0053477A">
      <w:pPr>
        <w:pStyle w:val="Default"/>
        <w:numPr>
          <w:ilvl w:val="0"/>
          <w:numId w:val="13"/>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(Vide Lei nº 14.181, de 17/1/2002.) </w:t>
      </w:r>
    </w:p>
    <w:p w:rsidR="006A31EB" w:rsidRPr="004C547A" w:rsidRDefault="006A31EB" w:rsidP="0053477A">
      <w:pPr>
        <w:pStyle w:val="Default"/>
        <w:numPr>
          <w:ilvl w:val="0"/>
          <w:numId w:val="13"/>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(Vide Lei nº 14.309, de 19/6/2002.) § 1º – Para assegurar a efetividade do direito a que se refere este artigo, incumbe ao Estado, entre outras atribuições: I – promover a educação </w:t>
      </w:r>
      <w:r w:rsidRPr="004C547A">
        <w:rPr>
          <w:rFonts w:ascii="Times New Roman" w:hAnsi="Times New Roman" w:cs="Times New Roman"/>
          <w:color w:val="auto"/>
        </w:rPr>
        <w:lastRenderedPageBreak/>
        <w:t xml:space="preserve">ambiental em todos os níveis de ensino e disseminar, na forma da lei, as informações necessárias à conscientização pública para a preservação do meio ambiente; </w:t>
      </w:r>
    </w:p>
    <w:p w:rsidR="006A31EB" w:rsidRPr="004C547A" w:rsidRDefault="006A31EB" w:rsidP="0053477A">
      <w:pPr>
        <w:pStyle w:val="Default"/>
        <w:numPr>
          <w:ilvl w:val="0"/>
          <w:numId w:val="13"/>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(Inciso regulamentado pela Lei nº 15.441, de 11/1/2005.) II – assegurar, na forma da lei, o livre acesso às informações básicas sobre o meio ambiente; </w:t>
      </w:r>
    </w:p>
    <w:p w:rsidR="006A31EB" w:rsidRPr="004C547A" w:rsidRDefault="006A31EB" w:rsidP="0053477A">
      <w:pPr>
        <w:pStyle w:val="Default"/>
        <w:numPr>
          <w:ilvl w:val="0"/>
          <w:numId w:val="13"/>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(Inciso regulamentado pela Lei nº 15.971, de 12/1/2006.) III – prevenir e controlar a poluição, a erosão, o assoreamento e outras formas de degradação ambiental; IV – exigir, na forma da lei, prévia anuência do órgão estadual de controle e política ambiental, para início, ampliação ou desenvolvimento de atividades, construção ou reforma de instalações capazes de causar, sob qualquer forma, degradação do meio ambiente, sem prejuízo de outros requisitos legais, preservado o sigilo industrial; V – proteger a fauna e a flora, a fim de assegurar a diversidade das espécies e dos ecossistemas e a preservação do patrimônio genético, vedadas, na forma da lei, as práticas que provoquem a extinção das espécies ou submetam os animais à crueldade; </w:t>
      </w:r>
    </w:p>
    <w:p w:rsidR="006A31EB" w:rsidRPr="004C547A" w:rsidRDefault="006A31EB" w:rsidP="0053477A">
      <w:pPr>
        <w:pStyle w:val="Default"/>
        <w:numPr>
          <w:ilvl w:val="0"/>
          <w:numId w:val="13"/>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(Vide Lei nº 14.181, de 17/1/2002.) VI – definir mecanismos de proteção à fauna e à flora nativas e estabelecer, com base em monitoramento contínuo, a lista de espécies ameaçadas de extinção e que mereçam proteção especial; </w:t>
      </w:r>
    </w:p>
    <w:p w:rsidR="006A31EB" w:rsidRPr="004C547A" w:rsidRDefault="006A31EB" w:rsidP="0053477A">
      <w:pPr>
        <w:pStyle w:val="Default"/>
        <w:numPr>
          <w:ilvl w:val="0"/>
          <w:numId w:val="13"/>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(Inciso regulamentado pela Lei nº 10.583, de 31/1/1992.) </w:t>
      </w:r>
    </w:p>
    <w:p w:rsidR="006A31EB" w:rsidRPr="004C547A" w:rsidRDefault="006A31EB" w:rsidP="0053477A">
      <w:pPr>
        <w:pStyle w:val="Default"/>
        <w:numPr>
          <w:ilvl w:val="0"/>
          <w:numId w:val="13"/>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(Inciso regulamentado pela Lei nº 14.181, de 17/1/2002.) VII – controlar a produção, a comercialização e o emprego de técnicas, métodos e substâncias que importem riscos para a vida, a qualidade de vida, o meio ambiente, bem como o transporte e o armazenamento dessas substâncias em seu território; VIII – criar parques, reservas, estações ecológicas e outras unidades de conservação, mantê-los sob especial proteção e dotá-los da infraestrutura indispensável às suas finalidades; </w:t>
      </w:r>
    </w:p>
    <w:p w:rsidR="006A31EB" w:rsidRPr="004C547A" w:rsidRDefault="006A31EB" w:rsidP="00DF7568">
      <w:pPr>
        <w:pStyle w:val="CM35"/>
        <w:spacing w:line="360" w:lineRule="auto"/>
        <w:jc w:val="both"/>
        <w:rPr>
          <w:rFonts w:ascii="Times New Roman" w:hAnsi="Times New Roman" w:cs="Times New Roman"/>
        </w:rPr>
      </w:pPr>
      <w:r w:rsidRPr="004C547A">
        <w:rPr>
          <w:rFonts w:ascii="Times New Roman" w:hAnsi="Times New Roman" w:cs="Times New Roman"/>
        </w:rPr>
        <w:t>IX – estabelecer, através de órgão colegiado, com participação da sociedade civil, normas regulamentares e técnicas, padrões e demais medidas de caráter operacional, para proteção do meio ambiente e controle da utilização racional dos recursos ambientais; X – manter instituição de pesquisa, planejamento e execução que assegure ao órgão indicado no inciso anterior</w:t>
      </w:r>
      <w:r w:rsidR="00D06390">
        <w:rPr>
          <w:rFonts w:ascii="Times New Roman" w:hAnsi="Times New Roman" w:cs="Times New Roman"/>
        </w:rPr>
        <w:t>,</w:t>
      </w:r>
      <w:r w:rsidRPr="004C547A">
        <w:rPr>
          <w:rFonts w:ascii="Times New Roman" w:hAnsi="Times New Roman" w:cs="Times New Roman"/>
        </w:rPr>
        <w:t xml:space="preserve"> o suporte técnico e operacional necessário ao cumprimento de sua finalidade; XI – preservar os recursos bioterapêuticos regionais. § 2º – O licenciamento de que trata o inciso IV do parágrafo anterior dependerá nos casos de atividade ou obra potencialmente causadora </w:t>
      </w:r>
      <w:r w:rsidRPr="004C547A">
        <w:rPr>
          <w:rFonts w:ascii="Times New Roman" w:hAnsi="Times New Roman" w:cs="Times New Roman"/>
        </w:rPr>
        <w:lastRenderedPageBreak/>
        <w:t xml:space="preserve">de significativa degradação do meio ambiente, de estudo prévio de impacto ambiental, a que se dará publicidade. § 3º – Parte dos recursos estaduais previstos no art. 20, § 1º, da Constituição da República será aplicada de modo a garantir o disposto no § 1º, sem prejuízo de outras dotações orçamentárias. § 4º – Quem explorar recurso ambiental fica obrigado a recuperar o meio ambiente degradado, na forma da lei. § 5º – A conduta e a atividade consideradas lesivas ao meio ambiente sujeitarão o infrator, pessoa física ou jurídica, a sanções administrativas, sem prejuízo das obrigações de reparar o dano e das cominações penais cabíveis. § 6º – São indisponíveis as terras devolutas, ou arrecadadas pelo Estado, necessárias às atividades de recreação pública e à instituição de parques e demais unidades de conservação, para a proteção dos ecossistemas naturais. § 7º – Os remanescentes da Mata Atlântica, as veredas, os campos rupestres, as cavernas, as paisagens notáveis e outras unidades de relevante interesse ecológico constituem patrimônio ambiental do Estado e sua utilização se fará, na forma da lei, em condições que assegurem sua conservação. </w:t>
      </w:r>
    </w:p>
    <w:p w:rsidR="006A31EB" w:rsidRPr="004C547A" w:rsidRDefault="006A31EB" w:rsidP="0053477A">
      <w:pPr>
        <w:pStyle w:val="CM81"/>
        <w:numPr>
          <w:ilvl w:val="1"/>
          <w:numId w:val="14"/>
        </w:numPr>
        <w:spacing w:line="360" w:lineRule="auto"/>
        <w:ind w:left="284" w:hanging="284"/>
        <w:jc w:val="both"/>
        <w:rPr>
          <w:rFonts w:ascii="Times New Roman" w:hAnsi="Times New Roman" w:cs="Times New Roman"/>
        </w:rPr>
      </w:pPr>
      <w:r w:rsidRPr="004C547A">
        <w:rPr>
          <w:rFonts w:ascii="Times New Roman" w:hAnsi="Times New Roman" w:cs="Times New Roman"/>
        </w:rPr>
        <w:t xml:space="preserve">(Vide Lei nº 14.309, de 19/6/2002.) Art. 215 – É obrigação das instituições do Poder Executivo, com atribuições diretas ou indiretas de proteção e controle ambiental, informar o Ministério Público sobre ocorrência de conduta ou atividade considerada lesiva ao meio ambiente. Art. 216 – O Estado criará mecanismos de fomento a: I – reflorestamento com a finalidade de suprir a demanda de produtos lenhosos e de minimizar o impacto da exploração dos adensamentos vegetais nativos; II – programas de conservação de solos, para minimizar a erosão e o assoreamento de corpos d’água interiores naturais ou artificiais; III – programas de defesa e recuperação da qualidade das águas e do ar; </w:t>
      </w:r>
    </w:p>
    <w:p w:rsidR="006A31EB" w:rsidRPr="004C547A" w:rsidRDefault="006A31EB" w:rsidP="00DF7568">
      <w:pPr>
        <w:pStyle w:val="CM35"/>
        <w:spacing w:line="360" w:lineRule="auto"/>
        <w:jc w:val="both"/>
        <w:rPr>
          <w:rFonts w:ascii="Times New Roman" w:hAnsi="Times New Roman" w:cs="Times New Roman"/>
        </w:rPr>
      </w:pPr>
      <w:r w:rsidRPr="004C547A">
        <w:rPr>
          <w:rFonts w:ascii="Times New Roman" w:hAnsi="Times New Roman" w:cs="Times New Roman"/>
        </w:rPr>
        <w:t xml:space="preserve">IV – projetos de pesquisa e desenvolvimento tecnológico para a utilização de espécies nativas nos programas de reflorestamento. § 1º – O Estado promoverá o inventário, o mapeamento e o monitoramento das coberturas vegetais nativas e de seus recursos hídricos, para adoção de medidas especiais de proteção. § 2º – O Estado auxiliará o Município na implantação e na manutenção de hortos florestais destinados à recomposição da flora nativa. Art. 217 – As atividades que utilizem produtos florestais como combustíveis ou matéria-prima deverão, para o fim de licenciamento ambiental e na forma estabelecida em lei, comprovar que possuem disponibilidade daqueles insumos, capaz de assegurar, técnica e legalmente, o respectivo suprimento. Parágrafo único – É obrigatória a reposição florestal </w:t>
      </w:r>
      <w:r w:rsidRPr="004C547A">
        <w:rPr>
          <w:rFonts w:ascii="Times New Roman" w:hAnsi="Times New Roman" w:cs="Times New Roman"/>
        </w:rPr>
        <w:lastRenderedPageBreak/>
        <w:t xml:space="preserve">pelas empresas consumidoras, nos limites do Estado, preferencialmente no território do Município produtor de carvão vegetal. </w:t>
      </w:r>
    </w:p>
    <w:p w:rsidR="006A31EB" w:rsidRPr="004C547A" w:rsidRDefault="006A31EB" w:rsidP="0053477A">
      <w:pPr>
        <w:pStyle w:val="Default"/>
        <w:numPr>
          <w:ilvl w:val="0"/>
          <w:numId w:val="15"/>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(Vide Lei nº 14.309, de 19/6/2002.) Seção VI Da Política Hídrica e Mineraria Art. 249 – A política hídrica e mineraria executada pelo Poder Público se destina ao aproveitamento racional, em seus múltiplos usos, e à proteção dos recursos hídricos e minerais, observada a legislação federal. (Vide Lei nº 13.199, de 29/1/1999.) Art. 250 – Para assegurar a efetividade do objetivo do artigo anterior, o Poder Público, por meio de sistema estadual de gerenciamento de recursos hídricos e sistema estadual de gerenciamento de recursos minerários, observará, entre outros, os seguintes preceitos: I – adoção da bacia hidrográfica como base de gerenciamento e de classificação dos recursos hídricos; II – proteção e utilização racional das águas superficiais e subterrâneas, das nascentes e sumidouros e das áreas úmidas adjacentes; </w:t>
      </w:r>
    </w:p>
    <w:p w:rsidR="006A31EB" w:rsidRPr="004C547A" w:rsidRDefault="006A31EB" w:rsidP="0053477A">
      <w:pPr>
        <w:pStyle w:val="Default"/>
        <w:numPr>
          <w:ilvl w:val="0"/>
          <w:numId w:val="15"/>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(Vide Lei nº 12.503, de 30/5/1997.) </w:t>
      </w:r>
    </w:p>
    <w:p w:rsidR="006A31EB" w:rsidRPr="004C547A" w:rsidRDefault="006A31EB" w:rsidP="0053477A">
      <w:pPr>
        <w:pStyle w:val="Default"/>
        <w:numPr>
          <w:ilvl w:val="0"/>
          <w:numId w:val="15"/>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(Vide Lei nº 13.771, de 11/12/2000.) III – criação de incentivo a programas nas áreas de turismo e saúde, com vistas ao uso terapêutico das águas minerais e termais na prevenção e no tratamento de doenças; IV – conservação dos ecossistemas aquáticos; </w:t>
      </w:r>
    </w:p>
    <w:p w:rsidR="006A31EB" w:rsidRPr="004C547A" w:rsidRDefault="006A31EB" w:rsidP="0053477A">
      <w:pPr>
        <w:pStyle w:val="Default"/>
        <w:numPr>
          <w:ilvl w:val="0"/>
          <w:numId w:val="15"/>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(Vide Lei nº 14.181, de 17/1/2002) V – fomento das práticas náuticas, de pesca desportiva e de recreação pública em rios de preservação permanente; </w:t>
      </w:r>
    </w:p>
    <w:p w:rsidR="006A31EB" w:rsidRPr="004C547A" w:rsidRDefault="006A31EB" w:rsidP="0053477A">
      <w:pPr>
        <w:pStyle w:val="Default"/>
        <w:numPr>
          <w:ilvl w:val="0"/>
          <w:numId w:val="15"/>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(Vide Lei nº 14.181, de 17/1/2002.) </w:t>
      </w:r>
    </w:p>
    <w:p w:rsidR="006A31EB" w:rsidRPr="004C547A" w:rsidRDefault="006A31EB" w:rsidP="0053477A">
      <w:pPr>
        <w:pStyle w:val="CM35"/>
        <w:numPr>
          <w:ilvl w:val="0"/>
          <w:numId w:val="15"/>
        </w:numPr>
        <w:spacing w:line="360" w:lineRule="auto"/>
        <w:ind w:left="284" w:hanging="284"/>
        <w:jc w:val="both"/>
        <w:rPr>
          <w:rFonts w:ascii="Times New Roman" w:hAnsi="Times New Roman" w:cs="Times New Roman"/>
        </w:rPr>
      </w:pPr>
      <w:r w:rsidRPr="004C547A">
        <w:rPr>
          <w:rFonts w:ascii="Times New Roman" w:hAnsi="Times New Roman" w:cs="Times New Roman"/>
        </w:rPr>
        <w:t xml:space="preserve">VI – fomento à pesquisa, à exploração racional e ao beneficiamento dos recursos minerais do subsolo, por meio das iniciativas pública e privada; VII – adoção de instrumentos de controle dos direitos de pesquisa e de exploração dos recursos minerais e energéticos; VIII – adoção de mapeamento geológico básico, como suporte para o gerenciamento e a classificação de recursos minerais; IX – democratização das informações cartográficas, de geociências e de recursos naturais; ....... § 1º – Para a execução do gerenciamento previsto no inciso I, o Estado instituirá circunscrições hidrográficas integrantes do Sistema Estadual de Gerenciamento de Recursos Hídricos, na forma da lei. § 2º – Para preservação dos recursos hídricos do Estado, a lei estabelecerá as hipóteses em que será exigido o lançamento de efluentes industriais a montante do ponto de captação. § 3º – Para cumprimento do disposto no inciso V, a lei instituirá sistema estadual de rios de </w:t>
      </w:r>
      <w:r w:rsidRPr="004C547A">
        <w:rPr>
          <w:rFonts w:ascii="Times New Roman" w:hAnsi="Times New Roman" w:cs="Times New Roman"/>
        </w:rPr>
        <w:lastRenderedPageBreak/>
        <w:t xml:space="preserve">preservação permanente. </w:t>
      </w:r>
    </w:p>
    <w:p w:rsidR="006A31EB" w:rsidRPr="004C547A" w:rsidRDefault="006A31EB" w:rsidP="0053477A">
      <w:pPr>
        <w:pStyle w:val="Default"/>
        <w:numPr>
          <w:ilvl w:val="0"/>
          <w:numId w:val="15"/>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(Parágrafo regulamentado pela Lei nº 15.082, de 27/4/2004.) Art. 251 – A exploração de recursos hídricos e minerais do Estado não poderá comprometer os patrimônios natural e cultural, sob pena de responsabilidade, na forma da lei. </w:t>
      </w:r>
    </w:p>
    <w:p w:rsidR="006A31EB" w:rsidRPr="004C547A" w:rsidRDefault="006A31EB" w:rsidP="0053477A">
      <w:pPr>
        <w:pStyle w:val="Default"/>
        <w:numPr>
          <w:ilvl w:val="0"/>
          <w:numId w:val="15"/>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(Artigo regulamentado pela Lei nº 13.199, de 29/1/1999.) Art. 252 – Os recursos financeiros destinados ao Estado, resultantes de sua participação na exploração de recursos minerais em seu território ou de compensação financeira correspondente, serão, prioritariamente, aplicados de forma a garantir o disposto no art. 253, sem prejuízo da destinação assegurada no § 3º do art. 214. Art. 253 – O Estado assistirá, de modo especial, o Município que se desenvolva em torno de atividade mineradora, tendo em vista a diversificação de sua economia e a garantia de permanência de seu desenvolvimento socioeconômico. § 1º – A assistência de que trata este artigo será objeto de plano de integração e de assistência aos Municípios mineradores, a se efetivar, tanto quanto possível, por meio de associação que os congregue. § 2º – A lei que estabelecer o critério de rateio da parte disponível do imposto a que se refere o art. 144, I, b, reservará percentual específico para os Municípios considerados mineradores. </w:t>
      </w:r>
    </w:p>
    <w:p w:rsidR="006A31EB" w:rsidRPr="004C547A" w:rsidRDefault="006A31EB" w:rsidP="0053477A">
      <w:pPr>
        <w:pStyle w:val="Default"/>
        <w:numPr>
          <w:ilvl w:val="0"/>
          <w:numId w:val="15"/>
        </w:numPr>
        <w:spacing w:line="360" w:lineRule="auto"/>
        <w:ind w:left="284" w:hanging="284"/>
        <w:jc w:val="both"/>
        <w:rPr>
          <w:rFonts w:ascii="Times New Roman" w:hAnsi="Times New Roman" w:cs="Times New Roman"/>
          <w:color w:val="auto"/>
        </w:rPr>
      </w:pPr>
      <w:r w:rsidRPr="004C547A">
        <w:rPr>
          <w:rFonts w:ascii="Times New Roman" w:hAnsi="Times New Roman" w:cs="Times New Roman"/>
          <w:color w:val="auto"/>
        </w:rPr>
        <w:t xml:space="preserve">(Vide Lei nº 13.803, de 27/12/2000.) § 3º – A lei criará o Fundo de Exaustão e Assistência aos Municípios Mineradores, formado por recursos oriundos do Estado e dos Municípios interessados, cuja gestão dará prioridade </w:t>
      </w:r>
      <w:r w:rsidRPr="004C547A">
        <w:rPr>
          <w:rFonts w:ascii="Times New Roman" w:hAnsi="Times New Roman" w:cs="Times New Roman"/>
        </w:rPr>
        <w:t xml:space="preserve">à diversificação de atividades econômicas desses Municípios, na forma de lei complementar. </w:t>
      </w:r>
    </w:p>
    <w:p w:rsidR="006A31EB" w:rsidRPr="00437716" w:rsidRDefault="006A31EB" w:rsidP="00437716">
      <w:pPr>
        <w:rPr>
          <w:rFonts w:cs="Times New Roman"/>
          <w:b/>
          <w:szCs w:val="24"/>
        </w:rPr>
      </w:pPr>
      <w:bookmarkStart w:id="174" w:name="_Toc372559077"/>
      <w:r w:rsidRPr="00437716">
        <w:rPr>
          <w:rFonts w:cs="Times New Roman"/>
          <w:b/>
          <w:szCs w:val="24"/>
        </w:rPr>
        <w:t>Leis Estaduais</w:t>
      </w:r>
      <w:bookmarkEnd w:id="174"/>
    </w:p>
    <w:p w:rsidR="006A31EB" w:rsidRPr="004C547A" w:rsidRDefault="006A31EB" w:rsidP="00D06390">
      <w:pPr>
        <w:pStyle w:val="CM83"/>
        <w:spacing w:line="360" w:lineRule="auto"/>
        <w:jc w:val="both"/>
        <w:rPr>
          <w:rFonts w:ascii="Times New Roman" w:hAnsi="Times New Roman" w:cs="Times New Roman"/>
        </w:rPr>
      </w:pPr>
      <w:r w:rsidRPr="004C547A">
        <w:rPr>
          <w:rFonts w:ascii="Times New Roman" w:hAnsi="Times New Roman" w:cs="Times New Roman"/>
        </w:rPr>
        <w:t xml:space="preserve">LEI ESTADUAL Nº. 10.793 DE 1992 -“Dispõe sobre a proteção de mananciais destinados ao abastecimento público no Estado.” Art. 1º -Ficam considerados mananciais, para os efeitos desta Lei, aqueles situados a montante do ponto de captação previsto ou existente, cujas águas estejam ou venham a estar classificadas na Classe Especial e na Classe I da Resolução nº 20, de 18 de junho de 1986, do Conselho Nacional do Meio Ambiente -CONAMA -, e na Deliberação Normativa nº 10, de 16 de dezembro de 1986, do Conselho Estadual de Política Ambiental -COPAM. Art. 4º -Fica vedada a instalação, nas bacias de mananciais, dos seguintes projetos ou empreendimentos que comprometam os padrões mínimos de qualidade das águas: I -indústrias poluentes: a) fecularias; b) destilarias de </w:t>
      </w:r>
      <w:r w:rsidRPr="004C547A">
        <w:rPr>
          <w:rFonts w:ascii="Times New Roman" w:hAnsi="Times New Roman" w:cs="Times New Roman"/>
        </w:rPr>
        <w:lastRenderedPageBreak/>
        <w:t xml:space="preserve">álcool; c) metalurgias e siderurgias; d) químicas; e) artefatos de amianto; f) matadouros; g) processamento de material radioativo; h) curtumes; II -atividade extrativa vegetal ou mineral; III -estabelecimentos hospitalares: a) hospitais; b) sanatórios; c) leprosários; IV -cemitérios; V -depósito de lixo e aterro sanitário; VI -parcelamento de solo: a) loteamento; b) conjunto habitacional. </w:t>
      </w:r>
    </w:p>
    <w:p w:rsidR="006A31EB" w:rsidRPr="00437716" w:rsidRDefault="006A31EB" w:rsidP="00D06390">
      <w:pPr>
        <w:pStyle w:val="CM83"/>
        <w:spacing w:line="360" w:lineRule="auto"/>
        <w:jc w:val="both"/>
        <w:rPr>
          <w:rFonts w:ascii="Times New Roman" w:hAnsi="Times New Roman" w:cs="Times New Roman"/>
          <w:spacing w:val="-2"/>
        </w:rPr>
      </w:pPr>
      <w:r w:rsidRPr="00437716">
        <w:rPr>
          <w:rFonts w:ascii="Times New Roman" w:hAnsi="Times New Roman" w:cs="Times New Roman"/>
          <w:spacing w:val="-2"/>
        </w:rPr>
        <w:t xml:space="preserve">VII -atividade agropecuária intensiva ou hortifrutigranjeira que envolva a necessidade de aplicação de doses maciças de herbicidas, defensivos agrícolas, fertilizantes químicos e produtos veterinários organofosforados ou organoclorados; VIII -suinocultura intensiva; IX -depósito de produtos tóxicos. § 1º -Os sistemas de esgotos não ligados ao sistema público deverão ser providos de fossas sépticas, construídas segundo as normas técnicas em vigor, com seus efluentes infiltrados no terreno através de poços absorventes ou irrigação subsuperficial, assegurando-se a proteção do lençol freático, distando, no mínimo, 100 (cem) metros do manancial, independente da consideração dos limites de propriedade. § 2º -Para a proteção sanitária, as dosagens permissíveis dos produtos citados no inciso VII deste artigo serão fornecidas pela Secretaria de Estado da Saúde. § 3º -Não será permitido, para distribuição de defensivos agrícolas e fertilizantes, o uso de aeronaves ou equipamentos que utilizem correntes de ar de alta velocidade. § 4º -As quantidades armazenáveis, nas áreas de que trata o "caput" deste artigo, de produtos químicos, defensivos agrícolas, fertilizantes e produtos tóxicos serão determinadas pelos órgãos técnicos da Secretaria de Estado da Saúde. § 5º -As instalações destinadas ao confinamento de bovinos ou à suinocultura deverão ser providas de sistemas de captação de dejetos e efluentes sem comunicação com os mananciais. Art. 5º -Na área compreendida pelas bacias de mananciais, o poder público criará incentivos, inclusive fiscais, ao reflorestamento com espécies nativas, ao combate à erosão e ao assoreamento, à preservação e à recuperação de matas ciliares e vegetação nativa e à piscicultura. Art. 6º -São atividades permissíveis nas bacias de mananciais, ressalvada a competência da União: I -o turismo ecológico, excetuado o campismo; II -a pesca; III -a atividade agropecuária em escala compatível com preservação ambiental; IV -a produção hortifrutigranjeira e agrícola, desde que respeitados os limites impostos por esta Lei; V -o uso de irrigação, desde que a quantidade de água captada não implique diminuição significativa da vazão; VI -a piscicultura.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LEI ESTADUAL Nº. 10.595 DE 1992 -Proíbe a utilização de mercúrio e cianeto de sódio </w:t>
      </w:r>
      <w:r w:rsidRPr="004C547A">
        <w:rPr>
          <w:rFonts w:ascii="Times New Roman" w:hAnsi="Times New Roman" w:cs="Times New Roman"/>
        </w:rPr>
        <w:lastRenderedPageBreak/>
        <w:t xml:space="preserve">nas atividades de pesquisa mineral, lavra e garimpagem nos rios e cursos de água do Estado e dá outras providências. Art. 1º-Fica proibida a utilização de mercúrio e cianeto de sódio nas atividades de pesquisa mineral, lavra e garimpagem no leito e nas margens dos rios e cursos de água do Estado. Art. 2º-Fica proibida a utilização de balsa, draga e par de bombas nas atividades de exploração de minerais metálicos, pedras preciosas e semipreciosas nos rios e cursos de água do Estado.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LEI Nº. 11.720, DE 28 DE DEZEMBRO DE 1994 - Dispõe Sobre a Política Estadual de Saneamento Básico e dá outras Providências.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LEI ESTADUAL Nº. 12.503 DE 1997 - Cria o Programa Estadual de Conservação da Água. Art. 1º - Fica instituído o Programa Estadual de Conservação da Água, com o objetivo de proteger e preservar os recursos naturais das bacias hidrográficas sujeitas a exploração com a finalidade de abastecimento público ou de geração de energia elétrica. Art. 2º - Para a consecução dos objetivos previstos nesta lei, as empresas concessionárias de serviços de abastecimento de água e de geração de energia elétrica, públicas e privadas, ficam obrigadas a investir na proteção e na preservação ambiental da bacia hidrográfica em que ocorrer a exploração, o equivalente a, no mínimo, 0,5% (meio por cento) do valor total da receita operacional ali apurada no exercício anterior ao do investimento. Parágrafo único - Do montante de recursos financeiros a ser aplicado na recuperação ambiental, no mínimo 1/3 (um terço) será destinado à reconstituição da vegetação ciliar ao longo dos cursos de água, nos trechos intensamente degradados por atividades antrópicas. Art. 3º -O descumprimento do disposto nesta lei sujeita o infrator às penalidades previstas nos arts. 26 e 27 da Lei nº 11.504, de 20 de junho de 1994.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LEI Nº. 13.199 DE 29 DE JANEIRO DE 1999 -Dispõe sobre a Política Estadual de Recursos Hídricos e dá outras providências. </w:t>
      </w:r>
    </w:p>
    <w:p w:rsidR="006A31EB" w:rsidRPr="004C547A" w:rsidRDefault="006A31EB" w:rsidP="00D06390">
      <w:pPr>
        <w:pStyle w:val="CM96"/>
        <w:spacing w:line="360" w:lineRule="auto"/>
        <w:jc w:val="both"/>
        <w:rPr>
          <w:rFonts w:ascii="Times New Roman" w:hAnsi="Times New Roman" w:cs="Times New Roman"/>
        </w:rPr>
      </w:pPr>
      <w:r w:rsidRPr="004C547A">
        <w:rPr>
          <w:rFonts w:ascii="Times New Roman" w:hAnsi="Times New Roman" w:cs="Times New Roman"/>
        </w:rPr>
        <w:t xml:space="preserve">LEI ESTADUAL Nº. 13.771 12 DE DEZEMBRO DE 2000 – Dispõe sobre a administração, a proteção e a conservação das águas subterrâneas de domínio do Estado e dá outras providências.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LEI ESTADUAL Nº. 14.596 DE 2003 - Altera os artigos, 17, 20, 22, e 25 da lei 13. 771, de 11 de dezembro de 2000, que dispõe sobre a administração, a proteção e a conservação das águas subterrâneas de domínio do estado e dá outras providências.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lastRenderedPageBreak/>
        <w:t xml:space="preserve">LEI ESTADUAL Nº. 15.082 DE 2004 - Dispõe sobre os rios de preservação permanente e dá outras providências.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LEI Nº. 18.030, DE 12 DE JANEIRO DE 2009 - Dispõe sobre a distribuição da parcela da receita do produto da arrecadação do ICMS pertencente aos Municípios. Art. 1º - A parcela da receita do produto da arrecadação do Imposto sobre Operações Relativas à Circulação de Mercadorias e sobre Prestações de Serviços de Transporte Interestadual e Intermunicipal e de Comunicação -ICMS -pertencente aos Municípios, de que trata o § 1º do art. 150 da Constituição do Estado, será distribuída nos percentuais indicados no Anexo I desta Lei, conforme os seguintes critérios: VIII -meio ambiente; IX -saúde; ....... XII -Municípios mineradores: porcentagem média do Imposto Único sobre Minerais -IUM </w:t>
      </w:r>
      <w:r w:rsidRPr="004C547A">
        <w:rPr>
          <w:rFonts w:ascii="Times New Roman" w:hAnsi="Times New Roman" w:cs="Times New Roman"/>
        </w:rPr>
        <w:softHyphen/>
        <w:t xml:space="preserve">recebido pelos Municípios mineradores em 1988, com base em índice elaborado pela Secretaria de Estado de Fazenda, demonstrando a efetiva participação de cada um na arrecadação do IUM naquele exercício; XIII -recursos hídricos; ...... -LEI Nº. 18.031, DE 12 DE JANEIRO DE 2009 -Dispõe sobre a Política Estadual de Resíduos Sólidos. </w:t>
      </w:r>
    </w:p>
    <w:p w:rsidR="006A31EB" w:rsidRPr="004C547A" w:rsidRDefault="006A31EB" w:rsidP="00D06390">
      <w:pPr>
        <w:pStyle w:val="Default"/>
        <w:spacing w:line="360" w:lineRule="auto"/>
        <w:jc w:val="both"/>
        <w:rPr>
          <w:rFonts w:ascii="Times New Roman" w:hAnsi="Times New Roman" w:cs="Times New Roman"/>
        </w:rPr>
      </w:pPr>
      <w:r w:rsidRPr="004C547A">
        <w:rPr>
          <w:rFonts w:ascii="Times New Roman" w:hAnsi="Times New Roman" w:cs="Times New Roman"/>
        </w:rPr>
        <w:t>LEI Nº. 19.823 DE 22 DE NOVEMBRO DE 2011 -Dispõe sobre a concessão de incentivo financeiro a catadores de materiais recicláveis -bolsa reciclagem.</w:t>
      </w:r>
    </w:p>
    <w:p w:rsidR="006A31EB" w:rsidRDefault="006A31EB" w:rsidP="00D06390">
      <w:pPr>
        <w:pStyle w:val="CM96"/>
        <w:spacing w:line="360" w:lineRule="auto"/>
        <w:jc w:val="both"/>
        <w:rPr>
          <w:rFonts w:ascii="Times New Roman" w:hAnsi="Times New Roman" w:cs="Times New Roman"/>
        </w:rPr>
      </w:pPr>
      <w:r w:rsidRPr="004C547A">
        <w:rPr>
          <w:rFonts w:ascii="Times New Roman" w:hAnsi="Times New Roman" w:cs="Times New Roman"/>
        </w:rPr>
        <w:t xml:space="preserve">LEI Nº. 20.011, DE 05 DE JANEIRO DE 2012 -Dispõe sobre a política estadual de coleta, tratamento e reciclagem de óleo e gordura de origem vegetal ou animal de uso culinário e dá outras providências. </w:t>
      </w:r>
    </w:p>
    <w:p w:rsidR="006A31EB" w:rsidRPr="00437716" w:rsidRDefault="006A31EB" w:rsidP="00437716">
      <w:pPr>
        <w:rPr>
          <w:rFonts w:cs="Times New Roman"/>
          <w:b/>
          <w:szCs w:val="24"/>
        </w:rPr>
      </w:pPr>
      <w:bookmarkStart w:id="175" w:name="_Toc372559078"/>
      <w:r w:rsidRPr="00437716">
        <w:rPr>
          <w:rFonts w:cs="Times New Roman"/>
          <w:b/>
          <w:szCs w:val="24"/>
        </w:rPr>
        <w:t>Decretos, Resoluções, Portarias e Deliberações Normativas</w:t>
      </w:r>
      <w:bookmarkEnd w:id="175"/>
      <w:r w:rsidRPr="00437716">
        <w:rPr>
          <w:rFonts w:cs="Times New Roman"/>
          <w:b/>
          <w:szCs w:val="24"/>
        </w:rPr>
        <w:t xml:space="preserve">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DECRETO Nº. 36.892, DE 23 DE MAIO DE 1995 -Regulamenta o Fundo Estadual de Saneamento Básico -FESB e dá outras providências.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DECRETO ESTADUAL Nº. 41.578 DE 2001 -“Regulamenta a Lei nº 13.199, de 29 de janeiro de 1999, que dispõe sobre a Política Estadual de Recursos Hídricos.”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DECRETO Nº. 44.046, DE 13 DE JUNHO DE 2005 -Regulamenta a cobrança pelo uso de Recursos Hídricos de domínio do Estado.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DECRETO Nº. 44.547, DE 22 DE JUNHO DE 2007 -Altera o Decreto nº. 44.046, de 13 de junho de 2005, que regulamenta a cobrança pelo uso de recursos hídricos de domínio do Estado. </w:t>
      </w:r>
    </w:p>
    <w:p w:rsidR="006A31EB" w:rsidRPr="004C547A" w:rsidRDefault="006A31EB" w:rsidP="00D06390">
      <w:pPr>
        <w:pStyle w:val="Default"/>
        <w:spacing w:line="360" w:lineRule="auto"/>
        <w:jc w:val="both"/>
        <w:rPr>
          <w:rFonts w:ascii="Times New Roman" w:hAnsi="Times New Roman" w:cs="Times New Roman"/>
        </w:rPr>
      </w:pPr>
      <w:r w:rsidRPr="004C547A">
        <w:rPr>
          <w:rFonts w:ascii="Times New Roman" w:hAnsi="Times New Roman" w:cs="Times New Roman"/>
        </w:rPr>
        <w:t xml:space="preserve">DECRETO Nº. 44.945, DE 13 DE NOVEMBRO DE 2008 -Altera o Decreto nº. 44.046, de </w:t>
      </w:r>
      <w:r w:rsidRPr="004C547A">
        <w:rPr>
          <w:rFonts w:ascii="Times New Roman" w:hAnsi="Times New Roman" w:cs="Times New Roman"/>
        </w:rPr>
        <w:lastRenderedPageBreak/>
        <w:t>13 de junho de 2005, que regulamenta a cobrança pelo uso de recursos hídricos de domínio do Estado, e o Decreto nº 41.578, de 08 de março de 2001, que regulamenta a Política Estadual de Recursos Hídricos.</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DECRETO Nº. 45.181, DE 25 DE SETEMBRO DE 2009 -Regulamenta a Lei nº 18.031, de 12 de janeiro de 2009, e dá outras providências.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RESOLUÇÃO CONJUNTA SEMAD-IGAM Nº. 1548, DE 29 DE MARÇO DE 2012 -Dispõe sobre a vazão de referência para o cálculo da disponibilidade hídrica superficial nas bacias hidrográficas do Estado.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RESOLUÇÃO CONJUNTA SEF/SEMAD/IGAM Nº. 4.179, DE 29 DE DEZEMBRO DE 2009 -Dispõe sobre os procedimentos administrativos relativos à arrecadação decorrente da Cobrança pelo Uso de Recursos Hídricos no Estado de Minas Gerais (CRH/MG), e dá outras providências.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RESOLUÇÃO CONJUNTA SEMAD/IGAM Nº. 1.044, DE 30 DE OUTUBRO DE 2009 -Estabelece procedimentos e normas para a aquisição e alienação de bens, para a contratação de obras, serviços e seleção de pessoal, bem como estabelece a forma de repasse, utilização e prestação de contas com emprego de recursos públicos oriundos da Cobrança pelo Uso de Recursos Hídricos, no âmbito das Entidades Equiparadas à Agência de Bacia Hidrográfica do Estado de Minas Gerais, e dá outras providências.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PORTARIA IGAM Nº. 038, DE 21 DE DEZEMBRO DE 2009 -Institui o valor mínimo anual da cobrança pelo uso de recursos hídricos para fins de emissão do Documento de Arrecadação Estadual – DAE; dispõe sobre o parcelamento do débito consolidado, e dá outras providências.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PORTARIA IGAM Nº. 029, DE 04 DE AGOSTO DE 2009 -Convoca os usuários de recursos hídricos da sub bacia que indica para a Outorga de Lançamento de Efluentes, e dá outras providências.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PORTARIA Nº. 361, DE 23 DE OUTUBRO DE 2008 -Aprova parecer que "dispõe sobre transporte e disposição em aterros sanitários dos resíduos de serviços de saúde (RSS) no Estado de Minas Gerais, e dá outras providências". </w:t>
      </w:r>
    </w:p>
    <w:p w:rsidR="006A31EB"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DELIBERAÇÃO NORMATIVA COPAM Nº. 71, 19 DE JANEIRO DE 2004 -Estabelece normas para o licenciamento e fiscalização ambiental de estabelecimentos destinados ao </w:t>
      </w:r>
      <w:r w:rsidRPr="004C547A">
        <w:rPr>
          <w:rFonts w:ascii="Times New Roman" w:hAnsi="Times New Roman" w:cs="Times New Roman"/>
        </w:rPr>
        <w:lastRenderedPageBreak/>
        <w:t xml:space="preserve">recebimento de embalagens vazias de agrotóxicos e dá outras providências. </w:t>
      </w:r>
    </w:p>
    <w:p w:rsidR="006A31EB" w:rsidRDefault="006A31EB" w:rsidP="00D06390">
      <w:pPr>
        <w:pStyle w:val="CM83"/>
        <w:spacing w:line="360" w:lineRule="auto"/>
        <w:jc w:val="both"/>
        <w:rPr>
          <w:rFonts w:ascii="Times New Roman" w:hAnsi="Times New Roman" w:cs="Times New Roman"/>
        </w:rPr>
      </w:pPr>
      <w:r w:rsidRPr="004C547A">
        <w:rPr>
          <w:rFonts w:ascii="Times New Roman" w:hAnsi="Times New Roman" w:cs="Times New Roman"/>
        </w:rPr>
        <w:t xml:space="preserve">DELIBERAÇÃO NORMATIVA Nº. 74, DE 09 DE SETEMBRO DE 2004 -Estabelecem critérios para classificação, segundo o porte e potencial poluidor, de empreendimentos e atividades modificadoras do meio ambiente passíveis de autorização ou de licenciamento ambiental no nível estadual, determina normas para indenização dos custos de análise de pedidos de autorização e de licenciamento ambiental, e dá outras providências.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DELIBERAÇÃO NORMATIVA COPAM Nº. 90, DE 15 DE SETEMBRO DE 2005 -Dispõe sobre a declaração de informações relativas às diversas fases de gerenciamento dos resíduos sólidos industriais no Estado de Minas Gerais. </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DELIBERAÇÃO NORMATIVA CONJUNTA COPAM/CERH-MG Nº. 01, DE 05 DE MAIO DE 2008 -Dispõe sobre a classificação dos corpos de água e diretrizes ambientais para o seu enquadramento, bem como estabelece as condições e padrões de lançamento de efluentes, e dá outras providências. </w:t>
      </w:r>
    </w:p>
    <w:p w:rsidR="006A31EB"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 xml:space="preserve">DELIBERAÇÃO NORMATIVA COPAM Nº. 153, DE 26 DE JULHO DE 2010 -Convoca município para o licenciamento ambiental de sistemas de tratamento de água e dá outras providências. </w:t>
      </w:r>
    </w:p>
    <w:p w:rsidR="006A31EB" w:rsidRPr="00D06390" w:rsidRDefault="0064025D" w:rsidP="00971B37">
      <w:pPr>
        <w:pStyle w:val="Titulo"/>
      </w:pPr>
      <w:bookmarkStart w:id="176" w:name="_Toc372559079"/>
      <w:bookmarkStart w:id="177" w:name="_Toc372789511"/>
      <w:r>
        <w:t xml:space="preserve">9.2.3 </w:t>
      </w:r>
      <w:r w:rsidR="006A31EB" w:rsidRPr="00D06390">
        <w:t>Legislação Municipal</w:t>
      </w:r>
      <w:bookmarkEnd w:id="176"/>
      <w:bookmarkEnd w:id="177"/>
      <w:r w:rsidR="006A31EB" w:rsidRPr="00D06390">
        <w:t xml:space="preserve"> </w:t>
      </w:r>
    </w:p>
    <w:p w:rsidR="006A31EB" w:rsidRPr="004C547A" w:rsidRDefault="006A31EB" w:rsidP="00D06390">
      <w:pPr>
        <w:pStyle w:val="CM83"/>
        <w:spacing w:line="360" w:lineRule="auto"/>
        <w:jc w:val="both"/>
        <w:rPr>
          <w:rFonts w:ascii="Times New Roman" w:hAnsi="Times New Roman" w:cs="Times New Roman"/>
        </w:rPr>
      </w:pPr>
      <w:r w:rsidRPr="004C547A">
        <w:rPr>
          <w:rFonts w:ascii="Times New Roman" w:hAnsi="Times New Roman" w:cs="Times New Roman"/>
        </w:rPr>
        <w:t>LEI N°. 1.177 – Institui o código de posturas do município de Aimorés – MG, e da outras providências.</w:t>
      </w:r>
    </w:p>
    <w:p w:rsidR="006A31EB" w:rsidRPr="004C547A" w:rsidRDefault="006A31EB" w:rsidP="00D06390">
      <w:pPr>
        <w:pStyle w:val="CM83"/>
        <w:spacing w:line="360" w:lineRule="auto"/>
        <w:jc w:val="both"/>
        <w:rPr>
          <w:rFonts w:ascii="Times New Roman" w:hAnsi="Times New Roman" w:cs="Times New Roman"/>
        </w:rPr>
      </w:pPr>
      <w:r w:rsidRPr="004C547A">
        <w:rPr>
          <w:rFonts w:ascii="Times New Roman" w:hAnsi="Times New Roman" w:cs="Times New Roman"/>
        </w:rPr>
        <w:t>LEI N°. 1673/2001 DE 27 DE NOVEMBRO DE 2001 – Dispõe sobre a organização, a estrutura orgânica e os procedimentos da Administração do município de Aimorés.</w:t>
      </w:r>
    </w:p>
    <w:p w:rsidR="006A31EB" w:rsidRPr="004C547A" w:rsidRDefault="006A31EB" w:rsidP="00D06390">
      <w:pPr>
        <w:pStyle w:val="CM83"/>
        <w:spacing w:line="360" w:lineRule="auto"/>
        <w:jc w:val="both"/>
        <w:rPr>
          <w:rFonts w:ascii="Times New Roman" w:hAnsi="Times New Roman" w:cs="Times New Roman"/>
        </w:rPr>
      </w:pPr>
      <w:r w:rsidRPr="004C547A">
        <w:rPr>
          <w:rFonts w:ascii="Times New Roman" w:hAnsi="Times New Roman" w:cs="Times New Roman"/>
        </w:rPr>
        <w:t>LEI N°. 1676/2001– Regulamenta os serviços públicos de água e esgoto de Aimorés, Estados de Minas Gerais e da outras providencias.</w:t>
      </w:r>
    </w:p>
    <w:p w:rsidR="006A31EB" w:rsidRPr="004C547A" w:rsidRDefault="006A31EB" w:rsidP="00D06390">
      <w:pPr>
        <w:pStyle w:val="CM83"/>
        <w:spacing w:line="360" w:lineRule="auto"/>
        <w:jc w:val="both"/>
        <w:rPr>
          <w:rFonts w:ascii="Times New Roman" w:hAnsi="Times New Roman" w:cs="Times New Roman"/>
        </w:rPr>
      </w:pPr>
      <w:r w:rsidRPr="004C547A">
        <w:rPr>
          <w:rFonts w:ascii="Times New Roman" w:hAnsi="Times New Roman" w:cs="Times New Roman"/>
        </w:rPr>
        <w:t>LEI ORGÂNICA DO MUNICÍPIO DE AIMORÉS /MG – Atualizada pela emenda revisional n° 001/2006, de 08 de dezembro de 2006.</w:t>
      </w:r>
    </w:p>
    <w:p w:rsidR="006A31EB" w:rsidRPr="004C547A" w:rsidRDefault="006A31EB" w:rsidP="00D06390">
      <w:pPr>
        <w:pStyle w:val="CM83"/>
        <w:spacing w:line="360" w:lineRule="auto"/>
        <w:jc w:val="both"/>
        <w:rPr>
          <w:rFonts w:ascii="Times New Roman" w:hAnsi="Times New Roman" w:cs="Times New Roman"/>
        </w:rPr>
      </w:pPr>
      <w:r w:rsidRPr="004C547A">
        <w:rPr>
          <w:rFonts w:ascii="Times New Roman" w:hAnsi="Times New Roman" w:cs="Times New Roman"/>
        </w:rPr>
        <w:t>LEI N°. 665/69 - Cria o Serviço autônomo de Água e Esgoto e da outras providências.  Entidade autárquica municipal SAAE.</w:t>
      </w:r>
    </w:p>
    <w:p w:rsidR="006A31EB" w:rsidRPr="004C547A" w:rsidRDefault="006A31EB" w:rsidP="00D06390">
      <w:pPr>
        <w:pStyle w:val="Default"/>
        <w:spacing w:line="360" w:lineRule="auto"/>
        <w:jc w:val="both"/>
        <w:rPr>
          <w:rFonts w:ascii="Times New Roman" w:hAnsi="Times New Roman" w:cs="Times New Roman"/>
        </w:rPr>
      </w:pPr>
      <w:r w:rsidRPr="004C547A">
        <w:rPr>
          <w:rFonts w:ascii="Times New Roman" w:hAnsi="Times New Roman" w:cs="Times New Roman"/>
        </w:rPr>
        <w:t xml:space="preserve">LEI N° 1.491/95 – Dispõe sobre a Estrutura Administrativa do Serviço de Água e Esgoto(SAAE) do município de Aimorés - MG e, da outras providências. O título II - Dispõe sobre a estrutura administrativa do SAAE em consonância com suas finalidades e </w:t>
      </w:r>
      <w:r w:rsidRPr="004C547A">
        <w:rPr>
          <w:rFonts w:ascii="Times New Roman" w:hAnsi="Times New Roman" w:cs="Times New Roman"/>
        </w:rPr>
        <w:lastRenderedPageBreak/>
        <w:t>características, e ainda constituição da mesma. O título IV – dispõe sobre a implantação da estrutura administrativa. O título VI – dispõe sobre a criação dos cargos de provimento em comissão e as funções de confiança do SAAE de Aimorés.  O título VII – Dispõe sobra as disposições finais e transitórias.</w:t>
      </w:r>
    </w:p>
    <w:p w:rsidR="006A31EB" w:rsidRPr="004C547A" w:rsidRDefault="006A31EB" w:rsidP="00D06390">
      <w:pPr>
        <w:pStyle w:val="CM71"/>
        <w:spacing w:line="360" w:lineRule="auto"/>
        <w:jc w:val="both"/>
        <w:rPr>
          <w:rFonts w:ascii="Times New Roman" w:hAnsi="Times New Roman" w:cs="Times New Roman"/>
        </w:rPr>
      </w:pPr>
      <w:r w:rsidRPr="004C547A">
        <w:rPr>
          <w:rFonts w:ascii="Times New Roman" w:hAnsi="Times New Roman" w:cs="Times New Roman"/>
        </w:rPr>
        <w:t>LEI – 1.788/05 – Dispõe sobre o reajuste da tarifa de água do SAAE e da outras providências.</w:t>
      </w:r>
    </w:p>
    <w:p w:rsidR="006A31EB" w:rsidRPr="004C547A" w:rsidRDefault="006A31EB" w:rsidP="00D06390">
      <w:pPr>
        <w:pStyle w:val="CM70"/>
        <w:spacing w:line="360" w:lineRule="auto"/>
        <w:jc w:val="both"/>
        <w:rPr>
          <w:rFonts w:ascii="Times New Roman" w:hAnsi="Times New Roman" w:cs="Times New Roman"/>
        </w:rPr>
      </w:pPr>
      <w:r w:rsidRPr="004C547A">
        <w:rPr>
          <w:rFonts w:ascii="Times New Roman" w:hAnsi="Times New Roman" w:cs="Times New Roman"/>
        </w:rPr>
        <w:t>LEI COMPLEMENTAR Nº. 2000 DE 03 DE DEZEMBRO DE 2008 - Instituiu o Plano Diretor do Município de Aimorés. O t</w:t>
      </w:r>
      <w:r w:rsidR="00272BAF">
        <w:rPr>
          <w:rFonts w:ascii="Times New Roman" w:hAnsi="Times New Roman" w:cs="Times New Roman"/>
        </w:rPr>
        <w:t>í</w:t>
      </w:r>
      <w:r w:rsidRPr="004C547A">
        <w:rPr>
          <w:rFonts w:ascii="Times New Roman" w:hAnsi="Times New Roman" w:cs="Times New Roman"/>
        </w:rPr>
        <w:t>tulo II – estabelece sobre o ordenamento territorial.  O capitulo IV dispõe sobre as áreas de interesse Especial. O cap</w:t>
      </w:r>
      <w:r w:rsidR="00272BAF">
        <w:rPr>
          <w:rFonts w:ascii="Times New Roman" w:hAnsi="Times New Roman" w:cs="Times New Roman"/>
        </w:rPr>
        <w:t>í</w:t>
      </w:r>
      <w:r w:rsidRPr="004C547A">
        <w:rPr>
          <w:rFonts w:ascii="Times New Roman" w:hAnsi="Times New Roman" w:cs="Times New Roman"/>
        </w:rPr>
        <w:t>tulo V dispõe sobre a legislação Urbanística municipal. Seção V dispõe sobre o Conforto Ambiental e da Eficiência Energética. O Capítulo VII – dispõe sobre a Gestão Ambiental do território. O t</w:t>
      </w:r>
      <w:r w:rsidR="00272BAF">
        <w:rPr>
          <w:rFonts w:ascii="Times New Roman" w:hAnsi="Times New Roman" w:cs="Times New Roman"/>
        </w:rPr>
        <w:t>í</w:t>
      </w:r>
      <w:r w:rsidRPr="004C547A">
        <w:rPr>
          <w:rFonts w:ascii="Times New Roman" w:hAnsi="Times New Roman" w:cs="Times New Roman"/>
        </w:rPr>
        <w:t>tulo II – dispõe sobre as diretrizes setoriais, em seu capitulo II dispõe dos sistemas viário, circulação e transporte. Capítulo III – Dispõe do saneamento Ambiental. O título IV Dispõe sobre as diretrizes do desenvolvimento municipal, assegurando o crescimento com justiça social e proteção ambiental. No cap</w:t>
      </w:r>
      <w:r w:rsidR="00272BAF">
        <w:rPr>
          <w:rFonts w:ascii="Times New Roman" w:hAnsi="Times New Roman" w:cs="Times New Roman"/>
        </w:rPr>
        <w:t>í</w:t>
      </w:r>
      <w:r w:rsidRPr="004C547A">
        <w:rPr>
          <w:rFonts w:ascii="Times New Roman" w:hAnsi="Times New Roman" w:cs="Times New Roman"/>
        </w:rPr>
        <w:t>tulo I do t</w:t>
      </w:r>
      <w:r w:rsidR="00272BAF">
        <w:rPr>
          <w:rFonts w:ascii="Times New Roman" w:hAnsi="Times New Roman" w:cs="Times New Roman"/>
        </w:rPr>
        <w:t>í</w:t>
      </w:r>
      <w:r w:rsidRPr="004C547A">
        <w:rPr>
          <w:rFonts w:ascii="Times New Roman" w:hAnsi="Times New Roman" w:cs="Times New Roman"/>
        </w:rPr>
        <w:t>tulo acima dispõe das diretrizes do desenvolvimento econômico.  O cap</w:t>
      </w:r>
      <w:r w:rsidR="00272BAF">
        <w:rPr>
          <w:rFonts w:ascii="Times New Roman" w:hAnsi="Times New Roman" w:cs="Times New Roman"/>
        </w:rPr>
        <w:t>í</w:t>
      </w:r>
      <w:r w:rsidRPr="004C547A">
        <w:rPr>
          <w:rFonts w:ascii="Times New Roman" w:hAnsi="Times New Roman" w:cs="Times New Roman"/>
        </w:rPr>
        <w:t>tulo II – Dispõe sobre as diretrizes do desenvolvimento Social. T</w:t>
      </w:r>
      <w:r w:rsidR="00272BAF">
        <w:rPr>
          <w:rFonts w:ascii="Times New Roman" w:hAnsi="Times New Roman" w:cs="Times New Roman"/>
        </w:rPr>
        <w:t>í</w:t>
      </w:r>
      <w:r w:rsidRPr="004C547A">
        <w:rPr>
          <w:rFonts w:ascii="Times New Roman" w:hAnsi="Times New Roman" w:cs="Times New Roman"/>
        </w:rPr>
        <w:t>tulo V – Dispõe sobre a implementação e gestão do Plano Diretor Municipal. O Capítulo II – Dispões sobre a gestão do Plano Diretor. O capítulo III – Dispõe sobre o sistema Municipal de planejamento e gestão. O Capitulo IV – Dispõe sobre a criação do fundo municipal de desenvolvimento. O capítulo V – Dispõe sobre a definição dos instrumentos da política Urbana. O t</w:t>
      </w:r>
      <w:r w:rsidR="00272BAF">
        <w:rPr>
          <w:rFonts w:ascii="Times New Roman" w:hAnsi="Times New Roman" w:cs="Times New Roman"/>
        </w:rPr>
        <w:t>í</w:t>
      </w:r>
      <w:r w:rsidRPr="004C547A">
        <w:rPr>
          <w:rFonts w:ascii="Times New Roman" w:hAnsi="Times New Roman" w:cs="Times New Roman"/>
        </w:rPr>
        <w:t>tulo VI – Dispõe sobre as disposições finais transitórias e seus anexos.</w:t>
      </w:r>
    </w:p>
    <w:p w:rsidR="006A31EB" w:rsidRPr="0094421F" w:rsidRDefault="006A31EB" w:rsidP="00D06390">
      <w:pPr>
        <w:pStyle w:val="CM35"/>
        <w:spacing w:line="360" w:lineRule="auto"/>
        <w:jc w:val="both"/>
        <w:rPr>
          <w:rFonts w:ascii="Times New Roman" w:hAnsi="Times New Roman" w:cs="Times New Roman"/>
          <w:spacing w:val="-4"/>
        </w:rPr>
      </w:pPr>
      <w:r w:rsidRPr="0094421F">
        <w:rPr>
          <w:rFonts w:ascii="Times New Roman" w:hAnsi="Times New Roman" w:cs="Times New Roman"/>
          <w:spacing w:val="-4"/>
        </w:rPr>
        <w:t xml:space="preserve">LEI COMPLEMENTAR N°. 2.268 DE 2011. Altera a Lei Complementar Municipal n° 2.000/2008, que estabelece o Plano Diretor do Município de Aimorés e dá outras providências altera redação abaixo; Art. 9º; o §3°do art. 12; inclusão do parágrafo único no art. 13; o anexo I da lei 2.268 prevalecerá sobre o anexo I da Lei Complementar Municipal nº 2000/2008; a alínea “b” do inciso IV do art. 14; § 1º do art.14; inclusão do §6 º ao art. 14; inclusão dos §§ 3º, 4º, 5º e 6º ao art. 18; alteração das alíneas “a” e “b” do inciso II do art.21; alteração da redação do inciso V    do art.21; alteração da redação do inciso VI do art.21;  revogação dos incisos I e II do art.24; alteração da redação dos §§ 1º e  2º do art. 24 ainda da lei 2000/2008; a exclusão dos  §§ 4º, 5º, 6º  e 7º do art. 24; alteração das redações dos arts. 25 e 26 do plano diretor participativo </w:t>
      </w:r>
      <w:r w:rsidRPr="0094421F">
        <w:rPr>
          <w:rFonts w:ascii="Times New Roman" w:hAnsi="Times New Roman" w:cs="Times New Roman"/>
          <w:spacing w:val="-4"/>
        </w:rPr>
        <w:lastRenderedPageBreak/>
        <w:t>municipal de Aimorés.</w:t>
      </w:r>
    </w:p>
    <w:p w:rsidR="006A31EB" w:rsidRPr="004C547A" w:rsidRDefault="006A31EB" w:rsidP="00D06390">
      <w:pPr>
        <w:spacing w:after="0" w:line="360" w:lineRule="auto"/>
        <w:jc w:val="both"/>
        <w:rPr>
          <w:rFonts w:cs="Times New Roman"/>
          <w:szCs w:val="24"/>
        </w:rPr>
      </w:pPr>
      <w:r w:rsidRPr="004C547A">
        <w:rPr>
          <w:rFonts w:cs="Times New Roman"/>
          <w:szCs w:val="24"/>
        </w:rPr>
        <w:t>DECRETO N°. 085 DE 27 DE AGOSTO DE 2013 – Institui o Comitê de Coordenação e dispõe sobre o processo de elaboração e da Política pública de Saneamento Básico e do respectivo Plano Municipal de Saneamento Básico de Aimorés/MG.</w:t>
      </w:r>
    </w:p>
    <w:p w:rsidR="006A31EB" w:rsidRDefault="006A31EB" w:rsidP="00D06390">
      <w:pPr>
        <w:spacing w:after="0" w:line="360" w:lineRule="auto"/>
        <w:jc w:val="both"/>
        <w:rPr>
          <w:rFonts w:cs="Times New Roman"/>
          <w:szCs w:val="24"/>
        </w:rPr>
      </w:pPr>
      <w:r w:rsidRPr="004C547A">
        <w:rPr>
          <w:rFonts w:cs="Times New Roman"/>
          <w:szCs w:val="24"/>
        </w:rPr>
        <w:t>PORTARIA N°. 0242 DE 27 DE AGOSTO DE 2013 – Institui o Comitê Executivo e dispõe sobre o processo de elaboração e da Política pública de Saneamento Básico e do respectivo Plano Municipal de Saneamento Básico de Aimorés/MG.</w:t>
      </w:r>
    </w:p>
    <w:p w:rsidR="00C02BBF" w:rsidRDefault="00C02BBF">
      <w:pPr>
        <w:spacing w:after="200" w:line="276" w:lineRule="auto"/>
        <w:rPr>
          <w:rFonts w:eastAsiaTheme="minorEastAsia" w:cs="Arial"/>
          <w:b/>
          <w:bCs/>
          <w:lang w:eastAsia="pt-BR"/>
        </w:rPr>
      </w:pPr>
      <w:r>
        <w:br w:type="page"/>
      </w:r>
    </w:p>
    <w:p w:rsidR="00DD1974" w:rsidRPr="00A275C9" w:rsidRDefault="00C02BBF" w:rsidP="00971B37">
      <w:pPr>
        <w:pStyle w:val="Titulo"/>
      </w:pPr>
      <w:bookmarkStart w:id="178" w:name="_Toc372559080"/>
      <w:bookmarkStart w:id="179" w:name="_Toc372789512"/>
      <w:r>
        <w:lastRenderedPageBreak/>
        <w:t xml:space="preserve">10 </w:t>
      </w:r>
      <w:r w:rsidR="00DD1974" w:rsidRPr="00B55826">
        <w:t>ASPECTOS DOS SERVIÇOS PÚBLICOS</w:t>
      </w:r>
      <w:bookmarkEnd w:id="178"/>
      <w:bookmarkEnd w:id="179"/>
    </w:p>
    <w:p w:rsidR="00DD1974" w:rsidRPr="00B55826" w:rsidRDefault="00C02BBF" w:rsidP="00971B37">
      <w:pPr>
        <w:pStyle w:val="Titulo"/>
      </w:pPr>
      <w:bookmarkStart w:id="180" w:name="_Toc372559081"/>
      <w:bookmarkStart w:id="181" w:name="_Toc372789513"/>
      <w:r>
        <w:t xml:space="preserve">10.1 </w:t>
      </w:r>
      <w:r w:rsidR="00DD1974" w:rsidRPr="00437716">
        <w:t>Saneamento</w:t>
      </w:r>
      <w:r w:rsidR="00DD1974" w:rsidRPr="00B55826">
        <w:t xml:space="preserve"> Básico</w:t>
      </w:r>
      <w:bookmarkEnd w:id="180"/>
      <w:bookmarkEnd w:id="181"/>
    </w:p>
    <w:p w:rsidR="00DD1974" w:rsidRPr="0038012F" w:rsidRDefault="00DD1974" w:rsidP="00C02BBF">
      <w:pPr>
        <w:pStyle w:val="CM73"/>
        <w:spacing w:line="360" w:lineRule="auto"/>
        <w:ind w:firstLine="709"/>
        <w:jc w:val="both"/>
        <w:rPr>
          <w:rFonts w:ascii="Times New Roman" w:hAnsi="Times New Roman" w:cs="Times New Roman"/>
          <w:szCs w:val="22"/>
        </w:rPr>
      </w:pPr>
      <w:r w:rsidRPr="0038012F">
        <w:rPr>
          <w:rFonts w:ascii="Times New Roman" w:hAnsi="Times New Roman" w:cs="Times New Roman"/>
          <w:szCs w:val="22"/>
        </w:rPr>
        <w:t xml:space="preserve">Saneamento Básico é o conjunto de medidas que visam à preservação ou modificação das condições do ambiente com a finalidade de controlar e prevenir doenças, melhorar a qualidade de vida da população, aumentar a produtividade do indivíduo e facilitar a atividade econômica. </w:t>
      </w:r>
    </w:p>
    <w:p w:rsidR="00DD1974" w:rsidRPr="0038012F" w:rsidRDefault="00DD1974" w:rsidP="00C02BBF">
      <w:pPr>
        <w:pStyle w:val="CM73"/>
        <w:spacing w:line="360" w:lineRule="auto"/>
        <w:ind w:firstLine="709"/>
        <w:jc w:val="both"/>
        <w:rPr>
          <w:rFonts w:ascii="Times New Roman" w:hAnsi="Times New Roman" w:cs="Times New Roman"/>
          <w:szCs w:val="22"/>
        </w:rPr>
      </w:pPr>
      <w:r w:rsidRPr="0038012F">
        <w:rPr>
          <w:rFonts w:ascii="Times New Roman" w:hAnsi="Times New Roman" w:cs="Times New Roman"/>
          <w:szCs w:val="22"/>
        </w:rPr>
        <w:t>A disponibilidade de serviços de saneamento, englobando oferta de água, esgotamento sanitário adequado, coleta de lixo e drenagem das águas pluviais, apresenta</w:t>
      </w:r>
      <w:r w:rsidRPr="0038012F">
        <w:rPr>
          <w:rFonts w:ascii="Times New Roman" w:hAnsi="Times New Roman" w:cs="Times New Roman"/>
          <w:szCs w:val="22"/>
        </w:rPr>
        <w:softHyphen/>
      </w:r>
      <w:r w:rsidR="0038012F">
        <w:rPr>
          <w:rFonts w:ascii="Times New Roman" w:hAnsi="Times New Roman" w:cs="Times New Roman"/>
          <w:szCs w:val="22"/>
        </w:rPr>
        <w:t>-</w:t>
      </w:r>
      <w:r w:rsidRPr="0038012F">
        <w:rPr>
          <w:rFonts w:ascii="Times New Roman" w:hAnsi="Times New Roman" w:cs="Times New Roman"/>
          <w:szCs w:val="22"/>
        </w:rPr>
        <w:t xml:space="preserve">se como mais um indicador das desigualdades sociais devido à possibilidade de dimensionar o grau de acesso, já que esses serviços têm efeitos diretos na qualidade de vida da população. </w:t>
      </w:r>
    </w:p>
    <w:p w:rsidR="00DD1974" w:rsidRPr="0038012F" w:rsidRDefault="00DD1974" w:rsidP="00C02BBF">
      <w:pPr>
        <w:pStyle w:val="CM73"/>
        <w:spacing w:line="360" w:lineRule="auto"/>
        <w:ind w:firstLine="709"/>
        <w:jc w:val="both"/>
        <w:rPr>
          <w:rFonts w:ascii="Times New Roman" w:hAnsi="Times New Roman" w:cs="Times New Roman"/>
          <w:szCs w:val="22"/>
        </w:rPr>
      </w:pPr>
      <w:r w:rsidRPr="0038012F">
        <w:rPr>
          <w:rFonts w:ascii="Times New Roman" w:hAnsi="Times New Roman" w:cs="Times New Roman"/>
          <w:szCs w:val="22"/>
        </w:rPr>
        <w:t xml:space="preserve">A situação do sistema de saneamento de </w:t>
      </w:r>
      <w:r w:rsidR="0038012F" w:rsidRPr="0038012F">
        <w:rPr>
          <w:rFonts w:ascii="Times New Roman" w:hAnsi="Times New Roman" w:cs="Times New Roman"/>
          <w:szCs w:val="22"/>
        </w:rPr>
        <w:t>Aimorés</w:t>
      </w:r>
      <w:r w:rsidRPr="0038012F">
        <w:rPr>
          <w:rFonts w:ascii="Times New Roman" w:hAnsi="Times New Roman" w:cs="Times New Roman"/>
          <w:szCs w:val="22"/>
        </w:rPr>
        <w:t xml:space="preserve"> </w:t>
      </w:r>
      <w:r w:rsidR="00B244CE" w:rsidRPr="0038012F">
        <w:rPr>
          <w:rFonts w:ascii="Times New Roman" w:hAnsi="Times New Roman" w:cs="Times New Roman"/>
          <w:szCs w:val="22"/>
        </w:rPr>
        <w:t>está</w:t>
      </w:r>
      <w:r w:rsidRPr="0038012F">
        <w:rPr>
          <w:rFonts w:ascii="Times New Roman" w:hAnsi="Times New Roman" w:cs="Times New Roman"/>
          <w:szCs w:val="22"/>
        </w:rPr>
        <w:t xml:space="preserve"> em desenvolvimento, tendo em vis</w:t>
      </w:r>
      <w:r w:rsidR="0038012F">
        <w:rPr>
          <w:rFonts w:ascii="Times New Roman" w:hAnsi="Times New Roman" w:cs="Times New Roman"/>
          <w:szCs w:val="22"/>
        </w:rPr>
        <w:t>ta que o município criou em 1969</w:t>
      </w:r>
      <w:r w:rsidRPr="0038012F">
        <w:rPr>
          <w:rFonts w:ascii="Times New Roman" w:hAnsi="Times New Roman" w:cs="Times New Roman"/>
          <w:szCs w:val="22"/>
        </w:rPr>
        <w:t xml:space="preserve"> sua autarquia municipal denominada Serviço </w:t>
      </w:r>
      <w:r w:rsidR="0038012F">
        <w:rPr>
          <w:rFonts w:ascii="Times New Roman" w:hAnsi="Times New Roman" w:cs="Times New Roman"/>
          <w:szCs w:val="22"/>
        </w:rPr>
        <w:t>Autônomo de Água e Esgoto – SAAE</w:t>
      </w:r>
      <w:r w:rsidRPr="0038012F">
        <w:rPr>
          <w:rFonts w:ascii="Times New Roman" w:hAnsi="Times New Roman" w:cs="Times New Roman"/>
          <w:szCs w:val="22"/>
        </w:rPr>
        <w:t>, para cuidar dos serviços de abastecimento de água e esgotamento sanitário, o serviço de coleta e tratamento final de resíduos está diretamente ligada à Secretaria Municipal de Meio Ambiente, o serviço de drenagem das águas pluviais est</w:t>
      </w:r>
      <w:r w:rsidR="00272BAF">
        <w:rPr>
          <w:rFonts w:ascii="Times New Roman" w:hAnsi="Times New Roman" w:cs="Times New Roman"/>
          <w:szCs w:val="22"/>
        </w:rPr>
        <w:t>á</w:t>
      </w:r>
      <w:r w:rsidRPr="0038012F">
        <w:rPr>
          <w:rFonts w:ascii="Times New Roman" w:hAnsi="Times New Roman" w:cs="Times New Roman"/>
          <w:szCs w:val="22"/>
        </w:rPr>
        <w:t xml:space="preserve"> ligado à Secretaria Municipal de Obras. </w:t>
      </w:r>
    </w:p>
    <w:p w:rsidR="00DD1974" w:rsidRPr="0038012F" w:rsidRDefault="00DD1974" w:rsidP="00C02BBF">
      <w:pPr>
        <w:pStyle w:val="CM73"/>
        <w:spacing w:line="360" w:lineRule="auto"/>
        <w:ind w:firstLine="709"/>
        <w:jc w:val="both"/>
        <w:rPr>
          <w:rFonts w:ascii="Times New Roman" w:hAnsi="Times New Roman" w:cs="Times New Roman"/>
          <w:szCs w:val="22"/>
        </w:rPr>
      </w:pPr>
      <w:r w:rsidRPr="0038012F">
        <w:rPr>
          <w:rFonts w:ascii="Times New Roman" w:hAnsi="Times New Roman" w:cs="Times New Roman"/>
          <w:szCs w:val="22"/>
        </w:rPr>
        <w:t xml:space="preserve">A Secretaria Municipal de Saúde, Secretaria Municipal de Patrimônio e Desenvolvimento Urbano e Secretaria Municipal de Planejamento e Gestão, desempenham as funções dos serviços de drenagem urbana e manejo de águas pluviais e coleta de resíduos sólidos, que ajudam a consolidar os serviços de saneamento na sede e nos distritos de </w:t>
      </w:r>
      <w:r w:rsidR="0038012F" w:rsidRPr="0038012F">
        <w:rPr>
          <w:rFonts w:ascii="Times New Roman" w:hAnsi="Times New Roman" w:cs="Times New Roman"/>
          <w:szCs w:val="22"/>
        </w:rPr>
        <w:t>Aimorés</w:t>
      </w:r>
      <w:r w:rsidRPr="0038012F">
        <w:rPr>
          <w:rFonts w:ascii="Times New Roman" w:hAnsi="Times New Roman" w:cs="Times New Roman"/>
          <w:szCs w:val="22"/>
        </w:rPr>
        <w:t xml:space="preserve">. </w:t>
      </w:r>
    </w:p>
    <w:p w:rsidR="00DD1974" w:rsidRDefault="00DD1974" w:rsidP="00C02BBF">
      <w:pPr>
        <w:pStyle w:val="CM73"/>
        <w:spacing w:line="360" w:lineRule="auto"/>
        <w:ind w:firstLine="709"/>
        <w:jc w:val="both"/>
        <w:rPr>
          <w:rFonts w:ascii="Times New Roman" w:hAnsi="Times New Roman" w:cs="Times New Roman"/>
          <w:szCs w:val="22"/>
        </w:rPr>
      </w:pPr>
      <w:r w:rsidRPr="0038012F">
        <w:rPr>
          <w:rFonts w:ascii="Times New Roman" w:hAnsi="Times New Roman" w:cs="Times New Roman"/>
          <w:szCs w:val="22"/>
        </w:rPr>
        <w:t>Este item, que tem caráter introdutório, pode-se citar que os dados sobre as condições do saneamento de uma maneira geral e em específico aos serviços de água e esgo</w:t>
      </w:r>
      <w:r w:rsidR="00497B30">
        <w:rPr>
          <w:rFonts w:ascii="Times New Roman" w:hAnsi="Times New Roman" w:cs="Times New Roman"/>
          <w:szCs w:val="22"/>
        </w:rPr>
        <w:t>to anteriores à criação do SAAE</w:t>
      </w:r>
      <w:r w:rsidRPr="0038012F">
        <w:rPr>
          <w:rFonts w:ascii="Times New Roman" w:hAnsi="Times New Roman" w:cs="Times New Roman"/>
          <w:szCs w:val="22"/>
        </w:rPr>
        <w:t xml:space="preserve"> não foram disponibilizados. </w:t>
      </w:r>
    </w:p>
    <w:p w:rsidR="00DD1974" w:rsidRPr="0038012F" w:rsidRDefault="00C02BBF" w:rsidP="00971B37">
      <w:pPr>
        <w:pStyle w:val="Titulo"/>
      </w:pPr>
      <w:bookmarkStart w:id="182" w:name="_Toc372559082"/>
      <w:bookmarkStart w:id="183" w:name="_Toc372789514"/>
      <w:r>
        <w:t xml:space="preserve">10.2 </w:t>
      </w:r>
      <w:r w:rsidR="00DD1974" w:rsidRPr="00437716">
        <w:t>Abastecimento</w:t>
      </w:r>
      <w:r w:rsidR="00DD1974" w:rsidRPr="0038012F">
        <w:t xml:space="preserve"> de Água</w:t>
      </w:r>
      <w:bookmarkEnd w:id="182"/>
      <w:bookmarkEnd w:id="183"/>
    </w:p>
    <w:p w:rsidR="00DD1974" w:rsidRDefault="00DD1974" w:rsidP="00C02BBF">
      <w:pPr>
        <w:pStyle w:val="CM73"/>
        <w:spacing w:line="360" w:lineRule="auto"/>
        <w:ind w:firstLine="709"/>
        <w:jc w:val="both"/>
        <w:rPr>
          <w:rFonts w:ascii="Times New Roman" w:hAnsi="Times New Roman" w:cs="Times New Roman"/>
          <w:szCs w:val="22"/>
        </w:rPr>
      </w:pPr>
      <w:r w:rsidRPr="0038012F">
        <w:rPr>
          <w:rFonts w:ascii="Times New Roman" w:hAnsi="Times New Roman" w:cs="Times New Roman"/>
          <w:szCs w:val="22"/>
        </w:rPr>
        <w:t xml:space="preserve">O abastecimento de água no município de </w:t>
      </w:r>
      <w:r w:rsidR="0038012F" w:rsidRPr="0038012F">
        <w:rPr>
          <w:rFonts w:ascii="Times New Roman" w:hAnsi="Times New Roman" w:cs="Times New Roman"/>
          <w:szCs w:val="22"/>
        </w:rPr>
        <w:t>Aimorés</w:t>
      </w:r>
      <w:r w:rsidRPr="0038012F">
        <w:rPr>
          <w:rFonts w:ascii="Times New Roman" w:hAnsi="Times New Roman" w:cs="Times New Roman"/>
          <w:szCs w:val="22"/>
        </w:rPr>
        <w:t xml:space="preserve">, segundo análise dos dados do </w:t>
      </w:r>
      <w:r w:rsidR="005E1505">
        <w:rPr>
          <w:rFonts w:ascii="Times New Roman" w:hAnsi="Times New Roman" w:cs="Times New Roman"/>
          <w:szCs w:val="22"/>
        </w:rPr>
        <w:t>IBGE (2010)</w:t>
      </w:r>
      <w:r w:rsidRPr="0038012F">
        <w:rPr>
          <w:rFonts w:ascii="Times New Roman" w:hAnsi="Times New Roman" w:cs="Times New Roman"/>
          <w:szCs w:val="22"/>
        </w:rPr>
        <w:t>, ating</w:t>
      </w:r>
      <w:r w:rsidR="00C02BBF">
        <w:rPr>
          <w:rFonts w:ascii="Times New Roman" w:hAnsi="Times New Roman" w:cs="Times New Roman"/>
          <w:szCs w:val="22"/>
        </w:rPr>
        <w:t>ia</w:t>
      </w:r>
      <w:r w:rsidRPr="0038012F">
        <w:rPr>
          <w:rFonts w:ascii="Times New Roman" w:hAnsi="Times New Roman" w:cs="Times New Roman"/>
          <w:szCs w:val="22"/>
        </w:rPr>
        <w:t xml:space="preserve"> </w:t>
      </w:r>
      <w:r w:rsidR="005E1505">
        <w:rPr>
          <w:rFonts w:ascii="Times New Roman" w:hAnsi="Times New Roman" w:cs="Times New Roman"/>
          <w:szCs w:val="22"/>
        </w:rPr>
        <w:t>80,17</w:t>
      </w:r>
      <w:r w:rsidRPr="0038012F">
        <w:rPr>
          <w:rFonts w:ascii="Times New Roman" w:hAnsi="Times New Roman" w:cs="Times New Roman"/>
          <w:szCs w:val="22"/>
        </w:rPr>
        <w:t xml:space="preserve">% dos domicílios localizados na sede e nos distritos. </w:t>
      </w:r>
      <w:r w:rsidR="00C02BBF">
        <w:rPr>
          <w:rFonts w:ascii="Times New Roman" w:hAnsi="Times New Roman" w:cs="Times New Roman"/>
          <w:szCs w:val="22"/>
        </w:rPr>
        <w:t>O Quadro 17</w:t>
      </w:r>
      <w:r w:rsidRPr="0038012F">
        <w:rPr>
          <w:rFonts w:ascii="Times New Roman" w:hAnsi="Times New Roman" w:cs="Times New Roman"/>
          <w:szCs w:val="22"/>
        </w:rPr>
        <w:t xml:space="preserve"> mostra o quantitativo dos domicílios de </w:t>
      </w:r>
      <w:r w:rsidR="0038012F" w:rsidRPr="0038012F">
        <w:rPr>
          <w:rFonts w:ascii="Times New Roman" w:hAnsi="Times New Roman" w:cs="Times New Roman"/>
          <w:szCs w:val="22"/>
        </w:rPr>
        <w:t>Aimorés</w:t>
      </w:r>
      <w:r w:rsidRPr="0038012F">
        <w:rPr>
          <w:rFonts w:ascii="Times New Roman" w:hAnsi="Times New Roman" w:cs="Times New Roman"/>
          <w:szCs w:val="22"/>
        </w:rPr>
        <w:t xml:space="preserve"> e suas respectivas formas de abastecime</w:t>
      </w:r>
      <w:r w:rsidR="005E1505">
        <w:rPr>
          <w:rFonts w:ascii="Times New Roman" w:hAnsi="Times New Roman" w:cs="Times New Roman"/>
          <w:szCs w:val="22"/>
        </w:rPr>
        <w:t>nto, segundo dados do IBGE (2010</w:t>
      </w:r>
      <w:r w:rsidRPr="0038012F">
        <w:rPr>
          <w:rFonts w:ascii="Times New Roman" w:hAnsi="Times New Roman" w:cs="Times New Roman"/>
          <w:szCs w:val="22"/>
        </w:rPr>
        <w:t xml:space="preserve">). </w:t>
      </w:r>
    </w:p>
    <w:p w:rsidR="0094421F" w:rsidRPr="0094421F" w:rsidRDefault="0075744C" w:rsidP="0075744C">
      <w:pPr>
        <w:pStyle w:val="Legenda"/>
      </w:pPr>
      <w:bookmarkStart w:id="184" w:name="_Toc372740523"/>
      <w:r>
        <w:lastRenderedPageBreak/>
        <w:t xml:space="preserve">Quadro </w:t>
      </w:r>
      <w:fldSimple w:instr=" SEQ Quadro \* ARABIC ">
        <w:r w:rsidR="004F77E2">
          <w:rPr>
            <w:noProof/>
          </w:rPr>
          <w:t>17</w:t>
        </w:r>
      </w:fldSimple>
      <w:r>
        <w:t xml:space="preserve"> - </w:t>
      </w:r>
      <w:r w:rsidRPr="004625A3">
        <w:rPr>
          <w:noProof/>
        </w:rPr>
        <w:t>Domicílios particulares permanentes por forma de abastecimento de água em Aimorés (2010).</w:t>
      </w:r>
      <w:bookmarkEnd w:id="184"/>
    </w:p>
    <w:tbl>
      <w:tblPr>
        <w:tblW w:w="8505" w:type="dxa"/>
        <w:tblInd w:w="108" w:type="dxa"/>
        <w:tblBorders>
          <w:top w:val="nil"/>
          <w:left w:val="nil"/>
          <w:bottom w:val="nil"/>
          <w:right w:val="nil"/>
        </w:tblBorders>
        <w:tblLayout w:type="fixed"/>
        <w:tblLook w:val="0000" w:firstRow="0" w:lastRow="0" w:firstColumn="0" w:lastColumn="0" w:noHBand="0" w:noVBand="0"/>
      </w:tblPr>
      <w:tblGrid>
        <w:gridCol w:w="709"/>
        <w:gridCol w:w="1276"/>
        <w:gridCol w:w="1276"/>
        <w:gridCol w:w="1275"/>
        <w:gridCol w:w="709"/>
        <w:gridCol w:w="1276"/>
        <w:gridCol w:w="969"/>
        <w:gridCol w:w="1015"/>
      </w:tblGrid>
      <w:tr w:rsidR="005E1505" w:rsidRPr="00CF46B1" w:rsidTr="0035032C">
        <w:trPr>
          <w:trHeight w:val="282"/>
        </w:trPr>
        <w:tc>
          <w:tcPr>
            <w:tcW w:w="8505" w:type="dxa"/>
            <w:gridSpan w:val="8"/>
            <w:tcBorders>
              <w:top w:val="single" w:sz="6" w:space="0" w:color="000000"/>
              <w:left w:val="single" w:sz="2" w:space="0" w:color="000000"/>
              <w:bottom w:val="single" w:sz="6" w:space="0" w:color="000000"/>
              <w:right w:val="single" w:sz="4" w:space="0" w:color="000000"/>
            </w:tcBorders>
            <w:shd w:val="clear" w:color="auto" w:fill="D9D9D9"/>
            <w:vAlign w:val="center"/>
          </w:tcPr>
          <w:p w:rsidR="005E1505" w:rsidRPr="00CF46B1" w:rsidRDefault="005E1505" w:rsidP="00C02BBF">
            <w:pPr>
              <w:pStyle w:val="Default"/>
              <w:spacing w:before="120" w:after="120"/>
              <w:jc w:val="center"/>
              <w:rPr>
                <w:rFonts w:ascii="Times New Roman" w:hAnsi="Times New Roman" w:cs="Times New Roman"/>
                <w:sz w:val="20"/>
                <w:szCs w:val="20"/>
              </w:rPr>
            </w:pPr>
            <w:r w:rsidRPr="00CF46B1">
              <w:rPr>
                <w:rFonts w:ascii="Times New Roman" w:hAnsi="Times New Roman" w:cs="Times New Roman"/>
                <w:sz w:val="20"/>
                <w:szCs w:val="20"/>
              </w:rPr>
              <w:t xml:space="preserve">Domicílios particulares permanentes </w:t>
            </w:r>
          </w:p>
        </w:tc>
      </w:tr>
      <w:tr w:rsidR="005E1505" w:rsidRPr="00CF46B1" w:rsidTr="0035032C">
        <w:trPr>
          <w:trHeight w:val="265"/>
        </w:trPr>
        <w:tc>
          <w:tcPr>
            <w:tcW w:w="709" w:type="dxa"/>
            <w:tcBorders>
              <w:top w:val="single" w:sz="6" w:space="0" w:color="000000"/>
              <w:left w:val="single" w:sz="2" w:space="0" w:color="000000"/>
              <w:bottom w:val="single" w:sz="6" w:space="0" w:color="000000"/>
              <w:right w:val="single" w:sz="4" w:space="0" w:color="000000"/>
            </w:tcBorders>
            <w:shd w:val="clear" w:color="auto" w:fill="D9D9D9"/>
          </w:tcPr>
          <w:p w:rsidR="005E1505" w:rsidRPr="00CF46B1" w:rsidRDefault="005E1505" w:rsidP="00C02BBF">
            <w:pPr>
              <w:pStyle w:val="Default"/>
              <w:spacing w:before="120" w:after="120"/>
              <w:jc w:val="center"/>
              <w:rPr>
                <w:rFonts w:ascii="Times New Roman" w:hAnsi="Times New Roman" w:cs="Times New Roman"/>
                <w:color w:val="auto"/>
              </w:rPr>
            </w:pPr>
          </w:p>
        </w:tc>
        <w:tc>
          <w:tcPr>
            <w:tcW w:w="7796" w:type="dxa"/>
            <w:gridSpan w:val="7"/>
            <w:tcBorders>
              <w:top w:val="single" w:sz="6" w:space="0" w:color="000000"/>
              <w:left w:val="single" w:sz="4" w:space="0" w:color="000000"/>
              <w:bottom w:val="single" w:sz="6" w:space="0" w:color="000000"/>
              <w:right w:val="single" w:sz="4" w:space="0" w:color="000000"/>
            </w:tcBorders>
            <w:shd w:val="clear" w:color="auto" w:fill="D9D9D9"/>
            <w:vAlign w:val="center"/>
          </w:tcPr>
          <w:p w:rsidR="005E1505" w:rsidRPr="00CF46B1" w:rsidRDefault="005E1505" w:rsidP="00C02BBF">
            <w:pPr>
              <w:pStyle w:val="Default"/>
              <w:spacing w:before="120" w:after="120"/>
              <w:jc w:val="center"/>
              <w:rPr>
                <w:rFonts w:ascii="Times New Roman" w:hAnsi="Times New Roman" w:cs="Times New Roman"/>
                <w:sz w:val="20"/>
                <w:szCs w:val="20"/>
              </w:rPr>
            </w:pPr>
            <w:r w:rsidRPr="00CF46B1">
              <w:rPr>
                <w:rFonts w:ascii="Times New Roman" w:hAnsi="Times New Roman" w:cs="Times New Roman"/>
                <w:sz w:val="20"/>
                <w:szCs w:val="20"/>
              </w:rPr>
              <w:t>Forma de abastecimento de água</w:t>
            </w:r>
          </w:p>
        </w:tc>
      </w:tr>
      <w:tr w:rsidR="005E1505" w:rsidRPr="00CF46B1" w:rsidTr="0035032C">
        <w:trPr>
          <w:trHeight w:val="700"/>
        </w:trPr>
        <w:tc>
          <w:tcPr>
            <w:tcW w:w="709" w:type="dxa"/>
            <w:tcBorders>
              <w:top w:val="single" w:sz="6" w:space="0" w:color="000000"/>
              <w:left w:val="single" w:sz="2" w:space="0" w:color="000000"/>
              <w:bottom w:val="single" w:sz="6" w:space="0" w:color="000000"/>
              <w:right w:val="single" w:sz="4" w:space="0" w:color="000000"/>
            </w:tcBorders>
            <w:shd w:val="clear" w:color="auto" w:fill="D9D9D9"/>
            <w:vAlign w:val="center"/>
          </w:tcPr>
          <w:p w:rsidR="005E1505" w:rsidRPr="00CF46B1" w:rsidRDefault="005E1505" w:rsidP="00C02BBF">
            <w:pPr>
              <w:pStyle w:val="Default"/>
              <w:spacing w:before="120" w:after="120"/>
              <w:jc w:val="center"/>
              <w:rPr>
                <w:rFonts w:ascii="Times New Roman" w:hAnsi="Times New Roman" w:cs="Times New Roman"/>
                <w:sz w:val="20"/>
                <w:szCs w:val="20"/>
              </w:rPr>
            </w:pPr>
            <w:r w:rsidRPr="00CF46B1">
              <w:rPr>
                <w:rFonts w:ascii="Times New Roman" w:hAnsi="Times New Roman" w:cs="Times New Roman"/>
                <w:sz w:val="20"/>
                <w:szCs w:val="20"/>
              </w:rPr>
              <w:t>Total</w:t>
            </w:r>
          </w:p>
        </w:tc>
        <w:tc>
          <w:tcPr>
            <w:tcW w:w="1276"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5E1505" w:rsidRPr="00CF46B1" w:rsidRDefault="005E1505" w:rsidP="00C02BBF">
            <w:pPr>
              <w:pStyle w:val="Default"/>
              <w:spacing w:before="120" w:after="120"/>
              <w:jc w:val="center"/>
              <w:rPr>
                <w:rFonts w:ascii="Times New Roman" w:hAnsi="Times New Roman" w:cs="Times New Roman"/>
                <w:sz w:val="20"/>
                <w:szCs w:val="20"/>
              </w:rPr>
            </w:pPr>
            <w:r w:rsidRPr="00CF46B1">
              <w:rPr>
                <w:rFonts w:ascii="Times New Roman" w:hAnsi="Times New Roman" w:cs="Times New Roman"/>
                <w:sz w:val="20"/>
                <w:szCs w:val="20"/>
              </w:rPr>
              <w:t>Rede geral de distribuição</w:t>
            </w:r>
          </w:p>
        </w:tc>
        <w:tc>
          <w:tcPr>
            <w:tcW w:w="1276"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5E1505" w:rsidRPr="00CF46B1" w:rsidRDefault="005E1505" w:rsidP="00C02BBF">
            <w:pPr>
              <w:pStyle w:val="Default"/>
              <w:spacing w:before="120" w:after="120"/>
              <w:jc w:val="center"/>
              <w:rPr>
                <w:rFonts w:ascii="Times New Roman" w:hAnsi="Times New Roman" w:cs="Times New Roman"/>
                <w:sz w:val="20"/>
                <w:szCs w:val="20"/>
              </w:rPr>
            </w:pPr>
            <w:r w:rsidRPr="00CF46B1">
              <w:rPr>
                <w:rFonts w:ascii="Times New Roman" w:hAnsi="Times New Roman" w:cs="Times New Roman"/>
                <w:sz w:val="20"/>
                <w:szCs w:val="20"/>
              </w:rPr>
              <w:t>Poço ou nascente na propriedade</w:t>
            </w:r>
          </w:p>
        </w:tc>
        <w:tc>
          <w:tcPr>
            <w:tcW w:w="1275"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5E1505" w:rsidRPr="00CF46B1" w:rsidRDefault="005E1505" w:rsidP="00C02BBF">
            <w:pPr>
              <w:pStyle w:val="Default"/>
              <w:spacing w:before="120" w:after="120"/>
              <w:jc w:val="center"/>
              <w:rPr>
                <w:rFonts w:ascii="Times New Roman" w:hAnsi="Times New Roman" w:cs="Times New Roman"/>
                <w:sz w:val="20"/>
                <w:szCs w:val="20"/>
              </w:rPr>
            </w:pPr>
            <w:r>
              <w:rPr>
                <w:rFonts w:ascii="Times New Roman" w:hAnsi="Times New Roman" w:cs="Times New Roman"/>
                <w:sz w:val="20"/>
                <w:szCs w:val="20"/>
              </w:rPr>
              <w:t>Poço ou nascente fora</w:t>
            </w:r>
            <w:r w:rsidRPr="00CF46B1">
              <w:rPr>
                <w:rFonts w:ascii="Times New Roman" w:hAnsi="Times New Roman" w:cs="Times New Roman"/>
                <w:sz w:val="20"/>
                <w:szCs w:val="20"/>
              </w:rPr>
              <w:t xml:space="preserve"> propriedade</w:t>
            </w:r>
          </w:p>
        </w:tc>
        <w:tc>
          <w:tcPr>
            <w:tcW w:w="709" w:type="dxa"/>
            <w:tcBorders>
              <w:top w:val="single" w:sz="6" w:space="0" w:color="000000"/>
              <w:left w:val="single" w:sz="4" w:space="0" w:color="000000"/>
              <w:bottom w:val="single" w:sz="6" w:space="0" w:color="000000"/>
              <w:right w:val="single" w:sz="4" w:space="0" w:color="auto"/>
            </w:tcBorders>
            <w:shd w:val="clear" w:color="auto" w:fill="D9D9D9"/>
            <w:vAlign w:val="center"/>
          </w:tcPr>
          <w:p w:rsidR="005E1505" w:rsidRPr="00CF46B1" w:rsidRDefault="005E1505" w:rsidP="00C02BBF">
            <w:pPr>
              <w:pStyle w:val="Default"/>
              <w:spacing w:before="120" w:after="120"/>
              <w:jc w:val="center"/>
              <w:rPr>
                <w:rFonts w:ascii="Times New Roman" w:hAnsi="Times New Roman" w:cs="Times New Roman"/>
                <w:sz w:val="20"/>
                <w:szCs w:val="20"/>
              </w:rPr>
            </w:pPr>
            <w:r>
              <w:rPr>
                <w:rFonts w:ascii="Times New Roman" w:hAnsi="Times New Roman" w:cs="Times New Roman"/>
                <w:sz w:val="20"/>
                <w:szCs w:val="20"/>
              </w:rPr>
              <w:t>Carro-pipa</w:t>
            </w:r>
          </w:p>
        </w:tc>
        <w:tc>
          <w:tcPr>
            <w:tcW w:w="1276" w:type="dxa"/>
            <w:tcBorders>
              <w:top w:val="single" w:sz="6" w:space="0" w:color="000000"/>
              <w:left w:val="single" w:sz="4" w:space="0" w:color="auto"/>
              <w:bottom w:val="single" w:sz="6" w:space="0" w:color="000000"/>
              <w:right w:val="single" w:sz="4" w:space="0" w:color="auto"/>
            </w:tcBorders>
            <w:shd w:val="clear" w:color="auto" w:fill="D9D9D9"/>
            <w:vAlign w:val="center"/>
          </w:tcPr>
          <w:p w:rsidR="005E1505" w:rsidRPr="00CF46B1" w:rsidRDefault="005E1505" w:rsidP="00C02BBF">
            <w:pPr>
              <w:pStyle w:val="Default"/>
              <w:spacing w:before="120" w:after="120"/>
              <w:jc w:val="center"/>
              <w:rPr>
                <w:rFonts w:ascii="Times New Roman" w:hAnsi="Times New Roman" w:cs="Times New Roman"/>
                <w:sz w:val="20"/>
                <w:szCs w:val="20"/>
              </w:rPr>
            </w:pPr>
            <w:r>
              <w:rPr>
                <w:rFonts w:ascii="Times New Roman" w:hAnsi="Times New Roman" w:cs="Times New Roman"/>
                <w:sz w:val="20"/>
                <w:szCs w:val="20"/>
              </w:rPr>
              <w:t>Água de chuva armazenado de outra forma</w:t>
            </w:r>
          </w:p>
        </w:tc>
        <w:tc>
          <w:tcPr>
            <w:tcW w:w="969" w:type="dxa"/>
            <w:tcBorders>
              <w:top w:val="single" w:sz="6" w:space="0" w:color="000000"/>
              <w:left w:val="single" w:sz="4" w:space="0" w:color="auto"/>
              <w:bottom w:val="single" w:sz="6" w:space="0" w:color="000000"/>
              <w:right w:val="single" w:sz="4" w:space="0" w:color="auto"/>
            </w:tcBorders>
            <w:shd w:val="clear" w:color="auto" w:fill="D9D9D9"/>
            <w:vAlign w:val="center"/>
          </w:tcPr>
          <w:p w:rsidR="005E1505" w:rsidRPr="00CF46B1" w:rsidRDefault="005E1505" w:rsidP="00C02BBF">
            <w:pPr>
              <w:pStyle w:val="Default"/>
              <w:spacing w:before="120" w:after="120"/>
              <w:jc w:val="center"/>
              <w:rPr>
                <w:rFonts w:ascii="Times New Roman" w:hAnsi="Times New Roman" w:cs="Times New Roman"/>
                <w:sz w:val="20"/>
                <w:szCs w:val="20"/>
              </w:rPr>
            </w:pPr>
            <w:r>
              <w:rPr>
                <w:rFonts w:ascii="Times New Roman" w:hAnsi="Times New Roman" w:cs="Times New Roman"/>
                <w:sz w:val="20"/>
                <w:szCs w:val="20"/>
              </w:rPr>
              <w:t>Rio, açude, lago ou igarapé</w:t>
            </w:r>
          </w:p>
        </w:tc>
        <w:tc>
          <w:tcPr>
            <w:tcW w:w="1015" w:type="dxa"/>
            <w:tcBorders>
              <w:top w:val="single" w:sz="6" w:space="0" w:color="000000"/>
              <w:left w:val="single" w:sz="4" w:space="0" w:color="auto"/>
              <w:bottom w:val="single" w:sz="6" w:space="0" w:color="000000"/>
              <w:right w:val="single" w:sz="4" w:space="0" w:color="000000"/>
            </w:tcBorders>
            <w:shd w:val="clear" w:color="auto" w:fill="D9D9D9"/>
            <w:vAlign w:val="center"/>
          </w:tcPr>
          <w:p w:rsidR="005E1505" w:rsidRPr="00CF46B1" w:rsidRDefault="005E1505" w:rsidP="00C02BBF">
            <w:pPr>
              <w:pStyle w:val="Default"/>
              <w:spacing w:before="120" w:after="120"/>
              <w:jc w:val="center"/>
              <w:rPr>
                <w:rFonts w:ascii="Times New Roman" w:hAnsi="Times New Roman" w:cs="Times New Roman"/>
                <w:sz w:val="20"/>
                <w:szCs w:val="20"/>
              </w:rPr>
            </w:pPr>
            <w:r w:rsidRPr="00CF46B1">
              <w:rPr>
                <w:rFonts w:ascii="Times New Roman" w:hAnsi="Times New Roman" w:cs="Times New Roman"/>
                <w:sz w:val="20"/>
                <w:szCs w:val="20"/>
              </w:rPr>
              <w:t>Outra</w:t>
            </w:r>
          </w:p>
        </w:tc>
      </w:tr>
      <w:tr w:rsidR="005E1505" w:rsidRPr="00CF46B1" w:rsidTr="0035032C">
        <w:trPr>
          <w:trHeight w:val="455"/>
        </w:trPr>
        <w:tc>
          <w:tcPr>
            <w:tcW w:w="709" w:type="dxa"/>
            <w:tcBorders>
              <w:top w:val="single" w:sz="6" w:space="0" w:color="000000"/>
              <w:left w:val="single" w:sz="2" w:space="0" w:color="000000"/>
              <w:bottom w:val="single" w:sz="6" w:space="0" w:color="000000"/>
              <w:right w:val="single" w:sz="4" w:space="0" w:color="000000"/>
            </w:tcBorders>
            <w:vAlign w:val="center"/>
          </w:tcPr>
          <w:p w:rsidR="005E1505" w:rsidRPr="00036952" w:rsidRDefault="005E1505" w:rsidP="00C02BBF">
            <w:pPr>
              <w:pStyle w:val="Default"/>
              <w:spacing w:before="120" w:after="120"/>
              <w:jc w:val="center"/>
              <w:rPr>
                <w:rFonts w:ascii="Times New Roman" w:hAnsi="Times New Roman" w:cs="Times New Roman"/>
                <w:sz w:val="20"/>
                <w:szCs w:val="20"/>
              </w:rPr>
            </w:pPr>
            <w:r>
              <w:rPr>
                <w:rFonts w:ascii="Times New Roman" w:hAnsi="Times New Roman" w:cs="Times New Roman"/>
                <w:sz w:val="20"/>
                <w:szCs w:val="20"/>
              </w:rPr>
              <w:t>8.232</w:t>
            </w:r>
          </w:p>
        </w:tc>
        <w:tc>
          <w:tcPr>
            <w:tcW w:w="1276" w:type="dxa"/>
            <w:tcBorders>
              <w:top w:val="single" w:sz="6" w:space="0" w:color="000000"/>
              <w:left w:val="single" w:sz="4" w:space="0" w:color="000000"/>
              <w:bottom w:val="single" w:sz="6" w:space="0" w:color="000000"/>
              <w:right w:val="single" w:sz="4" w:space="0" w:color="000000"/>
            </w:tcBorders>
            <w:vAlign w:val="center"/>
          </w:tcPr>
          <w:p w:rsidR="005E1505" w:rsidRPr="00036952" w:rsidRDefault="005E1505" w:rsidP="00C02BBF">
            <w:pPr>
              <w:pStyle w:val="Default"/>
              <w:spacing w:before="120" w:after="120"/>
              <w:jc w:val="center"/>
              <w:rPr>
                <w:rFonts w:ascii="Times New Roman" w:hAnsi="Times New Roman" w:cs="Times New Roman"/>
                <w:sz w:val="20"/>
                <w:szCs w:val="20"/>
              </w:rPr>
            </w:pPr>
            <w:r w:rsidRPr="00036952">
              <w:rPr>
                <w:rFonts w:ascii="Times New Roman" w:hAnsi="Times New Roman" w:cs="Times New Roman"/>
                <w:sz w:val="20"/>
                <w:szCs w:val="20"/>
              </w:rPr>
              <w:t>6.600</w:t>
            </w:r>
          </w:p>
        </w:tc>
        <w:tc>
          <w:tcPr>
            <w:tcW w:w="1276" w:type="dxa"/>
            <w:tcBorders>
              <w:top w:val="single" w:sz="6" w:space="0" w:color="000000"/>
              <w:left w:val="single" w:sz="4" w:space="0" w:color="000000"/>
              <w:bottom w:val="single" w:sz="6" w:space="0" w:color="000000"/>
              <w:right w:val="single" w:sz="4" w:space="0" w:color="000000"/>
            </w:tcBorders>
            <w:vAlign w:val="center"/>
          </w:tcPr>
          <w:p w:rsidR="005E1505" w:rsidRPr="00036952" w:rsidRDefault="005E1505" w:rsidP="00C02BBF">
            <w:pPr>
              <w:pStyle w:val="Default"/>
              <w:spacing w:before="120" w:after="120"/>
              <w:jc w:val="center"/>
              <w:rPr>
                <w:rFonts w:ascii="Times New Roman" w:hAnsi="Times New Roman" w:cs="Times New Roman"/>
                <w:sz w:val="20"/>
                <w:szCs w:val="20"/>
              </w:rPr>
            </w:pPr>
            <w:r w:rsidRPr="00036952">
              <w:rPr>
                <w:rFonts w:ascii="Times New Roman" w:hAnsi="Times New Roman" w:cs="Times New Roman"/>
                <w:sz w:val="20"/>
                <w:szCs w:val="20"/>
              </w:rPr>
              <w:t>1.263</w:t>
            </w:r>
          </w:p>
        </w:tc>
        <w:tc>
          <w:tcPr>
            <w:tcW w:w="1275" w:type="dxa"/>
            <w:tcBorders>
              <w:top w:val="single" w:sz="6" w:space="0" w:color="000000"/>
              <w:left w:val="single" w:sz="4" w:space="0" w:color="000000"/>
              <w:bottom w:val="single" w:sz="6" w:space="0" w:color="000000"/>
              <w:right w:val="single" w:sz="4" w:space="0" w:color="000000"/>
            </w:tcBorders>
            <w:vAlign w:val="center"/>
          </w:tcPr>
          <w:p w:rsidR="005E1505" w:rsidRPr="00036952" w:rsidRDefault="005E1505" w:rsidP="00C02BBF">
            <w:pPr>
              <w:pStyle w:val="Default"/>
              <w:spacing w:before="120" w:after="120"/>
              <w:jc w:val="center"/>
              <w:rPr>
                <w:rFonts w:ascii="Times New Roman" w:hAnsi="Times New Roman" w:cs="Times New Roman"/>
                <w:sz w:val="20"/>
                <w:szCs w:val="20"/>
              </w:rPr>
            </w:pPr>
            <w:r w:rsidRPr="00036952">
              <w:rPr>
                <w:rFonts w:ascii="Times New Roman" w:hAnsi="Times New Roman" w:cs="Times New Roman"/>
                <w:sz w:val="20"/>
                <w:szCs w:val="20"/>
              </w:rPr>
              <w:t>252</w:t>
            </w:r>
          </w:p>
        </w:tc>
        <w:tc>
          <w:tcPr>
            <w:tcW w:w="709" w:type="dxa"/>
            <w:tcBorders>
              <w:top w:val="single" w:sz="6" w:space="0" w:color="000000"/>
              <w:left w:val="single" w:sz="4" w:space="0" w:color="000000"/>
              <w:bottom w:val="single" w:sz="6" w:space="0" w:color="000000"/>
              <w:right w:val="single" w:sz="4" w:space="0" w:color="auto"/>
            </w:tcBorders>
            <w:vAlign w:val="center"/>
          </w:tcPr>
          <w:p w:rsidR="005E1505" w:rsidRPr="00036952" w:rsidRDefault="005E1505" w:rsidP="00C02BBF">
            <w:pPr>
              <w:pStyle w:val="Default"/>
              <w:spacing w:before="120" w:after="120"/>
              <w:jc w:val="center"/>
              <w:rPr>
                <w:rFonts w:ascii="Times New Roman" w:hAnsi="Times New Roman" w:cs="Times New Roman"/>
                <w:sz w:val="20"/>
                <w:szCs w:val="20"/>
              </w:rPr>
            </w:pPr>
            <w:r w:rsidRPr="00036952">
              <w:rPr>
                <w:rFonts w:ascii="Times New Roman" w:hAnsi="Times New Roman" w:cs="Times New Roman"/>
                <w:sz w:val="20"/>
                <w:szCs w:val="20"/>
              </w:rPr>
              <w:t>2</w:t>
            </w:r>
          </w:p>
        </w:tc>
        <w:tc>
          <w:tcPr>
            <w:tcW w:w="1276" w:type="dxa"/>
            <w:tcBorders>
              <w:top w:val="single" w:sz="6" w:space="0" w:color="000000"/>
              <w:left w:val="single" w:sz="4" w:space="0" w:color="auto"/>
              <w:bottom w:val="single" w:sz="6" w:space="0" w:color="000000"/>
              <w:right w:val="single" w:sz="4" w:space="0" w:color="auto"/>
            </w:tcBorders>
            <w:vAlign w:val="center"/>
          </w:tcPr>
          <w:p w:rsidR="005E1505" w:rsidRPr="00036952" w:rsidRDefault="005E1505" w:rsidP="00C02BBF">
            <w:pPr>
              <w:pStyle w:val="Default"/>
              <w:spacing w:before="120" w:after="120"/>
              <w:jc w:val="center"/>
              <w:rPr>
                <w:rFonts w:ascii="Times New Roman" w:hAnsi="Times New Roman" w:cs="Times New Roman"/>
                <w:sz w:val="20"/>
                <w:szCs w:val="20"/>
              </w:rPr>
            </w:pPr>
            <w:r w:rsidRPr="00036952">
              <w:rPr>
                <w:rFonts w:ascii="Times New Roman" w:hAnsi="Times New Roman" w:cs="Times New Roman"/>
                <w:sz w:val="20"/>
                <w:szCs w:val="20"/>
              </w:rPr>
              <w:t>1</w:t>
            </w:r>
          </w:p>
        </w:tc>
        <w:tc>
          <w:tcPr>
            <w:tcW w:w="969" w:type="dxa"/>
            <w:tcBorders>
              <w:top w:val="single" w:sz="6" w:space="0" w:color="000000"/>
              <w:left w:val="single" w:sz="4" w:space="0" w:color="auto"/>
              <w:bottom w:val="single" w:sz="6" w:space="0" w:color="000000"/>
              <w:right w:val="single" w:sz="4" w:space="0" w:color="auto"/>
            </w:tcBorders>
            <w:vAlign w:val="center"/>
          </w:tcPr>
          <w:p w:rsidR="005E1505" w:rsidRPr="00036952" w:rsidRDefault="005E1505" w:rsidP="00C02BBF">
            <w:pPr>
              <w:pStyle w:val="Default"/>
              <w:spacing w:before="120" w:after="120"/>
              <w:jc w:val="center"/>
              <w:rPr>
                <w:rFonts w:ascii="Times New Roman" w:hAnsi="Times New Roman" w:cs="Times New Roman"/>
                <w:sz w:val="20"/>
                <w:szCs w:val="20"/>
              </w:rPr>
            </w:pPr>
            <w:r w:rsidRPr="00036952">
              <w:rPr>
                <w:rFonts w:ascii="Times New Roman" w:hAnsi="Times New Roman" w:cs="Times New Roman"/>
                <w:sz w:val="20"/>
                <w:szCs w:val="20"/>
              </w:rPr>
              <w:t>99</w:t>
            </w:r>
          </w:p>
        </w:tc>
        <w:tc>
          <w:tcPr>
            <w:tcW w:w="1015" w:type="dxa"/>
            <w:tcBorders>
              <w:top w:val="single" w:sz="6" w:space="0" w:color="000000"/>
              <w:left w:val="single" w:sz="4" w:space="0" w:color="auto"/>
              <w:bottom w:val="single" w:sz="6" w:space="0" w:color="000000"/>
              <w:right w:val="single" w:sz="4" w:space="0" w:color="000000"/>
            </w:tcBorders>
            <w:vAlign w:val="center"/>
          </w:tcPr>
          <w:p w:rsidR="005E1505" w:rsidRPr="00036952" w:rsidRDefault="005E1505" w:rsidP="00C02BBF">
            <w:pPr>
              <w:pStyle w:val="Default"/>
              <w:spacing w:before="120" w:after="120"/>
              <w:jc w:val="center"/>
              <w:rPr>
                <w:rFonts w:ascii="Times New Roman" w:hAnsi="Times New Roman" w:cs="Times New Roman"/>
                <w:sz w:val="20"/>
                <w:szCs w:val="20"/>
              </w:rPr>
            </w:pPr>
            <w:r w:rsidRPr="00036952">
              <w:rPr>
                <w:rFonts w:ascii="Times New Roman" w:hAnsi="Times New Roman" w:cs="Times New Roman"/>
                <w:sz w:val="20"/>
                <w:szCs w:val="20"/>
              </w:rPr>
              <w:t>15</w:t>
            </w:r>
          </w:p>
        </w:tc>
      </w:tr>
    </w:tbl>
    <w:p w:rsidR="005E1505" w:rsidRPr="00036952" w:rsidRDefault="005E1505" w:rsidP="0094421F">
      <w:pPr>
        <w:pStyle w:val="Fonte"/>
      </w:pPr>
      <w:r w:rsidRPr="00036952">
        <w:t xml:space="preserve">Fonte: </w:t>
      </w:r>
      <w:r w:rsidR="001C7BD1">
        <w:t xml:space="preserve">Dados adaptados pelo SAAE Aimorés 2013 com fonte no </w:t>
      </w:r>
      <w:r w:rsidRPr="00036952">
        <w:t>IBGE, 2010.</w:t>
      </w:r>
    </w:p>
    <w:p w:rsidR="00DD1974" w:rsidRPr="0038012F" w:rsidRDefault="00DD1974" w:rsidP="00C02BBF">
      <w:pPr>
        <w:pStyle w:val="CM73"/>
        <w:spacing w:line="360" w:lineRule="auto"/>
        <w:ind w:firstLine="709"/>
        <w:jc w:val="both"/>
        <w:rPr>
          <w:rFonts w:ascii="Times New Roman" w:hAnsi="Times New Roman" w:cs="Times New Roman"/>
          <w:szCs w:val="22"/>
        </w:rPr>
      </w:pPr>
      <w:r w:rsidRPr="0038012F">
        <w:rPr>
          <w:rFonts w:ascii="Times New Roman" w:hAnsi="Times New Roman" w:cs="Times New Roman"/>
          <w:szCs w:val="22"/>
        </w:rPr>
        <w:t xml:space="preserve">Serão necessários esforços ainda maiores para que </w:t>
      </w:r>
      <w:r w:rsidR="0038012F" w:rsidRPr="0038012F">
        <w:rPr>
          <w:rFonts w:ascii="Times New Roman" w:hAnsi="Times New Roman" w:cs="Times New Roman"/>
          <w:szCs w:val="22"/>
        </w:rPr>
        <w:t>Aimorés</w:t>
      </w:r>
      <w:r w:rsidRPr="0038012F">
        <w:rPr>
          <w:rFonts w:ascii="Times New Roman" w:hAnsi="Times New Roman" w:cs="Times New Roman"/>
          <w:szCs w:val="22"/>
        </w:rPr>
        <w:t xml:space="preserve"> atinja </w:t>
      </w:r>
      <w:r w:rsidR="00C02BBF">
        <w:rPr>
          <w:rFonts w:ascii="Times New Roman" w:hAnsi="Times New Roman" w:cs="Times New Roman"/>
          <w:szCs w:val="22"/>
        </w:rPr>
        <w:t>a universalização dos serviços, atingindo t</w:t>
      </w:r>
      <w:r w:rsidR="005E1505" w:rsidRPr="0038012F">
        <w:rPr>
          <w:rFonts w:ascii="Times New Roman" w:hAnsi="Times New Roman" w:cs="Times New Roman"/>
          <w:szCs w:val="22"/>
        </w:rPr>
        <w:t>odos os</w:t>
      </w:r>
      <w:r w:rsidRPr="0038012F">
        <w:rPr>
          <w:rFonts w:ascii="Times New Roman" w:hAnsi="Times New Roman" w:cs="Times New Roman"/>
          <w:szCs w:val="22"/>
        </w:rPr>
        <w:t xml:space="preserve"> moradores com um serviço eficiente de captação, tratamento e distribuição de água, já que os dados mostram uma parcel</w:t>
      </w:r>
      <w:r w:rsidR="005E1505">
        <w:rPr>
          <w:rFonts w:ascii="Times New Roman" w:hAnsi="Times New Roman" w:cs="Times New Roman"/>
          <w:szCs w:val="22"/>
        </w:rPr>
        <w:t>a significativa da população (19</w:t>
      </w:r>
      <w:r w:rsidRPr="0038012F">
        <w:rPr>
          <w:rFonts w:ascii="Times New Roman" w:hAnsi="Times New Roman" w:cs="Times New Roman"/>
          <w:szCs w:val="22"/>
        </w:rPr>
        <w:t>,8</w:t>
      </w:r>
      <w:r w:rsidR="005E1505">
        <w:rPr>
          <w:rFonts w:ascii="Times New Roman" w:hAnsi="Times New Roman" w:cs="Times New Roman"/>
          <w:szCs w:val="22"/>
        </w:rPr>
        <w:t>3</w:t>
      </w:r>
      <w:r w:rsidRPr="0038012F">
        <w:rPr>
          <w:rFonts w:ascii="Times New Roman" w:hAnsi="Times New Roman" w:cs="Times New Roman"/>
          <w:szCs w:val="22"/>
        </w:rPr>
        <w:t>%) que ainda utiliza outros meios de abastecimento como demonstrado n</w:t>
      </w:r>
      <w:r w:rsidR="00BF5409">
        <w:rPr>
          <w:rFonts w:ascii="Times New Roman" w:hAnsi="Times New Roman" w:cs="Times New Roman"/>
          <w:szCs w:val="22"/>
        </w:rPr>
        <w:t xml:space="preserve">o Quadro </w:t>
      </w:r>
      <w:r w:rsidRPr="0038012F">
        <w:rPr>
          <w:rFonts w:ascii="Times New Roman" w:hAnsi="Times New Roman" w:cs="Times New Roman"/>
          <w:szCs w:val="22"/>
        </w:rPr>
        <w:t xml:space="preserve">acima. </w:t>
      </w:r>
    </w:p>
    <w:p w:rsidR="00C02BBF" w:rsidRDefault="00DD1974" w:rsidP="0038012F">
      <w:pPr>
        <w:pStyle w:val="CM73"/>
        <w:spacing w:line="360" w:lineRule="auto"/>
        <w:ind w:firstLine="708"/>
        <w:jc w:val="both"/>
        <w:rPr>
          <w:rFonts w:ascii="Times New Roman" w:hAnsi="Times New Roman" w:cs="Times New Roman"/>
          <w:szCs w:val="22"/>
        </w:rPr>
      </w:pPr>
      <w:r w:rsidRPr="0038012F">
        <w:rPr>
          <w:rFonts w:ascii="Times New Roman" w:hAnsi="Times New Roman" w:cs="Times New Roman"/>
          <w:szCs w:val="22"/>
        </w:rPr>
        <w:t>Os estudos das formas de abastecimento de água são de extrema importância, pois através deles é possível diagnosticar</w:t>
      </w:r>
      <w:r w:rsidR="00C02BBF">
        <w:rPr>
          <w:rFonts w:ascii="Times New Roman" w:hAnsi="Times New Roman" w:cs="Times New Roman"/>
          <w:szCs w:val="22"/>
        </w:rPr>
        <w:t>,</w:t>
      </w:r>
      <w:r w:rsidRPr="0038012F">
        <w:rPr>
          <w:rFonts w:ascii="Times New Roman" w:hAnsi="Times New Roman" w:cs="Times New Roman"/>
          <w:szCs w:val="22"/>
        </w:rPr>
        <w:t xml:space="preserve"> tanto a situação do próprio sistema de saneamento básico</w:t>
      </w:r>
      <w:r w:rsidR="00C02BBF">
        <w:rPr>
          <w:rFonts w:ascii="Times New Roman" w:hAnsi="Times New Roman" w:cs="Times New Roman"/>
          <w:szCs w:val="22"/>
        </w:rPr>
        <w:t>,</w:t>
      </w:r>
      <w:r w:rsidRPr="0038012F">
        <w:rPr>
          <w:rFonts w:ascii="Times New Roman" w:hAnsi="Times New Roman" w:cs="Times New Roman"/>
          <w:szCs w:val="22"/>
        </w:rPr>
        <w:t xml:space="preserve"> quanto as possíveis causas de doenças relacionadas à água, além de identificar possíveis fontes de poluição ambiental</w:t>
      </w:r>
    </w:p>
    <w:p w:rsidR="00DD1974" w:rsidRPr="0038012F" w:rsidRDefault="00DD1974" w:rsidP="0038012F">
      <w:pPr>
        <w:pStyle w:val="CM73"/>
        <w:spacing w:line="360" w:lineRule="auto"/>
        <w:ind w:firstLine="708"/>
        <w:jc w:val="both"/>
        <w:rPr>
          <w:rFonts w:ascii="Times New Roman" w:hAnsi="Times New Roman" w:cs="Times New Roman"/>
          <w:szCs w:val="22"/>
        </w:rPr>
      </w:pPr>
      <w:r w:rsidRPr="0038012F">
        <w:rPr>
          <w:rFonts w:ascii="Times New Roman" w:hAnsi="Times New Roman" w:cs="Times New Roman"/>
          <w:szCs w:val="22"/>
        </w:rPr>
        <w:t xml:space="preserve">Os meios para atingir a universalização do serviço serão tratados no produto </w:t>
      </w:r>
      <w:r w:rsidR="005E1505">
        <w:rPr>
          <w:rFonts w:ascii="Times New Roman" w:hAnsi="Times New Roman" w:cs="Times New Roman"/>
          <w:szCs w:val="22"/>
        </w:rPr>
        <w:t>cinco</w:t>
      </w:r>
      <w:r w:rsidRPr="0038012F">
        <w:rPr>
          <w:rFonts w:ascii="Times New Roman" w:hAnsi="Times New Roman" w:cs="Times New Roman"/>
          <w:szCs w:val="22"/>
        </w:rPr>
        <w:t xml:space="preserve"> que se refere aos prognósticos e alternativas para a universalização dos serviços e no produto quatro que tratará dos programas, projetos e ações. </w:t>
      </w:r>
    </w:p>
    <w:p w:rsidR="00DD1974" w:rsidRDefault="00DD1974" w:rsidP="0038012F">
      <w:pPr>
        <w:pStyle w:val="CM73"/>
        <w:spacing w:line="360" w:lineRule="auto"/>
        <w:ind w:firstLine="708"/>
        <w:jc w:val="both"/>
        <w:rPr>
          <w:rFonts w:ascii="Times New Roman" w:hAnsi="Times New Roman" w:cs="Times New Roman"/>
          <w:szCs w:val="22"/>
        </w:rPr>
      </w:pPr>
      <w:r w:rsidRPr="0038012F">
        <w:rPr>
          <w:rFonts w:ascii="Times New Roman" w:hAnsi="Times New Roman" w:cs="Times New Roman"/>
          <w:szCs w:val="22"/>
        </w:rPr>
        <w:t xml:space="preserve">Vale ressaltar que o município ainda não está vinculado a uma agência reguladora conforme prevê o artigo V da lei 11.445/2007, este vínculo é necessário para regularização principalmente da questão tarifária que é deficitária no que tange os serviços de saneamento no município de </w:t>
      </w:r>
      <w:r w:rsidR="0038012F" w:rsidRPr="0038012F">
        <w:rPr>
          <w:rFonts w:ascii="Times New Roman" w:hAnsi="Times New Roman" w:cs="Times New Roman"/>
          <w:szCs w:val="22"/>
        </w:rPr>
        <w:t>Aimorés</w:t>
      </w:r>
      <w:r w:rsidRPr="0038012F">
        <w:rPr>
          <w:rFonts w:ascii="Times New Roman" w:hAnsi="Times New Roman" w:cs="Times New Roman"/>
          <w:szCs w:val="22"/>
        </w:rPr>
        <w:t xml:space="preserve">. </w:t>
      </w:r>
    </w:p>
    <w:p w:rsidR="004D6A9A" w:rsidRDefault="004D6A9A" w:rsidP="004D6A9A">
      <w:pPr>
        <w:rPr>
          <w:lang w:eastAsia="pt-BR"/>
        </w:rPr>
      </w:pPr>
    </w:p>
    <w:p w:rsidR="004D6A9A" w:rsidRDefault="004D6A9A" w:rsidP="004D6A9A">
      <w:pPr>
        <w:rPr>
          <w:lang w:eastAsia="pt-BR"/>
        </w:rPr>
      </w:pPr>
    </w:p>
    <w:p w:rsidR="00DD1974" w:rsidRPr="005E1505" w:rsidRDefault="00C02BBF" w:rsidP="00971B37">
      <w:pPr>
        <w:pStyle w:val="Titulo"/>
      </w:pPr>
      <w:bookmarkStart w:id="185" w:name="_Toc372559083"/>
      <w:bookmarkStart w:id="186" w:name="_Toc372789515"/>
      <w:r>
        <w:t xml:space="preserve">10.3 </w:t>
      </w:r>
      <w:r w:rsidR="00DD1974" w:rsidRPr="005E1505">
        <w:t xml:space="preserve">Esgotamento </w:t>
      </w:r>
      <w:r w:rsidR="00DD1974" w:rsidRPr="00437716">
        <w:t>Sanitário</w:t>
      </w:r>
      <w:bookmarkEnd w:id="185"/>
      <w:bookmarkEnd w:id="186"/>
    </w:p>
    <w:p w:rsidR="00DD1974" w:rsidRPr="005E1505" w:rsidRDefault="00DD1974" w:rsidP="00357451">
      <w:pPr>
        <w:pStyle w:val="CM73"/>
        <w:spacing w:line="360" w:lineRule="auto"/>
        <w:ind w:firstLine="709"/>
        <w:jc w:val="both"/>
        <w:rPr>
          <w:rFonts w:ascii="Times New Roman" w:hAnsi="Times New Roman" w:cs="Times New Roman"/>
          <w:szCs w:val="22"/>
        </w:rPr>
      </w:pPr>
      <w:r w:rsidRPr="005E1505">
        <w:rPr>
          <w:rFonts w:ascii="Times New Roman" w:hAnsi="Times New Roman" w:cs="Times New Roman"/>
          <w:szCs w:val="22"/>
        </w:rPr>
        <w:t xml:space="preserve">A utilização da água implica na geração de esgoto, o sistema de esgotamento </w:t>
      </w:r>
      <w:r w:rsidRPr="005E1505">
        <w:rPr>
          <w:rFonts w:ascii="Times New Roman" w:hAnsi="Times New Roman" w:cs="Times New Roman"/>
          <w:szCs w:val="22"/>
        </w:rPr>
        <w:lastRenderedPageBreak/>
        <w:t xml:space="preserve">sanitário abrange a coleta do esgoto dos domicílios até a rede pública e envolve toda a infraestrutura desde os coletores, interceptores, emissários, elevatórias até as estações de tratamento e disposição final do esgoto tratado. </w:t>
      </w:r>
    </w:p>
    <w:p w:rsidR="005E1505" w:rsidRDefault="00DD1974" w:rsidP="005E1505">
      <w:pPr>
        <w:pStyle w:val="CM73"/>
        <w:spacing w:line="360" w:lineRule="auto"/>
        <w:ind w:firstLine="708"/>
        <w:jc w:val="both"/>
        <w:rPr>
          <w:rFonts w:ascii="Times New Roman" w:hAnsi="Times New Roman" w:cs="Times New Roman"/>
          <w:szCs w:val="22"/>
        </w:rPr>
      </w:pPr>
      <w:r w:rsidRPr="005E1505">
        <w:rPr>
          <w:rFonts w:ascii="Times New Roman" w:hAnsi="Times New Roman" w:cs="Times New Roman"/>
          <w:szCs w:val="22"/>
        </w:rPr>
        <w:t xml:space="preserve">Os indicadores do sistema de esgotamento sanitário do município de </w:t>
      </w:r>
      <w:r w:rsidR="0038012F" w:rsidRPr="005E1505">
        <w:rPr>
          <w:rFonts w:ascii="Times New Roman" w:hAnsi="Times New Roman" w:cs="Times New Roman"/>
          <w:szCs w:val="22"/>
        </w:rPr>
        <w:t>Aimorés</w:t>
      </w:r>
      <w:r w:rsidRPr="005E1505">
        <w:rPr>
          <w:rFonts w:ascii="Times New Roman" w:hAnsi="Times New Roman" w:cs="Times New Roman"/>
          <w:szCs w:val="22"/>
        </w:rPr>
        <w:t xml:space="preserve"> não são satisfatórios, visto que hoje o sistema tem somente rede coletora de efluentes domésticos em uma parte da cidade. No restante do município, os efluentes são lançados em galerias de águas pluviais, d</w:t>
      </w:r>
      <w:r w:rsidR="005E1505">
        <w:rPr>
          <w:rFonts w:ascii="Times New Roman" w:hAnsi="Times New Roman" w:cs="Times New Roman"/>
          <w:szCs w:val="22"/>
        </w:rPr>
        <w:t xml:space="preserve">iretamente nos corpos hídricos ou </w:t>
      </w:r>
      <w:r w:rsidRPr="005E1505">
        <w:rPr>
          <w:rFonts w:ascii="Times New Roman" w:hAnsi="Times New Roman" w:cs="Times New Roman"/>
          <w:szCs w:val="22"/>
        </w:rPr>
        <w:t>na drenagem natural</w:t>
      </w:r>
      <w:r w:rsidR="005E1505">
        <w:rPr>
          <w:rFonts w:ascii="Times New Roman" w:hAnsi="Times New Roman" w:cs="Times New Roman"/>
          <w:szCs w:val="22"/>
        </w:rPr>
        <w:t>.</w:t>
      </w:r>
    </w:p>
    <w:p w:rsidR="00DD1974" w:rsidRPr="005E1505" w:rsidRDefault="00DD1974" w:rsidP="005E1505">
      <w:pPr>
        <w:pStyle w:val="CM73"/>
        <w:spacing w:line="360" w:lineRule="auto"/>
        <w:ind w:firstLine="708"/>
        <w:jc w:val="both"/>
        <w:rPr>
          <w:rFonts w:ascii="Times New Roman" w:hAnsi="Times New Roman" w:cs="Times New Roman"/>
          <w:szCs w:val="22"/>
        </w:rPr>
      </w:pPr>
      <w:r w:rsidRPr="005E1505">
        <w:rPr>
          <w:rFonts w:ascii="Times New Roman" w:hAnsi="Times New Roman" w:cs="Times New Roman"/>
          <w:szCs w:val="22"/>
        </w:rPr>
        <w:t xml:space="preserve">Para fazer a coleta destes efluentes oriundos das redes coletoras é necessária a implantação dos interceptores que destinarão todos os efluentes para a estação de tratamento de esgoto. Não existe implantado em </w:t>
      </w:r>
      <w:r w:rsidR="0038012F" w:rsidRPr="005E1505">
        <w:rPr>
          <w:rFonts w:ascii="Times New Roman" w:hAnsi="Times New Roman" w:cs="Times New Roman"/>
          <w:szCs w:val="22"/>
        </w:rPr>
        <w:t>Aimorés</w:t>
      </w:r>
      <w:r w:rsidRPr="005E1505">
        <w:rPr>
          <w:rFonts w:ascii="Times New Roman" w:hAnsi="Times New Roman" w:cs="Times New Roman"/>
          <w:szCs w:val="22"/>
        </w:rPr>
        <w:t xml:space="preserve"> até o presente momento este tipo de mecanismo. </w:t>
      </w:r>
    </w:p>
    <w:p w:rsidR="00DD1974" w:rsidRPr="005E1505" w:rsidRDefault="00DD1974" w:rsidP="005E1505">
      <w:pPr>
        <w:pStyle w:val="CM73"/>
        <w:spacing w:line="360" w:lineRule="auto"/>
        <w:ind w:firstLine="708"/>
        <w:jc w:val="both"/>
        <w:rPr>
          <w:rFonts w:ascii="Times New Roman" w:hAnsi="Times New Roman" w:cs="Times New Roman"/>
          <w:szCs w:val="22"/>
        </w:rPr>
      </w:pPr>
      <w:r w:rsidRPr="005E1505">
        <w:rPr>
          <w:rFonts w:ascii="Times New Roman" w:hAnsi="Times New Roman" w:cs="Times New Roman"/>
          <w:szCs w:val="22"/>
        </w:rPr>
        <w:t xml:space="preserve">O tratamento dos efluentes é a fase final do processo, isso acontece em </w:t>
      </w:r>
      <w:r w:rsidR="00E90E6C">
        <w:rPr>
          <w:rFonts w:ascii="Times New Roman" w:hAnsi="Times New Roman" w:cs="Times New Roman"/>
          <w:szCs w:val="22"/>
        </w:rPr>
        <w:t xml:space="preserve">apenas </w:t>
      </w:r>
      <w:r w:rsidRPr="005E1505">
        <w:rPr>
          <w:rFonts w:ascii="Times New Roman" w:hAnsi="Times New Roman" w:cs="Times New Roman"/>
          <w:szCs w:val="22"/>
        </w:rPr>
        <w:t>uma estação de tratamento de esgoto</w:t>
      </w:r>
      <w:r w:rsidR="00E90E6C">
        <w:rPr>
          <w:rFonts w:ascii="Times New Roman" w:hAnsi="Times New Roman" w:cs="Times New Roman"/>
          <w:szCs w:val="22"/>
        </w:rPr>
        <w:t xml:space="preserve"> na sede</w:t>
      </w:r>
      <w:r w:rsidRPr="005E1505">
        <w:rPr>
          <w:rFonts w:ascii="Times New Roman" w:hAnsi="Times New Roman" w:cs="Times New Roman"/>
          <w:szCs w:val="22"/>
        </w:rPr>
        <w:t xml:space="preserve"> (ETE), sendo que </w:t>
      </w:r>
      <w:r w:rsidR="005E1505">
        <w:rPr>
          <w:rFonts w:ascii="Times New Roman" w:hAnsi="Times New Roman" w:cs="Times New Roman"/>
          <w:szCs w:val="22"/>
        </w:rPr>
        <w:t>nos distritos</w:t>
      </w:r>
      <w:r w:rsidRPr="005E1505">
        <w:rPr>
          <w:rFonts w:ascii="Times New Roman" w:hAnsi="Times New Roman" w:cs="Times New Roman"/>
          <w:szCs w:val="22"/>
        </w:rPr>
        <w:t xml:space="preserve"> encontra</w:t>
      </w:r>
      <w:r w:rsidR="005E1505">
        <w:rPr>
          <w:rFonts w:ascii="Times New Roman" w:hAnsi="Times New Roman" w:cs="Times New Roman"/>
          <w:szCs w:val="22"/>
        </w:rPr>
        <w:t xml:space="preserve">m-se apenas </w:t>
      </w:r>
      <w:r w:rsidRPr="005E1505">
        <w:rPr>
          <w:rFonts w:ascii="Times New Roman" w:hAnsi="Times New Roman" w:cs="Times New Roman"/>
          <w:szCs w:val="22"/>
        </w:rPr>
        <w:t>paralisada</w:t>
      </w:r>
      <w:r w:rsidR="005E1505">
        <w:rPr>
          <w:rFonts w:ascii="Times New Roman" w:hAnsi="Times New Roman" w:cs="Times New Roman"/>
          <w:szCs w:val="22"/>
        </w:rPr>
        <w:t>s</w:t>
      </w:r>
      <w:r w:rsidR="00E90E6C">
        <w:rPr>
          <w:rFonts w:ascii="Times New Roman" w:hAnsi="Times New Roman" w:cs="Times New Roman"/>
          <w:szCs w:val="22"/>
        </w:rPr>
        <w:t xml:space="preserve"> ou não existem</w:t>
      </w:r>
      <w:r w:rsidR="005E1505">
        <w:rPr>
          <w:rFonts w:ascii="Times New Roman" w:hAnsi="Times New Roman" w:cs="Times New Roman"/>
          <w:szCs w:val="22"/>
        </w:rPr>
        <w:t>,</w:t>
      </w:r>
      <w:r w:rsidRPr="005E1505">
        <w:rPr>
          <w:rFonts w:ascii="Times New Roman" w:hAnsi="Times New Roman" w:cs="Times New Roman"/>
          <w:szCs w:val="22"/>
        </w:rPr>
        <w:t xml:space="preserve"> conforme será detalhado no eixo Esgotamento Sanitário. </w:t>
      </w:r>
    </w:p>
    <w:p w:rsidR="00DD1974" w:rsidRDefault="00DD1974" w:rsidP="005E1505">
      <w:pPr>
        <w:pStyle w:val="CM73"/>
        <w:spacing w:line="360" w:lineRule="auto"/>
        <w:ind w:firstLine="708"/>
        <w:jc w:val="both"/>
        <w:rPr>
          <w:rFonts w:ascii="Times New Roman" w:hAnsi="Times New Roman" w:cs="Times New Roman"/>
          <w:szCs w:val="22"/>
        </w:rPr>
      </w:pPr>
      <w:r w:rsidRPr="005E1505">
        <w:rPr>
          <w:rFonts w:ascii="Times New Roman" w:hAnsi="Times New Roman" w:cs="Times New Roman"/>
          <w:szCs w:val="22"/>
        </w:rPr>
        <w:t xml:space="preserve">Os esforços que o </w:t>
      </w:r>
      <w:r w:rsidR="005E1505">
        <w:rPr>
          <w:rFonts w:ascii="Times New Roman" w:hAnsi="Times New Roman" w:cs="Times New Roman"/>
          <w:szCs w:val="22"/>
        </w:rPr>
        <w:t>SAAE</w:t>
      </w:r>
      <w:r w:rsidRPr="005E1505">
        <w:rPr>
          <w:rFonts w:ascii="Times New Roman" w:hAnsi="Times New Roman" w:cs="Times New Roman"/>
          <w:szCs w:val="22"/>
        </w:rPr>
        <w:t xml:space="preserve"> impõe para que as obras e serviços estejam sempre em evolução, demonstram a vontade do município de sair de uma situação não satisfatória com relação aos efluentes domésticos produzidos. Estes dados serão tratados com maior ênfase no eixo Esgotamento Sanitário. </w:t>
      </w:r>
    </w:p>
    <w:p w:rsidR="00DD1974" w:rsidRPr="00E71464" w:rsidRDefault="00357451" w:rsidP="00971B37">
      <w:pPr>
        <w:pStyle w:val="Titulo"/>
      </w:pPr>
      <w:bookmarkStart w:id="187" w:name="_Toc372559084"/>
      <w:bookmarkStart w:id="188" w:name="_Toc372789516"/>
      <w:r>
        <w:t xml:space="preserve">10.4 </w:t>
      </w:r>
      <w:r w:rsidR="00DD1974" w:rsidRPr="00437716">
        <w:t>Destinação</w:t>
      </w:r>
      <w:r w:rsidR="00DD1974" w:rsidRPr="00E71464">
        <w:t xml:space="preserve"> dos Resíduos Sólidos</w:t>
      </w:r>
      <w:bookmarkEnd w:id="187"/>
      <w:bookmarkEnd w:id="188"/>
    </w:p>
    <w:p w:rsidR="00DD1974" w:rsidRPr="005E1505" w:rsidRDefault="00DD1974" w:rsidP="005E1505">
      <w:pPr>
        <w:pStyle w:val="CM73"/>
        <w:spacing w:line="360" w:lineRule="auto"/>
        <w:ind w:firstLine="708"/>
        <w:jc w:val="both"/>
        <w:rPr>
          <w:rFonts w:ascii="Times New Roman" w:hAnsi="Times New Roman" w:cs="Times New Roman"/>
          <w:szCs w:val="22"/>
        </w:rPr>
      </w:pPr>
      <w:r w:rsidRPr="005E1505">
        <w:rPr>
          <w:rFonts w:ascii="Times New Roman" w:hAnsi="Times New Roman" w:cs="Times New Roman"/>
          <w:szCs w:val="22"/>
        </w:rPr>
        <w:t xml:space="preserve">A coleta de resíduos sólidos é essencial para a manutenção da salubridade em um município, a destinação final correta dos resíduos, sejam eles oriundos das atividades domésticas, comerciais, industriais, hospitalares, da construção e demolição e até dos serviços de varrição, pode garantir uma cidade limpa e saúde adequada para toda a sua população. </w:t>
      </w:r>
    </w:p>
    <w:p w:rsidR="00DD1974" w:rsidRPr="005E1505" w:rsidRDefault="00DD1974" w:rsidP="005E1505">
      <w:pPr>
        <w:pStyle w:val="CM73"/>
        <w:spacing w:line="360" w:lineRule="auto"/>
        <w:ind w:firstLine="708"/>
        <w:jc w:val="both"/>
        <w:rPr>
          <w:rFonts w:ascii="Times New Roman" w:hAnsi="Times New Roman" w:cs="Times New Roman"/>
          <w:szCs w:val="22"/>
        </w:rPr>
      </w:pPr>
      <w:r w:rsidRPr="005E1505">
        <w:rPr>
          <w:rFonts w:ascii="Times New Roman" w:hAnsi="Times New Roman" w:cs="Times New Roman"/>
          <w:szCs w:val="22"/>
        </w:rPr>
        <w:t xml:space="preserve">Neste sentido, a análise da destinação dos resíduos sólidos de um município é fundamental para que se possa diagnosticar a situação da cidade e os impactos na saúde pública. A destinação incorreta dos resíduos pode provocar inúmeros impactos, como poluição de lençóis freáticos e dos recursos hídricos superficiais, poluição do ar quando queimado e proliferação de vetores de doenças e animais peçonhentos. Além disso, com o manejo inadequado, os resíduos sólidos podem transmitir doenças que serão abordadas no </w:t>
      </w:r>
      <w:r w:rsidRPr="005E1505">
        <w:rPr>
          <w:rFonts w:ascii="Times New Roman" w:hAnsi="Times New Roman" w:cs="Times New Roman"/>
          <w:szCs w:val="22"/>
        </w:rPr>
        <w:lastRenderedPageBreak/>
        <w:t xml:space="preserve">eixo Resíduos Sólidos deste trabalho. </w:t>
      </w:r>
    </w:p>
    <w:p w:rsidR="00DD1974" w:rsidRPr="005E1505" w:rsidRDefault="00DD1974" w:rsidP="005E1505">
      <w:pPr>
        <w:pStyle w:val="CM73"/>
        <w:spacing w:line="360" w:lineRule="auto"/>
        <w:ind w:firstLine="708"/>
        <w:jc w:val="both"/>
        <w:rPr>
          <w:rFonts w:ascii="Times New Roman" w:hAnsi="Times New Roman" w:cs="Times New Roman"/>
          <w:szCs w:val="22"/>
        </w:rPr>
      </w:pPr>
      <w:r w:rsidRPr="005E1505">
        <w:rPr>
          <w:rFonts w:ascii="Times New Roman" w:hAnsi="Times New Roman" w:cs="Times New Roman"/>
          <w:szCs w:val="22"/>
        </w:rPr>
        <w:t xml:space="preserve">Devido ao fato do Brasil possuir poucos municípios que contam com sistema de reciclagem, compostagem e outros métodos adequados de destinação do lixo, torna-se cada vez mais necessária a discussão sobre a destinação de resíduos, objetivando atingir a sustentabilidade ambiental que remete, além da diminuição dos impactos no meio ambiente, a melhor qualidade de vida da população. </w:t>
      </w:r>
    </w:p>
    <w:p w:rsidR="00DD1974" w:rsidRPr="005E1505" w:rsidRDefault="005E1505" w:rsidP="005E1505">
      <w:pPr>
        <w:pStyle w:val="CM73"/>
        <w:spacing w:line="360" w:lineRule="auto"/>
        <w:ind w:firstLine="708"/>
        <w:jc w:val="both"/>
        <w:rPr>
          <w:rFonts w:ascii="Times New Roman" w:hAnsi="Times New Roman" w:cs="Times New Roman"/>
          <w:szCs w:val="22"/>
        </w:rPr>
      </w:pPr>
      <w:r>
        <w:rPr>
          <w:rFonts w:ascii="Times New Roman" w:hAnsi="Times New Roman" w:cs="Times New Roman"/>
          <w:szCs w:val="22"/>
        </w:rPr>
        <w:t xml:space="preserve">A sede de </w:t>
      </w:r>
      <w:r w:rsidR="0038012F" w:rsidRPr="005E1505">
        <w:rPr>
          <w:rFonts w:ascii="Times New Roman" w:hAnsi="Times New Roman" w:cs="Times New Roman"/>
          <w:szCs w:val="22"/>
        </w:rPr>
        <w:t>Aimorés</w:t>
      </w:r>
      <w:r w:rsidR="00DD1974" w:rsidRPr="005E1505">
        <w:rPr>
          <w:rFonts w:ascii="Times New Roman" w:hAnsi="Times New Roman" w:cs="Times New Roman"/>
          <w:szCs w:val="22"/>
        </w:rPr>
        <w:t xml:space="preserve"> possui um aterro </w:t>
      </w:r>
      <w:r>
        <w:rPr>
          <w:rFonts w:ascii="Times New Roman" w:hAnsi="Times New Roman" w:cs="Times New Roman"/>
          <w:szCs w:val="22"/>
        </w:rPr>
        <w:t>sanitário e uma Usina de Triagem e Compostagem (UTC)</w:t>
      </w:r>
      <w:r w:rsidR="00DD1974" w:rsidRPr="005E1505">
        <w:rPr>
          <w:rFonts w:ascii="Times New Roman" w:hAnsi="Times New Roman" w:cs="Times New Roman"/>
          <w:szCs w:val="22"/>
        </w:rPr>
        <w:t xml:space="preserve"> com equipamentos e procedimentos necessários para a disposição dos resíduos sólidos. Est</w:t>
      </w:r>
      <w:r>
        <w:rPr>
          <w:rFonts w:ascii="Times New Roman" w:hAnsi="Times New Roman" w:cs="Times New Roman"/>
          <w:szCs w:val="22"/>
        </w:rPr>
        <w:t xml:space="preserve">e aterro está em fase final de </w:t>
      </w:r>
      <w:r w:rsidR="00DD1974" w:rsidRPr="005E1505">
        <w:rPr>
          <w:rFonts w:ascii="Times New Roman" w:hAnsi="Times New Roman" w:cs="Times New Roman"/>
          <w:szCs w:val="22"/>
        </w:rPr>
        <w:t xml:space="preserve">utilidade, necessitando assim de uma nova área ou implemento do consórcio intermunicipal para destinação em conjunto dos resíduos gerado. </w:t>
      </w:r>
    </w:p>
    <w:p w:rsidR="00437716" w:rsidRPr="00272BAF" w:rsidRDefault="00DD1974" w:rsidP="00272BAF">
      <w:pPr>
        <w:pStyle w:val="CM73"/>
        <w:spacing w:line="360" w:lineRule="auto"/>
        <w:ind w:firstLine="709"/>
        <w:jc w:val="both"/>
        <w:rPr>
          <w:rFonts w:ascii="Times New Roman" w:hAnsi="Times New Roman" w:cs="Times New Roman"/>
          <w:szCs w:val="22"/>
        </w:rPr>
      </w:pPr>
      <w:r w:rsidRPr="005E1505">
        <w:rPr>
          <w:rFonts w:ascii="Times New Roman" w:hAnsi="Times New Roman" w:cs="Times New Roman"/>
          <w:szCs w:val="22"/>
        </w:rPr>
        <w:t xml:space="preserve">Uma melhor percepção e detalhamento dos problemas existentes neste serviço estão relatados no eixo Limpeza Urbana e Manejo dos Resíduos Sólidos Urbanos. </w:t>
      </w:r>
    </w:p>
    <w:p w:rsidR="00DD1974" w:rsidRPr="00E71464" w:rsidRDefault="00357451" w:rsidP="00971B37">
      <w:pPr>
        <w:pStyle w:val="Titulo"/>
      </w:pPr>
      <w:bookmarkStart w:id="189" w:name="_Toc372559085"/>
      <w:bookmarkStart w:id="190" w:name="_Toc372789517"/>
      <w:r>
        <w:t xml:space="preserve">10.5 </w:t>
      </w:r>
      <w:r w:rsidR="00DD1974" w:rsidRPr="00437716">
        <w:t>Drenagem</w:t>
      </w:r>
      <w:r w:rsidR="00DD1974" w:rsidRPr="00E71464">
        <w:t xml:space="preserve"> e Manejo das Águas Pluviais</w:t>
      </w:r>
      <w:bookmarkEnd w:id="189"/>
      <w:bookmarkEnd w:id="190"/>
    </w:p>
    <w:p w:rsidR="00DD1974" w:rsidRPr="005E1505" w:rsidRDefault="00DD1974" w:rsidP="005E1505">
      <w:pPr>
        <w:pStyle w:val="CM73"/>
        <w:spacing w:line="360" w:lineRule="auto"/>
        <w:ind w:firstLine="708"/>
        <w:jc w:val="both"/>
        <w:rPr>
          <w:rFonts w:ascii="Times New Roman" w:hAnsi="Times New Roman" w:cs="Times New Roman"/>
          <w:szCs w:val="22"/>
        </w:rPr>
      </w:pPr>
      <w:r w:rsidRPr="005E1505">
        <w:rPr>
          <w:rFonts w:ascii="Times New Roman" w:hAnsi="Times New Roman" w:cs="Times New Roman"/>
          <w:szCs w:val="22"/>
        </w:rPr>
        <w:t xml:space="preserve">Drenagem é o termo empregado na designação das instalações destinadas a escoar o excesso de água proveniente das chuvas, na zona rural ou urbana. </w:t>
      </w:r>
    </w:p>
    <w:p w:rsidR="00DD1974" w:rsidRDefault="00DD1974" w:rsidP="00357451">
      <w:pPr>
        <w:pStyle w:val="CM73"/>
        <w:spacing w:line="360" w:lineRule="auto"/>
        <w:ind w:firstLine="708"/>
        <w:jc w:val="both"/>
      </w:pPr>
      <w:r w:rsidRPr="005E1505">
        <w:rPr>
          <w:rFonts w:ascii="Times New Roman" w:hAnsi="Times New Roman" w:cs="Times New Roman"/>
          <w:szCs w:val="22"/>
        </w:rPr>
        <w:t xml:space="preserve">A área de drenagem de uma bacia hidrográfica é representada pela área plana (projeção horizontal) compreendida dentro dos limites estabelecidos pelos seus divisores topográficos. O divisor se comporta como uma linha que une os pontos de máxima cota em torno da bacia, dividindo as águas de precipitações que escoam para bacias vizinhas e as que contribuem para o escoamento superficial da mesma. No município de </w:t>
      </w:r>
      <w:r w:rsidR="0038012F" w:rsidRPr="005E1505">
        <w:rPr>
          <w:rFonts w:ascii="Times New Roman" w:hAnsi="Times New Roman" w:cs="Times New Roman"/>
          <w:szCs w:val="22"/>
        </w:rPr>
        <w:t>Aimorés</w:t>
      </w:r>
      <w:r w:rsidRPr="005E1505">
        <w:rPr>
          <w:rFonts w:ascii="Times New Roman" w:hAnsi="Times New Roman" w:cs="Times New Roman"/>
          <w:szCs w:val="22"/>
        </w:rPr>
        <w:t xml:space="preserve">, existem duas </w:t>
      </w:r>
      <w:r w:rsidR="00B55826">
        <w:rPr>
          <w:rFonts w:ascii="Times New Roman" w:hAnsi="Times New Roman" w:cs="Times New Roman"/>
          <w:szCs w:val="22"/>
        </w:rPr>
        <w:t>sub-bacias hidrográficas, a do r</w:t>
      </w:r>
      <w:r w:rsidRPr="005E1505">
        <w:rPr>
          <w:rFonts w:ascii="Times New Roman" w:hAnsi="Times New Roman" w:cs="Times New Roman"/>
          <w:szCs w:val="22"/>
        </w:rPr>
        <w:t xml:space="preserve">io </w:t>
      </w:r>
      <w:r w:rsidR="00B55826">
        <w:rPr>
          <w:rFonts w:ascii="Times New Roman" w:hAnsi="Times New Roman" w:cs="Times New Roman"/>
          <w:szCs w:val="22"/>
        </w:rPr>
        <w:t>Manhuaçu</w:t>
      </w:r>
      <w:r w:rsidRPr="005E1505">
        <w:rPr>
          <w:rFonts w:ascii="Times New Roman" w:hAnsi="Times New Roman" w:cs="Times New Roman"/>
          <w:szCs w:val="22"/>
        </w:rPr>
        <w:t xml:space="preserve"> e a do rio </w:t>
      </w:r>
      <w:r w:rsidR="00B55826">
        <w:rPr>
          <w:rFonts w:ascii="Times New Roman" w:hAnsi="Times New Roman" w:cs="Times New Roman"/>
          <w:szCs w:val="22"/>
        </w:rPr>
        <w:t>Suaçuí, todas integrantes da bacia hidrográfica do rio Doce</w:t>
      </w:r>
      <w:r w:rsidRPr="005E1505">
        <w:rPr>
          <w:rFonts w:ascii="Times New Roman" w:hAnsi="Times New Roman" w:cs="Times New Roman"/>
          <w:szCs w:val="22"/>
        </w:rPr>
        <w:t xml:space="preserve">. </w:t>
      </w:r>
    </w:p>
    <w:p w:rsidR="00DD1974" w:rsidRPr="00B55826" w:rsidRDefault="00DD1974" w:rsidP="00B55826">
      <w:pPr>
        <w:pStyle w:val="CM73"/>
        <w:spacing w:line="360" w:lineRule="auto"/>
        <w:ind w:firstLine="708"/>
        <w:jc w:val="both"/>
        <w:rPr>
          <w:rFonts w:ascii="Times New Roman" w:hAnsi="Times New Roman" w:cs="Times New Roman"/>
          <w:szCs w:val="22"/>
        </w:rPr>
      </w:pPr>
      <w:r w:rsidRPr="00B55826">
        <w:rPr>
          <w:rFonts w:ascii="Times New Roman" w:hAnsi="Times New Roman" w:cs="Times New Roman"/>
          <w:szCs w:val="22"/>
        </w:rPr>
        <w:t xml:space="preserve">A drenagem urbana não se restringe aos aspectos puramente técnicos impostos pelos limites restritos à engenharia, pois compreende também o conjunto de medidas a serem tomadas que visam à atenuação dos riscos e dos prejuízos decorrentes de inundações, aos quais a população está sujeita. </w:t>
      </w:r>
    </w:p>
    <w:p w:rsidR="00DD1974" w:rsidRPr="00B55826" w:rsidRDefault="00DD1974" w:rsidP="00B55826">
      <w:pPr>
        <w:pStyle w:val="CM73"/>
        <w:spacing w:line="360" w:lineRule="auto"/>
        <w:ind w:firstLine="708"/>
        <w:jc w:val="both"/>
        <w:rPr>
          <w:rFonts w:ascii="Times New Roman" w:hAnsi="Times New Roman" w:cs="Times New Roman"/>
          <w:szCs w:val="22"/>
        </w:rPr>
      </w:pPr>
      <w:r w:rsidRPr="00B55826">
        <w:rPr>
          <w:rFonts w:ascii="Times New Roman" w:hAnsi="Times New Roman" w:cs="Times New Roman"/>
          <w:szCs w:val="22"/>
        </w:rPr>
        <w:t xml:space="preserve">O caminho percorrido pela água da chuva sobre a superfície pode ser topograficamente bem definido, ou não. Após a implantação da cidade, o percurso das enxurradas passa a ser determinado pelo traçado das ruas e acaba comportando-se, tanto </w:t>
      </w:r>
      <w:r w:rsidRPr="00B55826">
        <w:rPr>
          <w:rFonts w:ascii="Times New Roman" w:hAnsi="Times New Roman" w:cs="Times New Roman"/>
          <w:szCs w:val="22"/>
        </w:rPr>
        <w:lastRenderedPageBreak/>
        <w:t>quantitativamente como qualitativamente, de maneira bem diferente de seu comportamento original. Os originados pela precipitação direta sobre as vias públicas desembocam nos bueiros situados nas sarjetas. Estas torrentes, somadas à água da rede pública proveniente dos coletores localizados nos pátios e das calhas situadas nos topos das edificações, são escoadas pelas tubulações que alimentam os condutores secundários, a partir do qual atingem o fundo do vale, onde o escoamento é topograficamente bem definido, mesmo que não haja um curso d’água perene. O escoamento no fundo de vale é o que determina o chamado Sistema de Macrodrenagem. O sistema responsável pela captação da água pluvial e sua condução até o sistema de macrodrenagem é denominado Sistema de Microdrenagem</w:t>
      </w:r>
      <w:r w:rsidR="00B55826">
        <w:rPr>
          <w:rFonts w:ascii="Times New Roman" w:hAnsi="Times New Roman" w:cs="Times New Roman"/>
          <w:szCs w:val="22"/>
        </w:rPr>
        <w:t>.</w:t>
      </w:r>
      <w:r w:rsidRPr="00B55826">
        <w:rPr>
          <w:rFonts w:ascii="Times New Roman" w:hAnsi="Times New Roman" w:cs="Times New Roman"/>
          <w:szCs w:val="22"/>
        </w:rPr>
        <w:t xml:space="preserve"> Dentre os diversos fatores decisórios que influenciam de maneira determinante a eficiência com que os problemas relacionados à drenagem urbana possam ser resolvidos, destacam-se a exigência de meios legais e institucionais para que se possa elaborar uma política factível de drenagem urbana, uma política de ocupação das várzeas de inundação que não entre em conflito com esta política de drenagem urbana, recursos financeiros e meios técnicos que tornem viável a aplicação desta política, empresas que dominem eficientemente as tecnologias necessárias e que possam encarregar-se da implantação das obras, entidades capazes de desenvolver as atividades de comunicação social e promover a participação coletiva e, por fim, organismos que possam estabelecer critérios e aplicar leis e normas com relação ao setor. </w:t>
      </w:r>
    </w:p>
    <w:p w:rsidR="00DD1974" w:rsidRPr="00B55826" w:rsidRDefault="00DD1974" w:rsidP="00B55826">
      <w:pPr>
        <w:pStyle w:val="CM73"/>
        <w:spacing w:line="360" w:lineRule="auto"/>
        <w:ind w:firstLine="708"/>
        <w:jc w:val="both"/>
        <w:rPr>
          <w:rFonts w:ascii="Times New Roman" w:hAnsi="Times New Roman" w:cs="Times New Roman"/>
          <w:szCs w:val="22"/>
        </w:rPr>
      </w:pPr>
      <w:r w:rsidRPr="00B55826">
        <w:rPr>
          <w:rFonts w:ascii="Times New Roman" w:hAnsi="Times New Roman" w:cs="Times New Roman"/>
          <w:szCs w:val="22"/>
        </w:rPr>
        <w:t xml:space="preserve">Além disso, existe a necessidade de que as realidades complexas de longo prazo em toda a bacia sejam levadas em consideração durante o processo de planejamento das medidas locais de curto e médio prazo. A população também deve ser esclarecida através da organização de campanhas educativas. </w:t>
      </w:r>
    </w:p>
    <w:p w:rsidR="00DD1974" w:rsidRDefault="00DD1974" w:rsidP="00B55826">
      <w:pPr>
        <w:pStyle w:val="CM73"/>
        <w:spacing w:line="380" w:lineRule="atLeast"/>
        <w:ind w:firstLine="708"/>
        <w:jc w:val="both"/>
        <w:rPr>
          <w:sz w:val="22"/>
          <w:szCs w:val="22"/>
        </w:rPr>
      </w:pPr>
      <w:r w:rsidRPr="00B55826">
        <w:rPr>
          <w:rFonts w:ascii="Times New Roman" w:hAnsi="Times New Roman" w:cs="Times New Roman"/>
          <w:szCs w:val="22"/>
        </w:rPr>
        <w:t>Como consequência da urbanização, o comportamento do escoamento superficial das águas tem sofrido alterações substanciais, principalmente como decorrência da impermeabilização da superfície e do desmatamento, causando um aumento dos picos e volumes e, consequentemente, da erosão do solo. Com o desenvolvimento urbano ocorrendo de forma desordenada, estes resultados podem ser agravados com o assoreamento em canais e galerias, diminuindo sua capacidade de condução do excesso de água</w:t>
      </w:r>
      <w:r>
        <w:rPr>
          <w:sz w:val="22"/>
          <w:szCs w:val="22"/>
        </w:rPr>
        <w:t xml:space="preserve">. </w:t>
      </w:r>
    </w:p>
    <w:p w:rsidR="00DD1974" w:rsidRPr="00B55826" w:rsidRDefault="00DD1974" w:rsidP="00B55826">
      <w:pPr>
        <w:pStyle w:val="CM73"/>
        <w:spacing w:line="380" w:lineRule="atLeast"/>
        <w:ind w:firstLine="708"/>
        <w:jc w:val="both"/>
        <w:rPr>
          <w:rFonts w:ascii="Times New Roman" w:hAnsi="Times New Roman" w:cs="Times New Roman"/>
          <w:szCs w:val="22"/>
        </w:rPr>
      </w:pPr>
      <w:r w:rsidRPr="00B55826">
        <w:rPr>
          <w:rFonts w:ascii="Times New Roman" w:hAnsi="Times New Roman" w:cs="Times New Roman"/>
          <w:szCs w:val="22"/>
        </w:rPr>
        <w:t xml:space="preserve">Assim sendo, torna-se necessária a criação de alternativas que retardem o escoamento das águas para o corpo d’água receptor e melhorem o processo de infiltração dessa água no </w:t>
      </w:r>
      <w:r w:rsidRPr="00B55826">
        <w:rPr>
          <w:rFonts w:ascii="Times New Roman" w:hAnsi="Times New Roman" w:cs="Times New Roman"/>
          <w:szCs w:val="22"/>
        </w:rPr>
        <w:lastRenderedPageBreak/>
        <w:t xml:space="preserve">solo. Para isso, tem-se utilizado técnicas de retenção de águas pluviais na fonte, ou seja, nos próprios lotes, o que pode ser feito através de sistemas de reaproveitamento da água da chuva, aumento das áreas permeáveis, dentre outros. </w:t>
      </w:r>
    </w:p>
    <w:p w:rsidR="00437716" w:rsidRPr="00272BAF" w:rsidRDefault="00DD1974" w:rsidP="00272BAF">
      <w:pPr>
        <w:pStyle w:val="CM73"/>
        <w:spacing w:line="380" w:lineRule="atLeast"/>
        <w:ind w:firstLine="708"/>
        <w:jc w:val="both"/>
        <w:rPr>
          <w:rFonts w:ascii="Times New Roman" w:hAnsi="Times New Roman" w:cs="Times New Roman"/>
          <w:szCs w:val="22"/>
        </w:rPr>
      </w:pPr>
      <w:r w:rsidRPr="00B55826">
        <w:rPr>
          <w:rFonts w:ascii="Times New Roman" w:hAnsi="Times New Roman" w:cs="Times New Roman"/>
          <w:szCs w:val="22"/>
        </w:rPr>
        <w:t xml:space="preserve">Além de comprometer a qualidade da água e possibilitar a proliferação de doenças, a baixa abrangência da rede de esgoto, associada a uma coleta de lixo ineficiente e a um comportamento indisciplinado dos cidadãos devido </w:t>
      </w:r>
      <w:r w:rsidR="00B55826" w:rsidRPr="00B55826">
        <w:rPr>
          <w:rFonts w:ascii="Times New Roman" w:hAnsi="Times New Roman" w:cs="Times New Roman"/>
          <w:szCs w:val="22"/>
        </w:rPr>
        <w:t>à</w:t>
      </w:r>
      <w:r w:rsidRPr="00B55826">
        <w:rPr>
          <w:rFonts w:ascii="Times New Roman" w:hAnsi="Times New Roman" w:cs="Times New Roman"/>
          <w:szCs w:val="22"/>
        </w:rPr>
        <w:t xml:space="preserve"> falta de educação ambiental, acaba por entupir bueiros e galerias, levando a ocorrência de inu</w:t>
      </w:r>
      <w:r w:rsidR="00B55826">
        <w:rPr>
          <w:rFonts w:ascii="Times New Roman" w:hAnsi="Times New Roman" w:cs="Times New Roman"/>
          <w:szCs w:val="22"/>
        </w:rPr>
        <w:t xml:space="preserve">ndações. Estes processos estão </w:t>
      </w:r>
      <w:r w:rsidRPr="00B55826">
        <w:rPr>
          <w:rFonts w:ascii="Times New Roman" w:hAnsi="Times New Roman" w:cs="Times New Roman"/>
          <w:szCs w:val="22"/>
        </w:rPr>
        <w:t xml:space="preserve">inter-relacionados de forma bastante complexa, resultando em problemas que se referem não somente às inundações em alguns pontos da malha urbana, como também à poluição, ao clima e aos recursos hídricos de uma maneira geral. </w:t>
      </w:r>
    </w:p>
    <w:p w:rsidR="00211E8C" w:rsidRPr="007C124F" w:rsidRDefault="00357451" w:rsidP="00971B37">
      <w:pPr>
        <w:pStyle w:val="Titulo"/>
      </w:pPr>
      <w:bookmarkStart w:id="191" w:name="_Toc372559086"/>
      <w:bookmarkStart w:id="192" w:name="_Toc372789518"/>
      <w:r>
        <w:t xml:space="preserve">10.6 </w:t>
      </w:r>
      <w:r w:rsidRPr="00437716">
        <w:t>Diretrizes</w:t>
      </w:r>
      <w:bookmarkEnd w:id="191"/>
      <w:bookmarkEnd w:id="192"/>
    </w:p>
    <w:p w:rsidR="00437716" w:rsidRPr="00272BAF" w:rsidRDefault="00211E8C" w:rsidP="00272BAF">
      <w:pPr>
        <w:pStyle w:val="CM71"/>
        <w:spacing w:line="360" w:lineRule="auto"/>
        <w:ind w:firstLine="709"/>
        <w:jc w:val="both"/>
        <w:rPr>
          <w:rFonts w:ascii="Times New Roman" w:hAnsi="Times New Roman" w:cs="Times New Roman"/>
        </w:rPr>
      </w:pPr>
      <w:r w:rsidRPr="007C124F">
        <w:rPr>
          <w:rFonts w:ascii="Times New Roman" w:hAnsi="Times New Roman" w:cs="Times New Roman"/>
        </w:rPr>
        <w:t xml:space="preserve">As diretrizes nacionais para o saneamento básico são estabelecidas pela lei federal n°. 11.445/2007. Assim, o Plano Municipal de Saneamento Básico (PMSB) deve considerar o que a referida lei determina. Com base nessa premissa e considerando os anseios da população, foram estabelecidas as seguintes diretrizes do PMSB de </w:t>
      </w:r>
      <w:r w:rsidR="00497B30">
        <w:rPr>
          <w:rFonts w:ascii="Times New Roman" w:hAnsi="Times New Roman" w:cs="Times New Roman"/>
        </w:rPr>
        <w:t>Aimorés</w:t>
      </w:r>
      <w:r w:rsidRPr="007C124F">
        <w:rPr>
          <w:rFonts w:ascii="Times New Roman" w:hAnsi="Times New Roman" w:cs="Times New Roman"/>
        </w:rPr>
        <w:t xml:space="preserve">, relacionadas aos diferentes setores: </w:t>
      </w:r>
    </w:p>
    <w:p w:rsidR="00211E8C" w:rsidRPr="00A275C9" w:rsidRDefault="00272BAF" w:rsidP="00971B37">
      <w:pPr>
        <w:pStyle w:val="Titulo"/>
      </w:pPr>
      <w:bookmarkStart w:id="193" w:name="_Toc372559087"/>
      <w:bookmarkStart w:id="194" w:name="_Toc372789519"/>
      <w:r w:rsidRPr="00A275C9">
        <w:t xml:space="preserve">10.6.1 </w:t>
      </w:r>
      <w:r w:rsidR="00211E8C" w:rsidRPr="00A275C9">
        <w:t>Diretrizes Gerais (DG):</w:t>
      </w:r>
      <w:bookmarkEnd w:id="193"/>
      <w:bookmarkEnd w:id="194"/>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Garantir a adoção de ações para recuperação e conservação ambiental, evitando o assoreamento dos corpos hídricos e contaminação dos mananciais;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Estimular a adoção de mecanismos que minimizem a poluição ambiental;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Adotar medidas que contribuam para o desenvolvimento sustentável, considerando a relação existente entre os diversos setores do município;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Assegurar a prestação de serviços eficientes, garantindo publicidade às informações e sistema de atendimento ao usuário;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Priorizar ações que promovam a equidade social e territorial no acesso ao saneamento básico;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Ampliar progressivamente o acesso dos cidadãos e localidades de baixa renda aos serviços de saneamento básico considerando aspectos ambientais, sociais e viabilidade técnica e econômico-financeira; </w:t>
      </w:r>
    </w:p>
    <w:p w:rsidR="00211E8C" w:rsidRPr="0094421F" w:rsidRDefault="00211E8C" w:rsidP="0053477A">
      <w:pPr>
        <w:pStyle w:val="Default"/>
        <w:numPr>
          <w:ilvl w:val="0"/>
          <w:numId w:val="16"/>
        </w:numPr>
        <w:spacing w:line="360" w:lineRule="auto"/>
        <w:ind w:left="567" w:hanging="283"/>
        <w:jc w:val="both"/>
        <w:rPr>
          <w:rFonts w:ascii="Times New Roman" w:hAnsi="Times New Roman" w:cs="Times New Roman"/>
          <w:color w:val="auto"/>
          <w:spacing w:val="-6"/>
        </w:rPr>
      </w:pPr>
      <w:r w:rsidRPr="0094421F">
        <w:rPr>
          <w:rFonts w:ascii="Times New Roman" w:hAnsi="Times New Roman" w:cs="Times New Roman"/>
          <w:color w:val="auto"/>
          <w:spacing w:val="-6"/>
        </w:rPr>
        <w:lastRenderedPageBreak/>
        <w:t xml:space="preserve">Buscar o desenvolvimento sustentável, a regularidade, qualidade, atendimento às normas, eficiência e a eficácia dos serviços de saneamento;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Garantir meios adequados para o atendimento dos serviços de saneamento à população rural dispersa, inclusive mediante a utilização de soluções compatíveis com suas características econômicas e sociais peculiares;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Fomentar o desenvolvimento científico e tecnológico, a adoção de tecnologias apropriadas e a difusão dos conhecimentos gerados;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Estimular o uso de tecnologias modernas e eficientes, compatíveis com os níveis exigidos de qualidade, continuidade e segurança na prestação dos serviços;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Buscar a uniformização dos bancos de dados do município, possibilitando a adoção da bacia hidrográfica como unidade de referência para o planejamento de suas ações;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Adotar subsídios tarifários e não tarifários para os usuários e localidades que não tenham capacidade de pagamento ou escala econômica suficiente para cobrir o custo integral dos serviços de saneamento;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Buscar os recursos necessários para realização dos investimentos, de modo a cumprir as metas e objetivos dos serviços de saneamento;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Implementar ações referentes ao saneamento básico, atendendo o que é estabelecido pelos documentos legais pertinentes e contribuindo com as políticas públicas de outras esferas de governo, visando a melhoria da qualidade de vida, das condições ambientais e da saúde pública;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Assegurar publicidade dos relatórios, estudos e instrumentos equivalentes que se refiram à regulação ou à fiscalização dos serviços de saneamento; </w:t>
      </w:r>
    </w:p>
    <w:p w:rsidR="00211E8C" w:rsidRPr="007C124F"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Promover a conscientização ambiental da população, considerando questões relacionadas à preservação, saneamento e saúde pública; </w:t>
      </w:r>
    </w:p>
    <w:p w:rsidR="00211E8C" w:rsidRDefault="00211E8C" w:rsidP="0053477A">
      <w:pPr>
        <w:pStyle w:val="Default"/>
        <w:numPr>
          <w:ilvl w:val="0"/>
          <w:numId w:val="16"/>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Promover educação sanitária e ambiental que vise à construção da consciência individual e coletiva e de uma relação mais harmônica entre o homem e o ambiente. </w:t>
      </w:r>
    </w:p>
    <w:p w:rsidR="00211E8C" w:rsidRPr="00A275C9" w:rsidRDefault="0064025D" w:rsidP="00971B37">
      <w:pPr>
        <w:pStyle w:val="Titulo"/>
      </w:pPr>
      <w:bookmarkStart w:id="195" w:name="_Toc372559088"/>
      <w:bookmarkStart w:id="196" w:name="_Toc372789520"/>
      <w:r w:rsidRPr="00A275C9">
        <w:t xml:space="preserve">10.6.2 </w:t>
      </w:r>
      <w:r w:rsidR="00211E8C" w:rsidRPr="00A275C9">
        <w:t>Diretrizes do Abastecimento de Água (DA):</w:t>
      </w:r>
      <w:bookmarkEnd w:id="195"/>
      <w:bookmarkEnd w:id="196"/>
    </w:p>
    <w:p w:rsidR="00211E8C" w:rsidRPr="007C124F" w:rsidRDefault="00211E8C" w:rsidP="0053477A">
      <w:pPr>
        <w:pStyle w:val="Default"/>
        <w:numPr>
          <w:ilvl w:val="0"/>
          <w:numId w:val="17"/>
        </w:numPr>
        <w:spacing w:line="360" w:lineRule="auto"/>
        <w:ind w:left="568" w:hanging="284"/>
        <w:jc w:val="both"/>
        <w:rPr>
          <w:rFonts w:ascii="Times New Roman" w:hAnsi="Times New Roman" w:cs="Times New Roman"/>
          <w:color w:val="auto"/>
        </w:rPr>
      </w:pPr>
      <w:r w:rsidRPr="007C124F">
        <w:rPr>
          <w:rFonts w:ascii="Times New Roman" w:hAnsi="Times New Roman" w:cs="Times New Roman"/>
          <w:color w:val="auto"/>
        </w:rPr>
        <w:t xml:space="preserve">Ampliar progressivamente o acesso dos cidadãos, localidades de baixa renda e comunidades rurais aos serviços de abastecimento de água, considerando aspectos ambientais, sociais e viabilidade técnica e econômico-financeira; </w:t>
      </w:r>
    </w:p>
    <w:p w:rsidR="00211E8C" w:rsidRPr="007C124F" w:rsidRDefault="00211E8C" w:rsidP="0053477A">
      <w:pPr>
        <w:pStyle w:val="Default"/>
        <w:numPr>
          <w:ilvl w:val="0"/>
          <w:numId w:val="17"/>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lastRenderedPageBreak/>
        <w:t xml:space="preserve">Garantir o abastecimento de água eficaz a toda população municipal, considerando a qualidade da água, controle, regularidade e permanência na distribuição; </w:t>
      </w:r>
    </w:p>
    <w:p w:rsidR="00211E8C" w:rsidRPr="007C124F" w:rsidRDefault="00211E8C" w:rsidP="0053477A">
      <w:pPr>
        <w:pStyle w:val="Default"/>
        <w:numPr>
          <w:ilvl w:val="0"/>
          <w:numId w:val="17"/>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Criar mecanismos que garantam a preservação e manutenção de mananciais de abastecimento, garantindo água em quantidade e qualidade adequada para o abastecimento das presentes e futuras gerações; </w:t>
      </w:r>
    </w:p>
    <w:p w:rsidR="00211E8C" w:rsidRPr="007C124F" w:rsidRDefault="00211E8C" w:rsidP="0053477A">
      <w:pPr>
        <w:pStyle w:val="Default"/>
        <w:numPr>
          <w:ilvl w:val="0"/>
          <w:numId w:val="17"/>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Garantir a adoção de ações de controle e monitoramento da qualidade da água utilizada para o abastecimento, inclusive em soluções individuais; </w:t>
      </w:r>
    </w:p>
    <w:p w:rsidR="00211E8C" w:rsidRPr="007C124F" w:rsidRDefault="00211E8C" w:rsidP="0053477A">
      <w:pPr>
        <w:pStyle w:val="Default"/>
        <w:numPr>
          <w:ilvl w:val="0"/>
          <w:numId w:val="17"/>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Realizar avaliação periódica das tarifas e custos da manutenção dos serviços de abastecimento de água, incluindo subsídios à população de baixa renda, tendo em vista o equilíbrio econômico-financeiro; </w:t>
      </w:r>
    </w:p>
    <w:p w:rsidR="00211E8C" w:rsidRDefault="00211E8C" w:rsidP="0053477A">
      <w:pPr>
        <w:pStyle w:val="Default"/>
        <w:numPr>
          <w:ilvl w:val="0"/>
          <w:numId w:val="17"/>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Implementar medidas que promovam o uso racional, reuso e reaproveitamento da água. </w:t>
      </w:r>
    </w:p>
    <w:p w:rsidR="00211E8C" w:rsidRPr="00A275C9" w:rsidRDefault="0064025D" w:rsidP="00971B37">
      <w:pPr>
        <w:pStyle w:val="Titulo"/>
      </w:pPr>
      <w:bookmarkStart w:id="197" w:name="_Toc372559089"/>
      <w:bookmarkStart w:id="198" w:name="_Toc372789521"/>
      <w:r w:rsidRPr="00A275C9">
        <w:t xml:space="preserve">10.6.3 </w:t>
      </w:r>
      <w:r w:rsidR="00211E8C" w:rsidRPr="00A275C9">
        <w:t>Diretrizes do Esgotamento Sanitário (DE):</w:t>
      </w:r>
      <w:bookmarkEnd w:id="197"/>
      <w:bookmarkEnd w:id="198"/>
    </w:p>
    <w:p w:rsidR="00211E8C" w:rsidRPr="007C124F" w:rsidRDefault="00211E8C" w:rsidP="0053477A">
      <w:pPr>
        <w:pStyle w:val="Default"/>
        <w:numPr>
          <w:ilvl w:val="0"/>
          <w:numId w:val="18"/>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Ampliar o sistema de esgotamento sanitário para atender toda população municipal adotando práticas adequadas para tratamento do esgoto gerado, sem causar prejuízos ao meio ambiente e saúde pública; </w:t>
      </w:r>
    </w:p>
    <w:p w:rsidR="00211E8C" w:rsidRPr="007C124F" w:rsidRDefault="00211E8C" w:rsidP="0053477A">
      <w:pPr>
        <w:pStyle w:val="Default"/>
        <w:numPr>
          <w:ilvl w:val="0"/>
          <w:numId w:val="18"/>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Criar mecanismos que garantam maior controle e monitoramento do sistema de esgotamento sanitário, assegurando o funcionamento adequado do sistema e evitando a contaminação ambiental; </w:t>
      </w:r>
    </w:p>
    <w:p w:rsidR="00211E8C" w:rsidRPr="007C124F" w:rsidRDefault="00211E8C" w:rsidP="0053477A">
      <w:pPr>
        <w:pStyle w:val="Default"/>
        <w:numPr>
          <w:ilvl w:val="0"/>
          <w:numId w:val="18"/>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Implementar medidas que garantam maior controle das fossas, promovendo a adequação das mesmas a critérios que assegurem a proteção dos mananciais; </w:t>
      </w:r>
    </w:p>
    <w:p w:rsidR="00211E8C" w:rsidRPr="007C124F" w:rsidRDefault="00211E8C" w:rsidP="0053477A">
      <w:pPr>
        <w:pStyle w:val="Default"/>
        <w:numPr>
          <w:ilvl w:val="0"/>
          <w:numId w:val="18"/>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Garantir a implementação de sistemas de divulgação e esclarecimento à população com relação ao esgotamento sanitário, incluindo obras previstas e executadas e custos cobrados pelos serviços prestados; </w:t>
      </w:r>
    </w:p>
    <w:p w:rsidR="00211E8C" w:rsidRDefault="00211E8C" w:rsidP="0053477A">
      <w:pPr>
        <w:pStyle w:val="Default"/>
        <w:numPr>
          <w:ilvl w:val="0"/>
          <w:numId w:val="18"/>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Assegurar o acesso da população de baixa renda aos serviços de esgotamento sanitário. </w:t>
      </w:r>
    </w:p>
    <w:p w:rsidR="00211E8C" w:rsidRPr="00272BAF" w:rsidRDefault="0064025D" w:rsidP="00971B37">
      <w:pPr>
        <w:pStyle w:val="Titulo"/>
        <w:rPr>
          <w:i/>
        </w:rPr>
      </w:pPr>
      <w:bookmarkStart w:id="199" w:name="_Toc372559090"/>
      <w:bookmarkStart w:id="200" w:name="_Toc372789522"/>
      <w:r w:rsidRPr="00A275C9">
        <w:t xml:space="preserve">10.6.4 </w:t>
      </w:r>
      <w:r w:rsidR="00211E8C" w:rsidRPr="00A275C9">
        <w:t>Diretrizes da Limpeza Urbana e Manejo dos Resíduos Sólidos (DR):</w:t>
      </w:r>
      <w:bookmarkEnd w:id="199"/>
      <w:bookmarkEnd w:id="200"/>
    </w:p>
    <w:p w:rsidR="00211E8C" w:rsidRPr="007C124F" w:rsidRDefault="00211E8C" w:rsidP="0053477A">
      <w:pPr>
        <w:pStyle w:val="Default"/>
        <w:numPr>
          <w:ilvl w:val="0"/>
          <w:numId w:val="19"/>
        </w:numPr>
        <w:spacing w:line="360" w:lineRule="auto"/>
        <w:ind w:left="568" w:hanging="284"/>
        <w:jc w:val="both"/>
        <w:rPr>
          <w:rFonts w:ascii="Times New Roman" w:hAnsi="Times New Roman" w:cs="Times New Roman"/>
          <w:color w:val="auto"/>
        </w:rPr>
      </w:pPr>
      <w:r w:rsidRPr="007C124F">
        <w:rPr>
          <w:rFonts w:ascii="Times New Roman" w:hAnsi="Times New Roman" w:cs="Times New Roman"/>
          <w:color w:val="auto"/>
        </w:rPr>
        <w:t xml:space="preserve">Implementar medidas que garantam a redução, reutilização e reciclagem dos resíduos, diminuindo os passivos ambientais gerados com a destinação final dos mesmos; </w:t>
      </w:r>
    </w:p>
    <w:p w:rsidR="00211E8C" w:rsidRPr="007C124F" w:rsidRDefault="00211E8C" w:rsidP="0053477A">
      <w:pPr>
        <w:pStyle w:val="Default"/>
        <w:numPr>
          <w:ilvl w:val="0"/>
          <w:numId w:val="19"/>
        </w:numPr>
        <w:spacing w:line="360" w:lineRule="auto"/>
        <w:ind w:left="568" w:hanging="284"/>
        <w:jc w:val="both"/>
        <w:rPr>
          <w:rFonts w:ascii="Times New Roman" w:hAnsi="Times New Roman" w:cs="Times New Roman"/>
          <w:color w:val="auto"/>
        </w:rPr>
      </w:pPr>
      <w:r w:rsidRPr="007C124F">
        <w:rPr>
          <w:rFonts w:ascii="Times New Roman" w:hAnsi="Times New Roman" w:cs="Times New Roman"/>
          <w:color w:val="auto"/>
        </w:rPr>
        <w:t xml:space="preserve">Criar mecanismos que assegurem a correta destinação dos resíduos gerados com a </w:t>
      </w:r>
      <w:r w:rsidRPr="007C124F">
        <w:rPr>
          <w:rFonts w:ascii="Times New Roman" w:hAnsi="Times New Roman" w:cs="Times New Roman"/>
          <w:color w:val="auto"/>
        </w:rPr>
        <w:lastRenderedPageBreak/>
        <w:t xml:space="preserve">prestação de serviço público de limpeza urbana e manejo de resíduos sólidos urbanos, reduzindo a proliferação de vetores e animais peçonhentos e a degradação ambiental; </w:t>
      </w:r>
    </w:p>
    <w:p w:rsidR="00211E8C" w:rsidRPr="007C124F" w:rsidRDefault="00211E8C" w:rsidP="0053477A">
      <w:pPr>
        <w:pStyle w:val="Default"/>
        <w:numPr>
          <w:ilvl w:val="0"/>
          <w:numId w:val="19"/>
        </w:numPr>
        <w:spacing w:line="360" w:lineRule="auto"/>
        <w:ind w:left="568" w:hanging="284"/>
        <w:jc w:val="both"/>
        <w:rPr>
          <w:rFonts w:ascii="Times New Roman" w:hAnsi="Times New Roman" w:cs="Times New Roman"/>
          <w:color w:val="auto"/>
        </w:rPr>
      </w:pPr>
      <w:r w:rsidRPr="007C124F">
        <w:rPr>
          <w:rFonts w:ascii="Times New Roman" w:hAnsi="Times New Roman" w:cs="Times New Roman"/>
          <w:color w:val="auto"/>
        </w:rPr>
        <w:t xml:space="preserve">Promover a conscientização da população para práticas adequadas com relação aos resíduos sólidos, considerando reaproveitamento dos resíduos tendo em vista aspectos econômicos e ambientais e evitando possíveis danos causados pela destinação inadequada do lixo; </w:t>
      </w:r>
    </w:p>
    <w:p w:rsidR="00211E8C" w:rsidRPr="007C124F" w:rsidRDefault="00211E8C" w:rsidP="0053477A">
      <w:pPr>
        <w:pStyle w:val="Default"/>
        <w:numPr>
          <w:ilvl w:val="0"/>
          <w:numId w:val="19"/>
        </w:numPr>
        <w:spacing w:line="360" w:lineRule="auto"/>
        <w:ind w:left="568" w:hanging="284"/>
        <w:jc w:val="both"/>
        <w:rPr>
          <w:rFonts w:ascii="Times New Roman" w:hAnsi="Times New Roman" w:cs="Times New Roman"/>
          <w:color w:val="auto"/>
        </w:rPr>
      </w:pPr>
      <w:r w:rsidRPr="007C124F">
        <w:rPr>
          <w:rFonts w:ascii="Times New Roman" w:hAnsi="Times New Roman" w:cs="Times New Roman"/>
          <w:color w:val="auto"/>
        </w:rPr>
        <w:t xml:space="preserve">Estabelecer sistema de controle e monitoramento que promova a gestão adequada dos resíduos de responsabilidade do gerador; </w:t>
      </w:r>
    </w:p>
    <w:p w:rsidR="00211E8C" w:rsidRPr="008846C3" w:rsidRDefault="00211E8C" w:rsidP="0053477A">
      <w:pPr>
        <w:pStyle w:val="Default"/>
        <w:numPr>
          <w:ilvl w:val="0"/>
          <w:numId w:val="19"/>
        </w:numPr>
        <w:spacing w:line="360" w:lineRule="auto"/>
        <w:ind w:left="568" w:hanging="284"/>
        <w:jc w:val="both"/>
        <w:rPr>
          <w:rFonts w:ascii="Times New Roman" w:hAnsi="Times New Roman" w:cs="Times New Roman"/>
          <w:color w:val="auto"/>
          <w:spacing w:val="-4"/>
        </w:rPr>
      </w:pPr>
      <w:r w:rsidRPr="008846C3">
        <w:rPr>
          <w:rFonts w:ascii="Times New Roman" w:hAnsi="Times New Roman" w:cs="Times New Roman"/>
          <w:color w:val="auto"/>
          <w:spacing w:val="-4"/>
        </w:rPr>
        <w:t xml:space="preserve">Inibir o destino irregular de todos os tipos de resíduos, estimulando adoção de sistema eficiente de gerenciamento de resíduos sólidos, considerando aspectos ambientais, socioeconômicos e de saúde pública; </w:t>
      </w:r>
    </w:p>
    <w:p w:rsidR="00211E8C" w:rsidRDefault="00211E8C" w:rsidP="0053477A">
      <w:pPr>
        <w:pStyle w:val="Default"/>
        <w:numPr>
          <w:ilvl w:val="0"/>
          <w:numId w:val="19"/>
        </w:numPr>
        <w:spacing w:line="360" w:lineRule="auto"/>
        <w:ind w:left="568" w:hanging="284"/>
        <w:jc w:val="both"/>
        <w:rPr>
          <w:rFonts w:ascii="Times New Roman" w:hAnsi="Times New Roman" w:cs="Times New Roman"/>
          <w:color w:val="auto"/>
        </w:rPr>
      </w:pPr>
      <w:r w:rsidRPr="007C124F">
        <w:rPr>
          <w:rFonts w:ascii="Times New Roman" w:hAnsi="Times New Roman" w:cs="Times New Roman"/>
          <w:color w:val="auto"/>
        </w:rPr>
        <w:t xml:space="preserve">Incrementar os serviços de limpeza urbana para todo município tendo em vista a melhoria da qualidade de vida; </w:t>
      </w:r>
    </w:p>
    <w:p w:rsidR="00211E8C" w:rsidRPr="00A275C9" w:rsidRDefault="0064025D" w:rsidP="00971B37">
      <w:pPr>
        <w:pStyle w:val="Titulo"/>
      </w:pPr>
      <w:bookmarkStart w:id="201" w:name="_Toc372559091"/>
      <w:bookmarkStart w:id="202" w:name="_Toc372789523"/>
      <w:r w:rsidRPr="00A275C9">
        <w:t xml:space="preserve">10.6.5 </w:t>
      </w:r>
      <w:r w:rsidR="00211E8C" w:rsidRPr="00A275C9">
        <w:t>Diretrizes da Drenagem e Manejo de Águas Pluviais (DD):</w:t>
      </w:r>
      <w:bookmarkEnd w:id="201"/>
      <w:bookmarkEnd w:id="202"/>
    </w:p>
    <w:p w:rsidR="00211E8C" w:rsidRPr="007C124F" w:rsidRDefault="00211E8C" w:rsidP="0053477A">
      <w:pPr>
        <w:pStyle w:val="Default"/>
        <w:numPr>
          <w:ilvl w:val="0"/>
          <w:numId w:val="20"/>
        </w:numPr>
        <w:spacing w:line="360" w:lineRule="auto"/>
        <w:ind w:left="567" w:hanging="283"/>
        <w:jc w:val="both"/>
        <w:rPr>
          <w:rFonts w:ascii="Times New Roman" w:hAnsi="Times New Roman" w:cs="Times New Roman"/>
          <w:color w:val="auto"/>
        </w:rPr>
      </w:pPr>
      <w:r w:rsidRPr="007C124F">
        <w:rPr>
          <w:rFonts w:ascii="Times New Roman" w:hAnsi="Times New Roman" w:cs="Times New Roman"/>
          <w:color w:val="auto"/>
        </w:rPr>
        <w:t xml:space="preserve">Implementar medidas sustentáveis de manejo de águas pluviais tendo em vista a qualidade de vida e conservação ambiental, criando mecanismos que garantam a eficiência do sistema; </w:t>
      </w:r>
    </w:p>
    <w:p w:rsidR="00CE6EAD" w:rsidRPr="00B244CE" w:rsidRDefault="00211E8C" w:rsidP="005C3DC4">
      <w:pPr>
        <w:pStyle w:val="Default"/>
        <w:numPr>
          <w:ilvl w:val="0"/>
          <w:numId w:val="20"/>
        </w:numPr>
        <w:spacing w:after="200" w:line="276" w:lineRule="auto"/>
        <w:ind w:left="567" w:hanging="283"/>
        <w:jc w:val="both"/>
        <w:rPr>
          <w:rFonts w:eastAsiaTheme="majorEastAsia" w:cs="Times New Roman"/>
          <w:b/>
          <w:bCs/>
          <w:color w:val="000000" w:themeColor="text1"/>
          <w:szCs w:val="28"/>
        </w:rPr>
      </w:pPr>
      <w:r w:rsidRPr="00B244CE">
        <w:rPr>
          <w:rFonts w:ascii="Times New Roman" w:hAnsi="Times New Roman" w:cs="Times New Roman"/>
          <w:color w:val="auto"/>
        </w:rPr>
        <w:t xml:space="preserve">Ampliar e incrementar sistema de drenagem, solucionando problemas causados por ineficiência do sistema e falta de manutenção (alagamentos, erosões etc.), considerando a segurança pública, aspectos ambientais, desenvolvimento do município e possibilidade de ocorrência de eventos críticos. </w:t>
      </w:r>
      <w:bookmarkStart w:id="203" w:name="_Toc372559092"/>
      <w:r w:rsidR="00CE6EAD">
        <w:br w:type="page"/>
      </w:r>
    </w:p>
    <w:p w:rsidR="00E32574" w:rsidRDefault="00357451" w:rsidP="00971B37">
      <w:pPr>
        <w:pStyle w:val="Titulo"/>
      </w:pPr>
      <w:bookmarkStart w:id="204" w:name="_Toc372789524"/>
      <w:r>
        <w:lastRenderedPageBreak/>
        <w:t xml:space="preserve">11 </w:t>
      </w:r>
      <w:r w:rsidR="00E32574" w:rsidRPr="00AC38E5">
        <w:t>ABASTECIMENTO DE ÁGUA</w:t>
      </w:r>
      <w:bookmarkEnd w:id="203"/>
      <w:bookmarkEnd w:id="204"/>
    </w:p>
    <w:p w:rsidR="00E32574" w:rsidRDefault="00E32574" w:rsidP="00357451">
      <w:pPr>
        <w:pStyle w:val="CM71"/>
        <w:spacing w:line="360" w:lineRule="auto"/>
        <w:ind w:firstLine="709"/>
        <w:jc w:val="both"/>
        <w:rPr>
          <w:rFonts w:ascii="Times New Roman" w:hAnsi="Times New Roman" w:cs="Times New Roman"/>
        </w:rPr>
      </w:pPr>
      <w:r w:rsidRPr="00AC38E5">
        <w:rPr>
          <w:rFonts w:ascii="Times New Roman" w:hAnsi="Times New Roman" w:cs="Times New Roman"/>
        </w:rPr>
        <w:t xml:space="preserve">O diagnóstico do sistema de abastecimento de água existente em Aimorés foi elaborado a partir das informações disponibilizadas pelo Serviço Municipal de Água e Esgoto </w:t>
      </w:r>
      <w:r w:rsidR="003F090E">
        <w:rPr>
          <w:rFonts w:ascii="Times New Roman" w:hAnsi="Times New Roman" w:cs="Times New Roman"/>
        </w:rPr>
        <w:t>–</w:t>
      </w:r>
      <w:r>
        <w:rPr>
          <w:rFonts w:ascii="Times New Roman" w:hAnsi="Times New Roman" w:cs="Times New Roman"/>
        </w:rPr>
        <w:t xml:space="preserve"> </w:t>
      </w:r>
      <w:r w:rsidRPr="00AC38E5">
        <w:rPr>
          <w:rFonts w:ascii="Times New Roman" w:hAnsi="Times New Roman" w:cs="Times New Roman"/>
        </w:rPr>
        <w:t>SAAE</w:t>
      </w:r>
      <w:r w:rsidR="003F090E">
        <w:rPr>
          <w:rFonts w:ascii="Times New Roman" w:hAnsi="Times New Roman" w:cs="Times New Roman"/>
        </w:rPr>
        <w:t xml:space="preserve"> (2013)</w:t>
      </w:r>
      <w:r w:rsidRPr="00AC38E5">
        <w:rPr>
          <w:rFonts w:ascii="Times New Roman" w:hAnsi="Times New Roman" w:cs="Times New Roman"/>
        </w:rPr>
        <w:t xml:space="preserve"> e pelo Sistema Nacional de Informações sobre Saneamento</w:t>
      </w:r>
      <w:r>
        <w:rPr>
          <w:rFonts w:ascii="Times New Roman" w:hAnsi="Times New Roman" w:cs="Times New Roman"/>
        </w:rPr>
        <w:t xml:space="preserve"> </w:t>
      </w:r>
      <w:r w:rsidRPr="00AC38E5">
        <w:rPr>
          <w:rFonts w:ascii="Times New Roman" w:hAnsi="Times New Roman" w:cs="Times New Roman"/>
        </w:rPr>
        <w:t>-</w:t>
      </w:r>
      <w:r>
        <w:rPr>
          <w:rFonts w:ascii="Times New Roman" w:hAnsi="Times New Roman" w:cs="Times New Roman"/>
        </w:rPr>
        <w:t xml:space="preserve"> </w:t>
      </w:r>
      <w:r w:rsidRPr="00AC38E5">
        <w:rPr>
          <w:rFonts w:ascii="Times New Roman" w:hAnsi="Times New Roman" w:cs="Times New Roman"/>
        </w:rPr>
        <w:t>SNIS (2010</w:t>
      </w:r>
      <w:r>
        <w:rPr>
          <w:rFonts w:ascii="Times New Roman" w:hAnsi="Times New Roman" w:cs="Times New Roman"/>
        </w:rPr>
        <w:t>, 2011</w:t>
      </w:r>
      <w:r w:rsidRPr="00AC38E5">
        <w:rPr>
          <w:rFonts w:ascii="Times New Roman" w:hAnsi="Times New Roman" w:cs="Times New Roman"/>
        </w:rPr>
        <w:t xml:space="preserve">), através de levantamentos de campo e entrevistas com os técnicos da prefeitura e outros órgãos como a Secretaria Municipal de Meio Ambiente, Secretaria Municipal de Saúde e Secretaria Municipal de Planejamento e Gestão e seus departamentos. </w:t>
      </w:r>
    </w:p>
    <w:p w:rsidR="00E32574" w:rsidRPr="00AC38E5" w:rsidRDefault="00357451" w:rsidP="00971B37">
      <w:pPr>
        <w:pStyle w:val="Titulo"/>
      </w:pPr>
      <w:bookmarkStart w:id="205" w:name="_Toc372559093"/>
      <w:bookmarkStart w:id="206" w:name="_Toc372789525"/>
      <w:r>
        <w:t xml:space="preserve">11.1 </w:t>
      </w:r>
      <w:r w:rsidR="00E32574" w:rsidRPr="00AC38E5">
        <w:t xml:space="preserve">Configuração do Sistema de </w:t>
      </w:r>
      <w:r w:rsidR="00E32574" w:rsidRPr="00437716">
        <w:t>Abastecimento</w:t>
      </w:r>
      <w:r w:rsidR="00E32574" w:rsidRPr="00AC38E5">
        <w:t xml:space="preserve"> de Água (SAA)</w:t>
      </w:r>
      <w:bookmarkEnd w:id="205"/>
      <w:bookmarkEnd w:id="206"/>
    </w:p>
    <w:p w:rsidR="00E32574" w:rsidRPr="00AC3030" w:rsidRDefault="00E32574" w:rsidP="00E32574">
      <w:pPr>
        <w:pStyle w:val="CM71"/>
        <w:spacing w:line="360" w:lineRule="auto"/>
        <w:ind w:firstLine="708"/>
        <w:jc w:val="both"/>
      </w:pPr>
      <w:r>
        <w:rPr>
          <w:rFonts w:ascii="Times New Roman" w:hAnsi="Times New Roman" w:cs="Times New Roman"/>
        </w:rPr>
        <w:t>Segundo FUNASA</w:t>
      </w:r>
      <w:r w:rsidRPr="00060D13">
        <w:rPr>
          <w:rFonts w:ascii="Times New Roman" w:hAnsi="Times New Roman" w:cs="Times New Roman"/>
        </w:rPr>
        <w:t xml:space="preserve"> (2004), Sistema de Abastecimento de Água</w:t>
      </w:r>
      <w:r>
        <w:rPr>
          <w:rFonts w:ascii="Times New Roman" w:hAnsi="Times New Roman" w:cs="Times New Roman"/>
        </w:rPr>
        <w:t xml:space="preserve"> (SAA)</w:t>
      </w:r>
      <w:r w:rsidRPr="00060D13">
        <w:rPr>
          <w:rFonts w:ascii="Times New Roman" w:hAnsi="Times New Roman" w:cs="Times New Roman"/>
        </w:rPr>
        <w:t xml:space="preserve"> para consumo humano é a instalação composta por conjuntos de obras civis, materiais e equipamentos, destinada à produção e à distribuição canalizada de água potável para populações, sob a re</w:t>
      </w:r>
      <w:r>
        <w:rPr>
          <w:rFonts w:ascii="Times New Roman" w:hAnsi="Times New Roman" w:cs="Times New Roman"/>
        </w:rPr>
        <w:t>s</w:t>
      </w:r>
      <w:r w:rsidRPr="00060D13">
        <w:rPr>
          <w:rFonts w:ascii="Times New Roman" w:hAnsi="Times New Roman" w:cs="Times New Roman"/>
        </w:rPr>
        <w:t>ponsabilidade do poder público, mesmo que administrada em regime de concessão ou permissão</w:t>
      </w:r>
      <w:r>
        <w:rPr>
          <w:rFonts w:ascii="Times New Roman" w:hAnsi="Times New Roman" w:cs="Times New Roman"/>
        </w:rPr>
        <w:t xml:space="preserve"> (Figura </w:t>
      </w:r>
      <w:r w:rsidR="003A071C">
        <w:rPr>
          <w:rFonts w:ascii="Times New Roman" w:hAnsi="Times New Roman" w:cs="Times New Roman"/>
        </w:rPr>
        <w:t>37</w:t>
      </w:r>
      <w:r>
        <w:rPr>
          <w:rFonts w:ascii="Times New Roman" w:hAnsi="Times New Roman" w:cs="Times New Roman"/>
        </w:rPr>
        <w:t>)</w:t>
      </w:r>
      <w:r w:rsidRPr="00060D13">
        <w:rPr>
          <w:rFonts w:ascii="Times New Roman" w:hAnsi="Times New Roman" w:cs="Times New Roman"/>
        </w:rPr>
        <w:t>.</w:t>
      </w:r>
    </w:p>
    <w:p w:rsidR="00E32574" w:rsidRPr="003A071C" w:rsidRDefault="00CB07F3" w:rsidP="00CB07F3">
      <w:pPr>
        <w:pStyle w:val="Legenda"/>
        <w:rPr>
          <w:b w:val="0"/>
        </w:rPr>
      </w:pPr>
      <w:bookmarkStart w:id="207" w:name="_Toc372740120"/>
      <w:r>
        <w:t xml:space="preserve">Figura </w:t>
      </w:r>
      <w:fldSimple w:instr=" SEQ Figura \* ARABIC ">
        <w:r w:rsidR="004F77E2">
          <w:rPr>
            <w:noProof/>
          </w:rPr>
          <w:t>37</w:t>
        </w:r>
      </w:fldSimple>
      <w:r>
        <w:t xml:space="preserve"> - </w:t>
      </w:r>
      <w:r w:rsidRPr="00370DB9">
        <w:t>Esquema Geral de um Sistema de Abastecimento de Água.</w:t>
      </w:r>
      <w:bookmarkEnd w:id="207"/>
    </w:p>
    <w:p w:rsidR="00E32574" w:rsidRDefault="00E32574" w:rsidP="00E32574">
      <w:pPr>
        <w:jc w:val="center"/>
        <w:rPr>
          <w:lang w:eastAsia="pt-BR"/>
        </w:rPr>
      </w:pPr>
      <w:r>
        <w:rPr>
          <w:noProof/>
          <w:lang w:eastAsia="pt-BR"/>
        </w:rPr>
        <w:drawing>
          <wp:inline distT="0" distB="0" distL="0" distR="0" wp14:anchorId="17C83675" wp14:editId="76DDDF26">
            <wp:extent cx="5285038" cy="3474720"/>
            <wp:effectExtent l="19050" t="0" r="0" b="0"/>
            <wp:docPr id="144" name="Imagem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88500" cy="3476996"/>
                    </a:xfrm>
                    <a:prstGeom prst="rect">
                      <a:avLst/>
                    </a:prstGeom>
                    <a:noFill/>
                    <a:ln>
                      <a:noFill/>
                    </a:ln>
                  </pic:spPr>
                </pic:pic>
              </a:graphicData>
            </a:graphic>
          </wp:inline>
        </w:drawing>
      </w:r>
    </w:p>
    <w:p w:rsidR="00E32574" w:rsidRDefault="00CA0C81" w:rsidP="00CA0C81">
      <w:pPr>
        <w:pStyle w:val="Fonte"/>
        <w:rPr>
          <w:lang w:eastAsia="pt-BR"/>
        </w:rPr>
      </w:pPr>
      <w:r>
        <w:rPr>
          <w:lang w:eastAsia="pt-BR"/>
        </w:rPr>
        <w:t xml:space="preserve"> </w:t>
      </w:r>
      <w:r w:rsidR="001C2E91">
        <w:rPr>
          <w:lang w:eastAsia="pt-BR"/>
        </w:rPr>
        <w:t xml:space="preserve">  </w:t>
      </w:r>
      <w:r w:rsidR="004B6B35">
        <w:rPr>
          <w:lang w:eastAsia="pt-BR"/>
        </w:rPr>
        <w:t xml:space="preserve">  </w:t>
      </w:r>
      <w:r w:rsidR="00E32574" w:rsidRPr="00AC3030">
        <w:rPr>
          <w:lang w:eastAsia="pt-BR"/>
        </w:rPr>
        <w:t xml:space="preserve">Fonte: </w:t>
      </w:r>
      <w:r w:rsidR="00E32574">
        <w:rPr>
          <w:lang w:eastAsia="pt-BR"/>
        </w:rPr>
        <w:t>BRASIL, 2006</w:t>
      </w:r>
      <w:r w:rsidR="00E32574" w:rsidRPr="00AC3030">
        <w:rPr>
          <w:lang w:eastAsia="pt-BR"/>
        </w:rPr>
        <w:t>.</w:t>
      </w:r>
    </w:p>
    <w:p w:rsidR="00B244CE" w:rsidRPr="008846C3" w:rsidRDefault="00B244CE" w:rsidP="00CA0C81">
      <w:pPr>
        <w:pStyle w:val="Fonte"/>
        <w:rPr>
          <w:lang w:eastAsia="pt-BR"/>
        </w:rPr>
      </w:pPr>
    </w:p>
    <w:p w:rsidR="00E32574" w:rsidRDefault="00E32574" w:rsidP="00E32574">
      <w:pPr>
        <w:pStyle w:val="CM71"/>
        <w:spacing w:line="360" w:lineRule="auto"/>
        <w:ind w:firstLine="708"/>
        <w:jc w:val="both"/>
        <w:rPr>
          <w:rFonts w:ascii="Times New Roman" w:hAnsi="Times New Roman" w:cs="Times New Roman"/>
        </w:rPr>
      </w:pPr>
      <w:r w:rsidRPr="00AC3030">
        <w:rPr>
          <w:rFonts w:ascii="Times New Roman" w:hAnsi="Times New Roman" w:cs="Times New Roman"/>
        </w:rPr>
        <w:lastRenderedPageBreak/>
        <w:t>Os sistemas de abastecimento de água aprese</w:t>
      </w:r>
      <w:r>
        <w:rPr>
          <w:rFonts w:ascii="Times New Roman" w:hAnsi="Times New Roman" w:cs="Times New Roman"/>
        </w:rPr>
        <w:t xml:space="preserve">ntam uma variedade de possíveis </w:t>
      </w:r>
      <w:r w:rsidRPr="00AC3030">
        <w:rPr>
          <w:rFonts w:ascii="Times New Roman" w:hAnsi="Times New Roman" w:cs="Times New Roman"/>
        </w:rPr>
        <w:t>combinações de unidades que se integram com o p</w:t>
      </w:r>
      <w:r>
        <w:rPr>
          <w:rFonts w:ascii="Times New Roman" w:hAnsi="Times New Roman" w:cs="Times New Roman"/>
        </w:rPr>
        <w:t xml:space="preserve">ropósito de atender a população </w:t>
      </w:r>
      <w:r w:rsidRPr="00AC3030">
        <w:rPr>
          <w:rFonts w:ascii="Times New Roman" w:hAnsi="Times New Roman" w:cs="Times New Roman"/>
        </w:rPr>
        <w:t>por meio de água encanada. Não existe um arranjo único e fixo que possa caracterizar</w:t>
      </w:r>
      <w:r>
        <w:rPr>
          <w:rFonts w:ascii="Times New Roman" w:hAnsi="Times New Roman" w:cs="Times New Roman"/>
        </w:rPr>
        <w:t xml:space="preserve"> </w:t>
      </w:r>
      <w:r w:rsidRPr="00AC3030">
        <w:rPr>
          <w:rFonts w:ascii="Times New Roman" w:hAnsi="Times New Roman" w:cs="Times New Roman"/>
        </w:rPr>
        <w:t>um sistema de abastecimento de água, no entant</w:t>
      </w:r>
      <w:r>
        <w:rPr>
          <w:rFonts w:ascii="Times New Roman" w:hAnsi="Times New Roman" w:cs="Times New Roman"/>
        </w:rPr>
        <w:t xml:space="preserve">o a maioria inclui os seguintes </w:t>
      </w:r>
      <w:r w:rsidRPr="00AC3030">
        <w:rPr>
          <w:rFonts w:ascii="Times New Roman" w:hAnsi="Times New Roman" w:cs="Times New Roman"/>
        </w:rPr>
        <w:t>componentes</w:t>
      </w:r>
      <w:r>
        <w:rPr>
          <w:rFonts w:ascii="Times New Roman" w:hAnsi="Times New Roman" w:cs="Times New Roman"/>
        </w:rPr>
        <w:t xml:space="preserve"> (BRASIL, 2006):</w:t>
      </w:r>
    </w:p>
    <w:p w:rsidR="00E32574" w:rsidRDefault="00E32574" w:rsidP="0053477A">
      <w:pPr>
        <w:pStyle w:val="CM71"/>
        <w:numPr>
          <w:ilvl w:val="0"/>
          <w:numId w:val="21"/>
        </w:numPr>
        <w:spacing w:line="360" w:lineRule="auto"/>
        <w:ind w:left="567" w:hanging="283"/>
        <w:jc w:val="both"/>
        <w:rPr>
          <w:rFonts w:ascii="Times New Roman" w:hAnsi="Times New Roman" w:cs="Times New Roman"/>
        </w:rPr>
      </w:pPr>
      <w:r w:rsidRPr="00AC3030">
        <w:rPr>
          <w:rFonts w:ascii="Times New Roman" w:hAnsi="Times New Roman" w:cs="Times New Roman"/>
        </w:rPr>
        <w:t>Manancial: fonte de onde se retira a água.</w:t>
      </w:r>
    </w:p>
    <w:p w:rsidR="00E32574" w:rsidRDefault="00E32574" w:rsidP="0053477A">
      <w:pPr>
        <w:pStyle w:val="CM71"/>
        <w:numPr>
          <w:ilvl w:val="0"/>
          <w:numId w:val="21"/>
        </w:numPr>
        <w:spacing w:line="360" w:lineRule="auto"/>
        <w:ind w:left="567" w:hanging="283"/>
        <w:jc w:val="both"/>
        <w:rPr>
          <w:rFonts w:ascii="Times New Roman" w:hAnsi="Times New Roman" w:cs="Times New Roman"/>
        </w:rPr>
      </w:pPr>
      <w:r w:rsidRPr="00AC3030">
        <w:rPr>
          <w:rFonts w:ascii="Times New Roman" w:hAnsi="Times New Roman" w:cs="Times New Roman"/>
        </w:rPr>
        <w:t>Captação: conjunto de equipamentos e instalações utilizado para a retirada</w:t>
      </w:r>
      <w:r>
        <w:rPr>
          <w:rFonts w:ascii="Times New Roman" w:hAnsi="Times New Roman" w:cs="Times New Roman"/>
        </w:rPr>
        <w:t xml:space="preserve"> </w:t>
      </w:r>
      <w:r w:rsidRPr="00AC3030">
        <w:rPr>
          <w:rFonts w:ascii="Times New Roman" w:hAnsi="Times New Roman" w:cs="Times New Roman"/>
        </w:rPr>
        <w:t>de água do manancial.</w:t>
      </w:r>
    </w:p>
    <w:p w:rsidR="00E32574" w:rsidRDefault="00E32574" w:rsidP="0053477A">
      <w:pPr>
        <w:pStyle w:val="CM71"/>
        <w:numPr>
          <w:ilvl w:val="0"/>
          <w:numId w:val="21"/>
        </w:numPr>
        <w:spacing w:line="360" w:lineRule="auto"/>
        <w:ind w:left="567" w:hanging="283"/>
        <w:jc w:val="both"/>
        <w:rPr>
          <w:rFonts w:ascii="Times New Roman" w:hAnsi="Times New Roman" w:cs="Times New Roman"/>
        </w:rPr>
      </w:pPr>
      <w:r w:rsidRPr="00AC3030">
        <w:rPr>
          <w:rFonts w:ascii="Times New Roman" w:hAnsi="Times New Roman" w:cs="Times New Roman"/>
        </w:rPr>
        <w:t>Adução: transporte de água do manancial ao tratamento ou da água</w:t>
      </w:r>
      <w:r>
        <w:rPr>
          <w:rFonts w:ascii="Times New Roman" w:hAnsi="Times New Roman" w:cs="Times New Roman"/>
        </w:rPr>
        <w:t xml:space="preserve"> </w:t>
      </w:r>
      <w:r w:rsidRPr="00AC3030">
        <w:rPr>
          <w:rFonts w:ascii="Times New Roman" w:hAnsi="Times New Roman" w:cs="Times New Roman"/>
        </w:rPr>
        <w:t>tratada ao sistema de distribuição.</w:t>
      </w:r>
    </w:p>
    <w:p w:rsidR="00E32574" w:rsidRDefault="00E32574" w:rsidP="0053477A">
      <w:pPr>
        <w:pStyle w:val="CM71"/>
        <w:numPr>
          <w:ilvl w:val="0"/>
          <w:numId w:val="21"/>
        </w:numPr>
        <w:spacing w:line="360" w:lineRule="auto"/>
        <w:ind w:left="567" w:hanging="283"/>
        <w:jc w:val="both"/>
        <w:rPr>
          <w:rFonts w:ascii="Times New Roman" w:hAnsi="Times New Roman" w:cs="Times New Roman"/>
        </w:rPr>
      </w:pPr>
      <w:r w:rsidRPr="00AC3030">
        <w:rPr>
          <w:rFonts w:ascii="Times New Roman" w:hAnsi="Times New Roman" w:cs="Times New Roman"/>
        </w:rPr>
        <w:t>Tratamento: unidade onde se processam alterações nas características</w:t>
      </w:r>
      <w:r>
        <w:rPr>
          <w:rFonts w:ascii="Times New Roman" w:hAnsi="Times New Roman" w:cs="Times New Roman"/>
        </w:rPr>
        <w:t xml:space="preserve"> </w:t>
      </w:r>
      <w:r w:rsidRPr="00AC3030">
        <w:rPr>
          <w:rFonts w:ascii="Times New Roman" w:hAnsi="Times New Roman" w:cs="Times New Roman"/>
        </w:rPr>
        <w:t>físicas, químicas, biológicas e organolépticas da água (percebidas pelos</w:t>
      </w:r>
      <w:r>
        <w:rPr>
          <w:rFonts w:ascii="Times New Roman" w:hAnsi="Times New Roman" w:cs="Times New Roman"/>
        </w:rPr>
        <w:t xml:space="preserve"> </w:t>
      </w:r>
      <w:r w:rsidRPr="00AC3030">
        <w:rPr>
          <w:rFonts w:ascii="Times New Roman" w:hAnsi="Times New Roman" w:cs="Times New Roman"/>
        </w:rPr>
        <w:t>sentidos, como gosto e odor) com a finalidade de torná-la própria para</w:t>
      </w:r>
      <w:r>
        <w:rPr>
          <w:rFonts w:ascii="Times New Roman" w:hAnsi="Times New Roman" w:cs="Times New Roman"/>
        </w:rPr>
        <w:t xml:space="preserve"> </w:t>
      </w:r>
      <w:r w:rsidRPr="00AC3030">
        <w:rPr>
          <w:rFonts w:ascii="Times New Roman" w:hAnsi="Times New Roman" w:cs="Times New Roman"/>
        </w:rPr>
        <w:t>consumo humano (potável).</w:t>
      </w:r>
    </w:p>
    <w:p w:rsidR="00E32574" w:rsidRDefault="00E32574" w:rsidP="0053477A">
      <w:pPr>
        <w:pStyle w:val="CM71"/>
        <w:numPr>
          <w:ilvl w:val="0"/>
          <w:numId w:val="21"/>
        </w:numPr>
        <w:spacing w:line="360" w:lineRule="auto"/>
        <w:ind w:left="567" w:hanging="283"/>
        <w:jc w:val="both"/>
        <w:rPr>
          <w:rFonts w:ascii="Times New Roman" w:hAnsi="Times New Roman" w:cs="Times New Roman"/>
        </w:rPr>
      </w:pPr>
      <w:r w:rsidRPr="00AC3030">
        <w:rPr>
          <w:rFonts w:ascii="Times New Roman" w:hAnsi="Times New Roman" w:cs="Times New Roman"/>
        </w:rPr>
        <w:t>Reservação: armazenamento da água entre o tratamento e o consumo</w:t>
      </w:r>
      <w:r>
        <w:rPr>
          <w:rFonts w:ascii="Times New Roman" w:hAnsi="Times New Roman" w:cs="Times New Roman"/>
        </w:rPr>
        <w:t xml:space="preserve"> </w:t>
      </w:r>
      <w:r w:rsidRPr="00AC3030">
        <w:rPr>
          <w:rFonts w:ascii="Times New Roman" w:hAnsi="Times New Roman" w:cs="Times New Roman"/>
        </w:rPr>
        <w:t>com os objetivos de: suprir as variações horárias de consumo, garantir</w:t>
      </w:r>
      <w:r>
        <w:rPr>
          <w:rFonts w:ascii="Times New Roman" w:hAnsi="Times New Roman" w:cs="Times New Roman"/>
        </w:rPr>
        <w:t xml:space="preserve"> </w:t>
      </w:r>
      <w:r w:rsidRPr="00AC3030">
        <w:rPr>
          <w:rFonts w:ascii="Times New Roman" w:hAnsi="Times New Roman" w:cs="Times New Roman"/>
        </w:rPr>
        <w:t>a adequada pressurização do sistema de distribuição e garantir reservas</w:t>
      </w:r>
      <w:r>
        <w:rPr>
          <w:rFonts w:ascii="Times New Roman" w:hAnsi="Times New Roman" w:cs="Times New Roman"/>
        </w:rPr>
        <w:t xml:space="preserve"> </w:t>
      </w:r>
      <w:r w:rsidRPr="00AC3030">
        <w:rPr>
          <w:rFonts w:ascii="Times New Roman" w:hAnsi="Times New Roman" w:cs="Times New Roman"/>
        </w:rPr>
        <w:t>de emergência.</w:t>
      </w:r>
      <w:r>
        <w:rPr>
          <w:rFonts w:ascii="Times New Roman" w:hAnsi="Times New Roman" w:cs="Times New Roman"/>
        </w:rPr>
        <w:t xml:space="preserve"> </w:t>
      </w:r>
      <w:r w:rsidRPr="00AC3030">
        <w:rPr>
          <w:rFonts w:ascii="Times New Roman" w:hAnsi="Times New Roman" w:cs="Times New Roman"/>
        </w:rPr>
        <w:t>Distribuição: condução da água para as edificações e os pontos de consumo</w:t>
      </w:r>
      <w:r>
        <w:rPr>
          <w:rFonts w:ascii="Times New Roman" w:hAnsi="Times New Roman" w:cs="Times New Roman"/>
        </w:rPr>
        <w:t xml:space="preserve"> </w:t>
      </w:r>
      <w:r w:rsidRPr="00AC3030">
        <w:rPr>
          <w:rFonts w:ascii="Times New Roman" w:hAnsi="Times New Roman" w:cs="Times New Roman"/>
        </w:rPr>
        <w:t>por meio de canalizações instaladas em vias públicas.</w:t>
      </w:r>
    </w:p>
    <w:p w:rsidR="00E32574" w:rsidRDefault="00E32574" w:rsidP="0053477A">
      <w:pPr>
        <w:pStyle w:val="CM71"/>
        <w:numPr>
          <w:ilvl w:val="0"/>
          <w:numId w:val="21"/>
        </w:numPr>
        <w:spacing w:line="360" w:lineRule="auto"/>
        <w:ind w:left="567" w:hanging="283"/>
        <w:jc w:val="both"/>
        <w:rPr>
          <w:rFonts w:ascii="Times New Roman" w:hAnsi="Times New Roman" w:cs="Times New Roman"/>
        </w:rPr>
      </w:pPr>
      <w:r w:rsidRPr="00AC3030">
        <w:rPr>
          <w:rFonts w:ascii="Times New Roman" w:hAnsi="Times New Roman" w:cs="Times New Roman"/>
        </w:rPr>
        <w:t>Ligações prediais: derivação da água da rede de distribuição até as edificações</w:t>
      </w:r>
      <w:r>
        <w:rPr>
          <w:rFonts w:ascii="Times New Roman" w:hAnsi="Times New Roman" w:cs="Times New Roman"/>
        </w:rPr>
        <w:t xml:space="preserve"> </w:t>
      </w:r>
      <w:r w:rsidRPr="00AC3030">
        <w:rPr>
          <w:rFonts w:ascii="Times New Roman" w:hAnsi="Times New Roman" w:cs="Times New Roman"/>
        </w:rPr>
        <w:t>ou os pontos de consumo por meio de instalações assentadas na via pública até a entrada da edificação.</w:t>
      </w:r>
    </w:p>
    <w:p w:rsidR="00E32574" w:rsidRPr="00AC3030" w:rsidRDefault="00E32574" w:rsidP="0053477A">
      <w:pPr>
        <w:pStyle w:val="CM71"/>
        <w:numPr>
          <w:ilvl w:val="0"/>
          <w:numId w:val="21"/>
        </w:numPr>
        <w:spacing w:line="360" w:lineRule="auto"/>
        <w:ind w:left="567" w:hanging="283"/>
        <w:jc w:val="both"/>
        <w:rPr>
          <w:rFonts w:ascii="Times New Roman" w:hAnsi="Times New Roman" w:cs="Times New Roman"/>
        </w:rPr>
      </w:pPr>
      <w:r w:rsidRPr="00AC3030">
        <w:rPr>
          <w:rFonts w:ascii="Times New Roman" w:hAnsi="Times New Roman" w:cs="Times New Roman"/>
        </w:rPr>
        <w:t xml:space="preserve"> Estações elevatórias ou de recalque: </w:t>
      </w:r>
      <w:r>
        <w:rPr>
          <w:rFonts w:ascii="Times New Roman" w:hAnsi="Times New Roman" w:cs="Times New Roman"/>
        </w:rPr>
        <w:t xml:space="preserve">instalações de bombeamento </w:t>
      </w:r>
      <w:r w:rsidRPr="00AC3030">
        <w:rPr>
          <w:rFonts w:ascii="Times New Roman" w:hAnsi="Times New Roman" w:cs="Times New Roman"/>
        </w:rPr>
        <w:t>destinadas a transportar a água a pontos mais distantes e, ou, mais eleva</w:t>
      </w:r>
      <w:r w:rsidRPr="00AC3030">
        <w:t xml:space="preserve"> </w:t>
      </w:r>
      <w:r w:rsidRPr="00AC3030">
        <w:rPr>
          <w:rFonts w:ascii="Times New Roman" w:hAnsi="Times New Roman" w:cs="Times New Roman"/>
        </w:rPr>
        <w:t>dos, encontradas frequentemente nas unidades de captação e adução</w:t>
      </w:r>
      <w:r>
        <w:rPr>
          <w:rFonts w:ascii="Times New Roman" w:hAnsi="Times New Roman" w:cs="Times New Roman"/>
        </w:rPr>
        <w:t xml:space="preserve"> </w:t>
      </w:r>
      <w:r w:rsidRPr="00AC3030">
        <w:rPr>
          <w:rFonts w:ascii="Times New Roman" w:hAnsi="Times New Roman" w:cs="Times New Roman"/>
        </w:rPr>
        <w:t>(adução por recalque) e em pontos intermediários dos sistemas de distribuição</w:t>
      </w:r>
      <w:r>
        <w:rPr>
          <w:rFonts w:ascii="Times New Roman" w:hAnsi="Times New Roman" w:cs="Times New Roman"/>
        </w:rPr>
        <w:t xml:space="preserve"> </w:t>
      </w:r>
      <w:r w:rsidRPr="00AC3030">
        <w:rPr>
          <w:rFonts w:ascii="Times New Roman" w:hAnsi="Times New Roman" w:cs="Times New Roman"/>
        </w:rPr>
        <w:t>(boosters).</w:t>
      </w:r>
    </w:p>
    <w:p w:rsidR="00E32574" w:rsidRPr="00AC38E5" w:rsidRDefault="00E32574" w:rsidP="003A071C">
      <w:pPr>
        <w:pStyle w:val="CM71"/>
        <w:spacing w:line="360" w:lineRule="auto"/>
        <w:ind w:firstLine="709"/>
        <w:jc w:val="both"/>
        <w:rPr>
          <w:rFonts w:ascii="Times New Roman" w:hAnsi="Times New Roman" w:cs="Times New Roman"/>
        </w:rPr>
      </w:pPr>
      <w:r w:rsidRPr="00AC38E5">
        <w:rPr>
          <w:rFonts w:ascii="Times New Roman" w:hAnsi="Times New Roman" w:cs="Times New Roman"/>
        </w:rPr>
        <w:t xml:space="preserve">O Sistema de Abastecimento de Água de Aimorés é administrado por um órgão autárquico municipal de direito público denominado Serviço Municipal de Água e Esgoto de Aimorés (SAAE) criado pela Lei Municipal nº 665 de 22 de dezembro de 1969. Antes de sua criação, este serviço era executado por um departamento da prefeitura vinculado à secretária de obras e limpeza urbana. </w:t>
      </w:r>
    </w:p>
    <w:p w:rsidR="00E32574" w:rsidRPr="00AC38E5" w:rsidRDefault="00E32574" w:rsidP="00E32574">
      <w:pPr>
        <w:pStyle w:val="CM71"/>
        <w:spacing w:line="360" w:lineRule="auto"/>
        <w:ind w:firstLine="708"/>
        <w:jc w:val="both"/>
        <w:rPr>
          <w:rFonts w:ascii="Times New Roman" w:hAnsi="Times New Roman" w:cs="Times New Roman"/>
        </w:rPr>
      </w:pPr>
      <w:r w:rsidRPr="00AC38E5">
        <w:rPr>
          <w:rFonts w:ascii="Times New Roman" w:hAnsi="Times New Roman" w:cs="Times New Roman"/>
        </w:rPr>
        <w:lastRenderedPageBreak/>
        <w:t xml:space="preserve">O </w:t>
      </w:r>
      <w:r>
        <w:rPr>
          <w:rFonts w:ascii="Times New Roman" w:hAnsi="Times New Roman" w:cs="Times New Roman"/>
        </w:rPr>
        <w:t xml:space="preserve">município de Aimorés conta com </w:t>
      </w:r>
      <w:r w:rsidR="001C7BD1">
        <w:rPr>
          <w:rFonts w:ascii="Times New Roman" w:hAnsi="Times New Roman" w:cs="Times New Roman"/>
        </w:rPr>
        <w:t>9</w:t>
      </w:r>
      <w:r w:rsidRPr="00AC38E5">
        <w:rPr>
          <w:rFonts w:ascii="Times New Roman" w:hAnsi="Times New Roman" w:cs="Times New Roman"/>
        </w:rPr>
        <w:t xml:space="preserve"> pontos de captação, sendo 3 pontos de captação superficial (córregos e rios), 1 ponto de captação em surgências</w:t>
      </w:r>
      <w:r>
        <w:rPr>
          <w:rStyle w:val="Refdenotaderodap"/>
          <w:rFonts w:ascii="Times New Roman" w:hAnsi="Times New Roman"/>
        </w:rPr>
        <w:footnoteReference w:id="12"/>
      </w:r>
      <w:r>
        <w:rPr>
          <w:rFonts w:ascii="Times New Roman" w:hAnsi="Times New Roman" w:cs="Times New Roman"/>
        </w:rPr>
        <w:t xml:space="preserve"> e 5</w:t>
      </w:r>
      <w:r w:rsidRPr="00AC38E5">
        <w:rPr>
          <w:rFonts w:ascii="Times New Roman" w:hAnsi="Times New Roman" w:cs="Times New Roman"/>
        </w:rPr>
        <w:t xml:space="preserve"> pontos de captação subterrânea em poços tubulares profun</w:t>
      </w:r>
      <w:r>
        <w:rPr>
          <w:rFonts w:ascii="Times New Roman" w:hAnsi="Times New Roman" w:cs="Times New Roman"/>
        </w:rPr>
        <w:t>dos. Em todo o município existe</w:t>
      </w:r>
      <w:r w:rsidR="003A071C">
        <w:rPr>
          <w:rFonts w:ascii="Times New Roman" w:hAnsi="Times New Roman" w:cs="Times New Roman"/>
        </w:rPr>
        <w:t>m</w:t>
      </w:r>
      <w:r w:rsidRPr="00AC38E5">
        <w:rPr>
          <w:rFonts w:ascii="Times New Roman" w:hAnsi="Times New Roman" w:cs="Times New Roman"/>
        </w:rPr>
        <w:t xml:space="preserve"> </w:t>
      </w:r>
      <w:r>
        <w:rPr>
          <w:rFonts w:ascii="Times New Roman" w:hAnsi="Times New Roman" w:cs="Times New Roman"/>
        </w:rPr>
        <w:t>nove estações</w:t>
      </w:r>
      <w:r w:rsidRPr="00AC38E5">
        <w:rPr>
          <w:rFonts w:ascii="Times New Roman" w:hAnsi="Times New Roman" w:cs="Times New Roman"/>
        </w:rPr>
        <w:t xml:space="preserve"> de tratamento de água em operação, o tratamento é feito da forma convencional (Captação -</w:t>
      </w:r>
      <w:r w:rsidR="003A071C">
        <w:rPr>
          <w:rFonts w:ascii="Times New Roman" w:hAnsi="Times New Roman" w:cs="Times New Roman"/>
        </w:rPr>
        <w:t xml:space="preserve"> </w:t>
      </w:r>
      <w:r w:rsidRPr="00AC38E5">
        <w:rPr>
          <w:rFonts w:ascii="Times New Roman" w:hAnsi="Times New Roman" w:cs="Times New Roman"/>
        </w:rPr>
        <w:t>medição calha Parshall -</w:t>
      </w:r>
      <w:r w:rsidR="003A071C">
        <w:rPr>
          <w:rFonts w:ascii="Times New Roman" w:hAnsi="Times New Roman" w:cs="Times New Roman"/>
        </w:rPr>
        <w:t xml:space="preserve"> </w:t>
      </w:r>
      <w:r w:rsidRPr="00AC38E5">
        <w:rPr>
          <w:rFonts w:ascii="Times New Roman" w:hAnsi="Times New Roman" w:cs="Times New Roman"/>
        </w:rPr>
        <w:t xml:space="preserve">Floculadores - Decantadores - Filtros - Caixa de Mistura - Reservatório - Distribuição) de água, sendo estas responsáveis por tratar uma vazão aproximada de </w:t>
      </w:r>
      <w:r w:rsidRPr="00011F2D">
        <w:rPr>
          <w:rFonts w:ascii="Times New Roman" w:hAnsi="Times New Roman" w:cs="Times New Roman"/>
        </w:rPr>
        <w:t>85</w:t>
      </w:r>
      <w:r w:rsidR="003F090E">
        <w:rPr>
          <w:rFonts w:ascii="Times New Roman" w:hAnsi="Times New Roman" w:cs="Times New Roman"/>
        </w:rPr>
        <w:t>,13</w:t>
      </w:r>
      <w:r w:rsidRPr="00011F2D">
        <w:rPr>
          <w:rFonts w:ascii="Times New Roman" w:hAnsi="Times New Roman" w:cs="Times New Roman"/>
        </w:rPr>
        <w:t xml:space="preserve"> L.s</w:t>
      </w:r>
      <w:r w:rsidRPr="003A071C">
        <w:rPr>
          <w:rFonts w:ascii="Times New Roman" w:hAnsi="Times New Roman" w:cs="Times New Roman"/>
          <w:vertAlign w:val="superscript"/>
        </w:rPr>
        <w:t>-1</w:t>
      </w:r>
      <w:r w:rsidRPr="00AC38E5">
        <w:rPr>
          <w:rFonts w:ascii="Times New Roman" w:hAnsi="Times New Roman" w:cs="Times New Roman"/>
        </w:rPr>
        <w:t xml:space="preserve"> por dia. </w:t>
      </w:r>
    </w:p>
    <w:p w:rsidR="00E32574" w:rsidRDefault="00E32574" w:rsidP="00E32574">
      <w:pPr>
        <w:pStyle w:val="CM71"/>
        <w:spacing w:line="360" w:lineRule="auto"/>
        <w:ind w:firstLine="708"/>
        <w:jc w:val="both"/>
        <w:rPr>
          <w:rFonts w:ascii="Times New Roman" w:hAnsi="Times New Roman" w:cs="Times New Roman"/>
        </w:rPr>
      </w:pPr>
      <w:r w:rsidRPr="00AC38E5">
        <w:rPr>
          <w:rFonts w:ascii="Times New Roman" w:hAnsi="Times New Roman" w:cs="Times New Roman"/>
        </w:rPr>
        <w:t xml:space="preserve">A capacidade de reservação da água de todo o sistema de Aimorés é de </w:t>
      </w:r>
      <w:smartTag w:uri="urn:schemas-microsoft-com:office:smarttags" w:element="metricconverter">
        <w:smartTagPr>
          <w:attr w:name="ProductID" w:val="1.015 mﾳ"/>
        </w:smartTagPr>
        <w:r>
          <w:rPr>
            <w:rFonts w:ascii="Times New Roman" w:hAnsi="Times New Roman" w:cs="Times New Roman"/>
          </w:rPr>
          <w:t>1.015</w:t>
        </w:r>
        <w:r w:rsidRPr="00AC38E5">
          <w:rPr>
            <w:rFonts w:ascii="Times New Roman" w:hAnsi="Times New Roman" w:cs="Times New Roman"/>
          </w:rPr>
          <w:t xml:space="preserve"> m³</w:t>
        </w:r>
      </w:smartTag>
      <w:r w:rsidRPr="00AC38E5">
        <w:rPr>
          <w:rFonts w:ascii="Times New Roman" w:hAnsi="Times New Roman" w:cs="Times New Roman"/>
        </w:rPr>
        <w:t xml:space="preserve">, distribuídos em </w:t>
      </w:r>
      <w:r w:rsidRPr="00346765">
        <w:rPr>
          <w:rFonts w:ascii="Times New Roman" w:hAnsi="Times New Roman" w:cs="Times New Roman"/>
        </w:rPr>
        <w:t>14</w:t>
      </w:r>
      <w:r>
        <w:rPr>
          <w:rFonts w:ascii="Times New Roman" w:hAnsi="Times New Roman" w:cs="Times New Roman"/>
        </w:rPr>
        <w:t xml:space="preserve"> reservatórios sendo, 3</w:t>
      </w:r>
      <w:r w:rsidRPr="00AC38E5">
        <w:rPr>
          <w:rFonts w:ascii="Times New Roman" w:hAnsi="Times New Roman" w:cs="Times New Roman"/>
        </w:rPr>
        <w:t xml:space="preserve"> localizados na área urbana </w:t>
      </w:r>
      <w:r>
        <w:rPr>
          <w:rFonts w:ascii="Times New Roman" w:hAnsi="Times New Roman" w:cs="Times New Roman"/>
        </w:rPr>
        <w:t>da sede do município,</w:t>
      </w:r>
      <w:r w:rsidRPr="00AC38E5">
        <w:rPr>
          <w:rFonts w:ascii="Times New Roman" w:hAnsi="Times New Roman" w:cs="Times New Roman"/>
        </w:rPr>
        <w:t xml:space="preserve"> </w:t>
      </w:r>
      <w:r>
        <w:rPr>
          <w:rFonts w:ascii="Times New Roman" w:hAnsi="Times New Roman" w:cs="Times New Roman"/>
        </w:rPr>
        <w:t xml:space="preserve">8 </w:t>
      </w:r>
      <w:r w:rsidRPr="00AC38E5">
        <w:rPr>
          <w:rFonts w:ascii="Times New Roman" w:hAnsi="Times New Roman" w:cs="Times New Roman"/>
        </w:rPr>
        <w:t>locados pelos distritos</w:t>
      </w:r>
      <w:r>
        <w:rPr>
          <w:rFonts w:ascii="Times New Roman" w:hAnsi="Times New Roman" w:cs="Times New Roman"/>
        </w:rPr>
        <w:t xml:space="preserve"> e 3 na zona rural</w:t>
      </w:r>
      <w:r w:rsidRPr="00AC38E5">
        <w:rPr>
          <w:rFonts w:ascii="Times New Roman" w:hAnsi="Times New Roman" w:cs="Times New Roman"/>
        </w:rPr>
        <w:t>, na área ur</w:t>
      </w:r>
      <w:r>
        <w:rPr>
          <w:rFonts w:ascii="Times New Roman" w:hAnsi="Times New Roman" w:cs="Times New Roman"/>
        </w:rPr>
        <w:t xml:space="preserve">bana a capacidade total é de </w:t>
      </w:r>
      <w:smartTag w:uri="urn:schemas-microsoft-com:office:smarttags" w:element="metricconverter">
        <w:smartTagPr>
          <w:attr w:name="ProductID" w:val="975 mﾳ"/>
        </w:smartTagPr>
        <w:r>
          <w:rPr>
            <w:rFonts w:ascii="Times New Roman" w:hAnsi="Times New Roman" w:cs="Times New Roman"/>
          </w:rPr>
          <w:t>975 m³</w:t>
        </w:r>
      </w:smartTag>
      <w:r>
        <w:rPr>
          <w:rFonts w:ascii="Times New Roman" w:hAnsi="Times New Roman" w:cs="Times New Roman"/>
        </w:rPr>
        <w:t xml:space="preserve"> e </w:t>
      </w:r>
      <w:smartTag w:uri="urn:schemas-microsoft-com:office:smarttags" w:element="metricconverter">
        <w:smartTagPr>
          <w:attr w:name="ProductID" w:val="40 mﾳ"/>
        </w:smartTagPr>
        <w:r>
          <w:rPr>
            <w:rFonts w:ascii="Times New Roman" w:hAnsi="Times New Roman" w:cs="Times New Roman"/>
          </w:rPr>
          <w:t>40</w:t>
        </w:r>
        <w:r w:rsidRPr="00AC38E5">
          <w:rPr>
            <w:rFonts w:ascii="Times New Roman" w:hAnsi="Times New Roman" w:cs="Times New Roman"/>
          </w:rPr>
          <w:t xml:space="preserve"> m³</w:t>
        </w:r>
      </w:smartTag>
      <w:r w:rsidRPr="00AC38E5">
        <w:rPr>
          <w:rFonts w:ascii="Times New Roman" w:hAnsi="Times New Roman" w:cs="Times New Roman"/>
        </w:rPr>
        <w:t xml:space="preserve"> na área rural. </w:t>
      </w:r>
    </w:p>
    <w:p w:rsidR="00E32574" w:rsidRDefault="00E32574" w:rsidP="00E32574">
      <w:pPr>
        <w:pStyle w:val="CM71"/>
        <w:spacing w:line="360" w:lineRule="auto"/>
        <w:ind w:firstLine="708"/>
        <w:jc w:val="both"/>
        <w:rPr>
          <w:rFonts w:ascii="Times New Roman" w:hAnsi="Times New Roman" w:cs="Times New Roman"/>
        </w:rPr>
      </w:pPr>
      <w:r w:rsidRPr="00AC38E5">
        <w:rPr>
          <w:rFonts w:ascii="Times New Roman" w:hAnsi="Times New Roman" w:cs="Times New Roman"/>
        </w:rPr>
        <w:t xml:space="preserve">A extensão total da rede de distribuição é estimada em </w:t>
      </w:r>
      <w:smartTag w:uri="urn:schemas-microsoft-com:office:smarttags" w:element="metricconverter">
        <w:smartTagPr>
          <w:attr w:name="ProductID" w:val="62,52 km"/>
        </w:smartTagPr>
        <w:r>
          <w:rPr>
            <w:rFonts w:ascii="Times New Roman" w:hAnsi="Times New Roman" w:cs="Times New Roman"/>
          </w:rPr>
          <w:t>62,52</w:t>
        </w:r>
        <w:r w:rsidRPr="00AC38E5">
          <w:rPr>
            <w:rFonts w:ascii="Times New Roman" w:hAnsi="Times New Roman" w:cs="Times New Roman"/>
          </w:rPr>
          <w:t xml:space="preserve"> km</w:t>
        </w:r>
      </w:smartTag>
      <w:r w:rsidRPr="00AC38E5">
        <w:rPr>
          <w:rFonts w:ascii="Times New Roman" w:hAnsi="Times New Roman" w:cs="Times New Roman"/>
        </w:rPr>
        <w:t xml:space="preserve"> e o estado de conservação é avaliado como regular para bom.</w:t>
      </w:r>
    </w:p>
    <w:p w:rsidR="00E32574" w:rsidRDefault="00E32574" w:rsidP="008846C3">
      <w:pPr>
        <w:pStyle w:val="CM71"/>
        <w:spacing w:line="360" w:lineRule="auto"/>
        <w:ind w:firstLine="708"/>
        <w:jc w:val="both"/>
        <w:rPr>
          <w:rFonts w:ascii="Times New Roman" w:hAnsi="Times New Roman" w:cs="Times New Roman"/>
        </w:rPr>
      </w:pPr>
      <w:r w:rsidRPr="00AC38E5">
        <w:rPr>
          <w:rFonts w:ascii="Times New Roman" w:hAnsi="Times New Roman" w:cs="Times New Roman"/>
        </w:rPr>
        <w:t xml:space="preserve">Estima-se que o consumo médio de água por habitante/dia da população de Aimorés é de aproximadamente de </w:t>
      </w:r>
      <w:r>
        <w:rPr>
          <w:rFonts w:ascii="Times New Roman" w:hAnsi="Times New Roman" w:cs="Times New Roman"/>
        </w:rPr>
        <w:t>1</w:t>
      </w:r>
      <w:r w:rsidR="002C2531">
        <w:rPr>
          <w:rFonts w:ascii="Times New Roman" w:hAnsi="Times New Roman" w:cs="Times New Roman"/>
        </w:rPr>
        <w:t>90</w:t>
      </w:r>
      <w:r>
        <w:rPr>
          <w:rFonts w:ascii="Times New Roman" w:hAnsi="Times New Roman" w:cs="Times New Roman"/>
        </w:rPr>
        <w:t>,</w:t>
      </w:r>
      <w:r w:rsidR="002C2531">
        <w:rPr>
          <w:rFonts w:ascii="Times New Roman" w:hAnsi="Times New Roman" w:cs="Times New Roman"/>
        </w:rPr>
        <w:t>0</w:t>
      </w:r>
      <w:r>
        <w:rPr>
          <w:rFonts w:ascii="Times New Roman" w:hAnsi="Times New Roman" w:cs="Times New Roman"/>
        </w:rPr>
        <w:t>0</w:t>
      </w:r>
      <w:r>
        <w:t xml:space="preserve"> </w:t>
      </w:r>
      <w:r w:rsidRPr="00AC38E5">
        <w:rPr>
          <w:rFonts w:ascii="Times New Roman" w:hAnsi="Times New Roman" w:cs="Times New Roman"/>
        </w:rPr>
        <w:t>L.hab</w:t>
      </w:r>
      <w:r w:rsidRPr="00FF55C6">
        <w:rPr>
          <w:rFonts w:ascii="Times New Roman" w:hAnsi="Times New Roman" w:cs="Times New Roman"/>
          <w:vertAlign w:val="superscript"/>
        </w:rPr>
        <w:t>-1</w:t>
      </w:r>
      <w:r w:rsidRPr="00AC38E5">
        <w:rPr>
          <w:rFonts w:ascii="Times New Roman" w:hAnsi="Times New Roman" w:cs="Times New Roman"/>
        </w:rPr>
        <w:t>.dia, maior que a média mundial considerada pel</w:t>
      </w:r>
      <w:r>
        <w:rPr>
          <w:rFonts w:ascii="Times New Roman" w:hAnsi="Times New Roman" w:cs="Times New Roman"/>
        </w:rPr>
        <w:t xml:space="preserve">a Organização Mundial de Saúde – </w:t>
      </w:r>
      <w:r w:rsidRPr="00AC38E5">
        <w:rPr>
          <w:rFonts w:ascii="Times New Roman" w:hAnsi="Times New Roman" w:cs="Times New Roman"/>
        </w:rPr>
        <w:t>OMS</w:t>
      </w:r>
      <w:r>
        <w:rPr>
          <w:rFonts w:ascii="Times New Roman" w:hAnsi="Times New Roman" w:cs="Times New Roman"/>
        </w:rPr>
        <w:t xml:space="preserve"> (2013)</w:t>
      </w:r>
      <w:r w:rsidRPr="00AC38E5">
        <w:rPr>
          <w:rFonts w:ascii="Times New Roman" w:hAnsi="Times New Roman" w:cs="Times New Roman"/>
        </w:rPr>
        <w:t xml:space="preserve"> como boa, que é de </w:t>
      </w:r>
      <w:smartTag w:uri="urn:schemas-microsoft-com:office:smarttags" w:element="metricconverter">
        <w:smartTagPr>
          <w:attr w:name="ProductID" w:val="150 L"/>
        </w:smartTagPr>
        <w:r w:rsidRPr="00AC38E5">
          <w:rPr>
            <w:rFonts w:ascii="Times New Roman" w:hAnsi="Times New Roman" w:cs="Times New Roman"/>
          </w:rPr>
          <w:t>150 L</w:t>
        </w:r>
      </w:smartTag>
      <w:r w:rsidRPr="00AC38E5">
        <w:rPr>
          <w:rFonts w:ascii="Times New Roman" w:hAnsi="Times New Roman" w:cs="Times New Roman"/>
        </w:rPr>
        <w:t>.hab</w:t>
      </w:r>
      <w:r w:rsidRPr="00FF55C6">
        <w:rPr>
          <w:rFonts w:ascii="Times New Roman" w:hAnsi="Times New Roman" w:cs="Times New Roman"/>
          <w:vertAlign w:val="superscript"/>
        </w:rPr>
        <w:t>-1</w:t>
      </w:r>
      <w:r w:rsidRPr="00AC38E5">
        <w:rPr>
          <w:rFonts w:ascii="Times New Roman" w:hAnsi="Times New Roman" w:cs="Times New Roman"/>
        </w:rPr>
        <w:t xml:space="preserve">.dia. </w:t>
      </w:r>
    </w:p>
    <w:p w:rsidR="00E32574" w:rsidRPr="00166C1E" w:rsidRDefault="00B853AD" w:rsidP="00971B37">
      <w:pPr>
        <w:pStyle w:val="Titulo"/>
      </w:pPr>
      <w:bookmarkStart w:id="208" w:name="_Toc372559094"/>
      <w:bookmarkStart w:id="209" w:name="_Toc372789526"/>
      <w:r>
        <w:t xml:space="preserve">11.2 </w:t>
      </w:r>
      <w:r w:rsidR="00E32574" w:rsidRPr="00437716">
        <w:t>Captação</w:t>
      </w:r>
      <w:bookmarkEnd w:id="208"/>
      <w:bookmarkEnd w:id="209"/>
    </w:p>
    <w:p w:rsidR="00E32574" w:rsidRPr="00166C1E" w:rsidRDefault="00E32574" w:rsidP="00E32574">
      <w:pPr>
        <w:pStyle w:val="CM71"/>
        <w:spacing w:line="360" w:lineRule="auto"/>
        <w:ind w:firstLine="708"/>
        <w:jc w:val="both"/>
        <w:rPr>
          <w:rFonts w:ascii="Times New Roman" w:hAnsi="Times New Roman" w:cs="Times New Roman"/>
        </w:rPr>
      </w:pPr>
      <w:r w:rsidRPr="00166C1E">
        <w:rPr>
          <w:rFonts w:ascii="Times New Roman" w:hAnsi="Times New Roman" w:cs="Times New Roman"/>
        </w:rPr>
        <w:t xml:space="preserve">A captação de água, segundo a Associação Brasileira de Normas Técnicas - ABNT 12.213, é um conjunto de estruturas e dispositivos, construídos ou montados junto a um manancial, para a retirada de água destinada a um sistema de tratamento (ABNT, 1992). </w:t>
      </w:r>
    </w:p>
    <w:p w:rsidR="00E32574" w:rsidRPr="00166C1E" w:rsidRDefault="00E32574" w:rsidP="00E32574">
      <w:pPr>
        <w:pStyle w:val="CM71"/>
        <w:spacing w:line="360" w:lineRule="auto"/>
        <w:ind w:firstLine="708"/>
        <w:jc w:val="both"/>
        <w:rPr>
          <w:rFonts w:ascii="Times New Roman" w:hAnsi="Times New Roman" w:cs="Times New Roman"/>
        </w:rPr>
      </w:pPr>
      <w:r w:rsidRPr="00166C1E">
        <w:rPr>
          <w:rFonts w:ascii="Times New Roman" w:hAnsi="Times New Roman" w:cs="Times New Roman"/>
        </w:rPr>
        <w:t>A captação pode ser feita por mananciais de superfície, que são constituídos pelos córregos, rios, riachos, lagos, represas, açudes, barramentos etc., e por mananciais subterrâneos, que são encontrados totalmente abaixo da superfície terrestre, podendo aflorar à superfície (fontes, minadouros) ou ser elevada artificialmente através de conjuntos motor-bomba (poços rasos, poços profundos, galerias de infiltração) segundo EMATER (</w:t>
      </w:r>
      <w:r>
        <w:rPr>
          <w:rFonts w:ascii="Times New Roman" w:hAnsi="Times New Roman" w:cs="Times New Roman"/>
        </w:rPr>
        <w:t xml:space="preserve">MINAS GERAIS, </w:t>
      </w:r>
      <w:r w:rsidRPr="00166C1E">
        <w:rPr>
          <w:rFonts w:ascii="Times New Roman" w:hAnsi="Times New Roman" w:cs="Times New Roman"/>
        </w:rPr>
        <w:t xml:space="preserve">2008). </w:t>
      </w:r>
    </w:p>
    <w:p w:rsidR="008846C3" w:rsidRDefault="00E32574" w:rsidP="003A071C">
      <w:pPr>
        <w:pStyle w:val="CM71"/>
        <w:spacing w:line="360" w:lineRule="auto"/>
        <w:ind w:firstLine="708"/>
        <w:jc w:val="both"/>
        <w:rPr>
          <w:rFonts w:ascii="Times New Roman" w:hAnsi="Times New Roman"/>
          <w:b/>
          <w:bCs/>
        </w:rPr>
      </w:pPr>
      <w:r w:rsidRPr="00166C1E">
        <w:rPr>
          <w:rFonts w:ascii="Times New Roman" w:hAnsi="Times New Roman" w:cs="Times New Roman"/>
        </w:rPr>
        <w:t xml:space="preserve">No sistema de abastecimento do município de Aimorés são utilizadas três fontes de </w:t>
      </w:r>
      <w:r w:rsidRPr="00166C1E">
        <w:rPr>
          <w:rFonts w:ascii="Times New Roman" w:hAnsi="Times New Roman" w:cs="Times New Roman"/>
        </w:rPr>
        <w:lastRenderedPageBreak/>
        <w:t xml:space="preserve">mananciais, pertencentes à bacia hidrográfica do rio Doce. Os pontos de captação da sede de Aimorés podem ser observados na Figura </w:t>
      </w:r>
      <w:r w:rsidR="003A071C">
        <w:rPr>
          <w:rFonts w:ascii="Times New Roman" w:hAnsi="Times New Roman" w:cs="Times New Roman"/>
        </w:rPr>
        <w:t>38</w:t>
      </w:r>
      <w:r w:rsidRPr="00166C1E">
        <w:rPr>
          <w:rFonts w:ascii="Times New Roman" w:hAnsi="Times New Roman" w:cs="Times New Roman"/>
        </w:rPr>
        <w:t xml:space="preserve">. </w:t>
      </w:r>
    </w:p>
    <w:p w:rsidR="008846C3" w:rsidRPr="00EE3E45" w:rsidRDefault="00CB07F3" w:rsidP="00CB07F3">
      <w:pPr>
        <w:pStyle w:val="Legenda"/>
        <w:rPr>
          <w:highlight w:val="yellow"/>
        </w:rPr>
      </w:pPr>
      <w:bookmarkStart w:id="210" w:name="_Toc372740121"/>
      <w:r>
        <w:t xml:space="preserve">Figura </w:t>
      </w:r>
      <w:fldSimple w:instr=" SEQ Figura \* ARABIC ">
        <w:r w:rsidR="004F77E2">
          <w:rPr>
            <w:noProof/>
          </w:rPr>
          <w:t>38</w:t>
        </w:r>
      </w:fldSimple>
      <w:r>
        <w:t xml:space="preserve"> - </w:t>
      </w:r>
      <w:r w:rsidRPr="004E5BD4">
        <w:t>Pontos de Captação de água bruta no Município de Aimorés.</w:t>
      </w:r>
      <w:bookmarkEnd w:id="210"/>
    </w:p>
    <w:p w:rsidR="00E32574" w:rsidRDefault="00E32574" w:rsidP="00E32574">
      <w:pPr>
        <w:jc w:val="center"/>
        <w:rPr>
          <w:lang w:eastAsia="pt-BR"/>
        </w:rPr>
      </w:pPr>
      <w:r>
        <w:rPr>
          <w:noProof/>
          <w:lang w:eastAsia="pt-BR"/>
        </w:rPr>
        <w:drawing>
          <wp:inline distT="0" distB="0" distL="0" distR="0" wp14:anchorId="38C69AEF" wp14:editId="36328C7B">
            <wp:extent cx="5580427" cy="6334963"/>
            <wp:effectExtent l="0" t="0" r="1270" b="8890"/>
            <wp:docPr id="143" name="Imagem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618116" cy="6377748"/>
                    </a:xfrm>
                    <a:prstGeom prst="rect">
                      <a:avLst/>
                    </a:prstGeom>
                    <a:noFill/>
                    <a:ln>
                      <a:noFill/>
                    </a:ln>
                  </pic:spPr>
                </pic:pic>
              </a:graphicData>
            </a:graphic>
          </wp:inline>
        </w:drawing>
      </w:r>
    </w:p>
    <w:p w:rsidR="00E32574" w:rsidRDefault="00E32574" w:rsidP="003A071C">
      <w:pPr>
        <w:pStyle w:val="Fonte"/>
        <w:rPr>
          <w:lang w:eastAsia="pt-BR"/>
        </w:rPr>
      </w:pPr>
      <w:r w:rsidRPr="00EE3E45">
        <w:rPr>
          <w:lang w:eastAsia="pt-BR"/>
        </w:rPr>
        <w:t>Fonte: Fundação Educacional de Caratinga – FUNEC, 2013.</w:t>
      </w:r>
    </w:p>
    <w:p w:rsidR="00E32574" w:rsidRPr="00166C1E" w:rsidRDefault="00B853AD" w:rsidP="00971B37">
      <w:pPr>
        <w:pStyle w:val="Titulo"/>
      </w:pPr>
      <w:bookmarkStart w:id="211" w:name="_Toc372559095"/>
      <w:bookmarkStart w:id="212" w:name="_Toc372789527"/>
      <w:r>
        <w:lastRenderedPageBreak/>
        <w:t xml:space="preserve">11.3 </w:t>
      </w:r>
      <w:r w:rsidR="00E32574" w:rsidRPr="00017D6A">
        <w:t>Outorga</w:t>
      </w:r>
      <w:bookmarkEnd w:id="211"/>
      <w:bookmarkEnd w:id="212"/>
    </w:p>
    <w:p w:rsidR="00E32574" w:rsidRPr="00166C1E" w:rsidRDefault="00E32574" w:rsidP="003A071C">
      <w:pPr>
        <w:pStyle w:val="CM71"/>
        <w:spacing w:line="360" w:lineRule="auto"/>
        <w:ind w:firstLine="709"/>
        <w:jc w:val="both"/>
        <w:rPr>
          <w:rFonts w:ascii="Times New Roman" w:hAnsi="Times New Roman" w:cs="Times New Roman"/>
        </w:rPr>
      </w:pPr>
      <w:r w:rsidRPr="00166C1E">
        <w:rPr>
          <w:rFonts w:ascii="Times New Roman" w:hAnsi="Times New Roman" w:cs="Times New Roman"/>
        </w:rPr>
        <w:t xml:space="preserve">Até o início do século XX, os recursos hídricos no Brasil eram utilizados livremente, sem nenhuma legislação de controle e regularização do seu uso. Essa situação durou até 1934, quando em 10 de julho foi promulgado o Decreto 24.643 que estabeleceu o Código das Águas. Com a publicação do código algumas ações de controle passaram a ser feitas em relação aos recursos hídricos. Porém, foi a partir de 1997, com a aprovação da lei nº 9.433/97 que institui a Política Nacional de Recursos Hídricos é que foi acelerada a adoção de medidas </w:t>
      </w:r>
      <w:r>
        <w:rPr>
          <w:rFonts w:ascii="Times New Roman" w:hAnsi="Times New Roman" w:cs="Times New Roman"/>
        </w:rPr>
        <w:t xml:space="preserve">para disciplinar do uso da água. </w:t>
      </w:r>
    </w:p>
    <w:p w:rsidR="00E32574" w:rsidRPr="00166C1E" w:rsidRDefault="00E32574" w:rsidP="008846C3">
      <w:pPr>
        <w:pStyle w:val="CM71"/>
        <w:spacing w:line="348" w:lineRule="auto"/>
        <w:ind w:firstLine="709"/>
        <w:jc w:val="both"/>
        <w:rPr>
          <w:rFonts w:ascii="Times New Roman" w:hAnsi="Times New Roman" w:cs="Times New Roman"/>
        </w:rPr>
      </w:pPr>
      <w:r w:rsidRPr="00166C1E">
        <w:rPr>
          <w:rFonts w:ascii="Times New Roman" w:hAnsi="Times New Roman" w:cs="Times New Roman"/>
        </w:rPr>
        <w:t xml:space="preserve">No estado de Minas Gerais, as primeiras outorgas de direito de uso da água foram concedidas por meio de Decretos, por atos do governador do estado, após análise e aprovação do Departamento de Águas e Energia do Estado de Minas Gerais - DAE/MG, apoiadas nos termos do Código de Águas de </w:t>
      </w:r>
      <w:smartTag w:uri="urn:schemas-microsoft-com:office:smarttags" w:element="metricconverter">
        <w:smartTagPr>
          <w:attr w:name="ProductID" w:val="1934. A"/>
        </w:smartTagPr>
        <w:r w:rsidRPr="00166C1E">
          <w:rPr>
            <w:rFonts w:ascii="Times New Roman" w:hAnsi="Times New Roman" w:cs="Times New Roman"/>
          </w:rPr>
          <w:t>1934. A</w:t>
        </w:r>
      </w:smartTag>
      <w:r w:rsidRPr="00166C1E">
        <w:rPr>
          <w:rFonts w:ascii="Times New Roman" w:hAnsi="Times New Roman" w:cs="Times New Roman"/>
        </w:rPr>
        <w:t xml:space="preserve"> partir daí, um amplo arcabouço legal foi estabelecido, podendo-se citar c</w:t>
      </w:r>
      <w:r>
        <w:rPr>
          <w:rFonts w:ascii="Times New Roman" w:hAnsi="Times New Roman" w:cs="Times New Roman"/>
        </w:rPr>
        <w:t xml:space="preserve">omo relevantes a Lei Estadual n° </w:t>
      </w:r>
      <w:r w:rsidRPr="00166C1E">
        <w:rPr>
          <w:rFonts w:ascii="Times New Roman" w:hAnsi="Times New Roman" w:cs="Times New Roman"/>
        </w:rPr>
        <w:t>12.584 de 1997 que cria o Instituto Mineiro de Gestão das</w:t>
      </w:r>
      <w:r>
        <w:rPr>
          <w:rFonts w:ascii="Times New Roman" w:hAnsi="Times New Roman" w:cs="Times New Roman"/>
        </w:rPr>
        <w:t xml:space="preserve"> Águas (IGAM); a Lei Estadual n° </w:t>
      </w:r>
      <w:r w:rsidRPr="00166C1E">
        <w:rPr>
          <w:rFonts w:ascii="Times New Roman" w:hAnsi="Times New Roman" w:cs="Times New Roman"/>
        </w:rPr>
        <w:t>13.199 de 1999 que estabelece a Política Estadual de Recursos Hídricos; a Portaria IGAM n</w:t>
      </w:r>
      <w:r>
        <w:rPr>
          <w:rFonts w:ascii="Times New Roman" w:hAnsi="Times New Roman" w:cs="Times New Roman"/>
        </w:rPr>
        <w:t>°</w:t>
      </w:r>
      <w:r w:rsidRPr="00166C1E">
        <w:rPr>
          <w:rFonts w:ascii="Times New Roman" w:hAnsi="Times New Roman" w:cs="Times New Roman"/>
        </w:rPr>
        <w:t xml:space="preserve"> 49, de 01 de julho de 2010, que estabelece os procedimentos para a regularização do uso de recursos hídricos do domínio do estado de Minas Gerais, a Instrução de Serviço no 06/2010 – que dispõe sobre procedimentos relativos à DN CERH-MG no 28/2009 e a Instrução de Serviço no 20/2010 – que dispõe sobre procedimentos relativos à DN CERH-MG no 31/2009 (MINAS GERAIS, 2010). </w:t>
      </w:r>
    </w:p>
    <w:p w:rsidR="00E32574" w:rsidRPr="00166C1E" w:rsidRDefault="00E32574" w:rsidP="008846C3">
      <w:pPr>
        <w:pStyle w:val="CM71"/>
        <w:spacing w:line="348" w:lineRule="auto"/>
        <w:ind w:firstLine="709"/>
        <w:jc w:val="both"/>
        <w:rPr>
          <w:rFonts w:ascii="Times New Roman" w:hAnsi="Times New Roman" w:cs="Times New Roman"/>
        </w:rPr>
      </w:pPr>
      <w:r w:rsidRPr="00166C1E">
        <w:rPr>
          <w:rFonts w:ascii="Times New Roman" w:hAnsi="Times New Roman" w:cs="Times New Roman"/>
        </w:rPr>
        <w:t xml:space="preserve">Atualmente, todos os usos que alteram o regime, a quantidade ou a qualidade da água existente em um curso de água, excetuando-se as captações, lançamentos e acumulações considerados insignificantes, são passíveis de outorga. </w:t>
      </w:r>
    </w:p>
    <w:p w:rsidR="00E32574" w:rsidRPr="00166C1E" w:rsidRDefault="00E32574" w:rsidP="008846C3">
      <w:pPr>
        <w:pStyle w:val="CM71"/>
        <w:spacing w:line="348" w:lineRule="auto"/>
        <w:ind w:firstLine="709"/>
        <w:jc w:val="both"/>
        <w:rPr>
          <w:rFonts w:ascii="Times New Roman" w:hAnsi="Times New Roman" w:cs="Times New Roman"/>
        </w:rPr>
      </w:pPr>
      <w:r w:rsidRPr="00166C1E">
        <w:rPr>
          <w:rFonts w:ascii="Times New Roman" w:hAnsi="Times New Roman" w:cs="Times New Roman"/>
        </w:rPr>
        <w:t xml:space="preserve">Segundo o Manual Técnico e Administrativo de Outorga de Direito de Usos de Recursos Hídricos no Estado de Minas Gerais (MINAS GERAIS, 2010), as modalidades de outorgas são dependentes das condições de utilização (quantidade e local de captação ou intervenção), possibilitando o controle dos respectivos usos (finalidade). Ainda, podem-se diferenciar dois tipos de controle, o controle de uso (relativo ao usuário) e o controle por objetivos (refere-se ao fornecedor de água ou receptor de efluentes). </w:t>
      </w:r>
    </w:p>
    <w:p w:rsidR="00E32574" w:rsidRPr="00166C1E" w:rsidRDefault="00E32574" w:rsidP="008846C3">
      <w:pPr>
        <w:pStyle w:val="CM71"/>
        <w:spacing w:line="348" w:lineRule="auto"/>
        <w:ind w:firstLine="709"/>
        <w:jc w:val="both"/>
        <w:rPr>
          <w:rFonts w:ascii="Times New Roman" w:hAnsi="Times New Roman" w:cs="Times New Roman"/>
        </w:rPr>
      </w:pPr>
      <w:r w:rsidRPr="00166C1E">
        <w:rPr>
          <w:rFonts w:ascii="Times New Roman" w:hAnsi="Times New Roman" w:cs="Times New Roman"/>
        </w:rPr>
        <w:t xml:space="preserve">As outorgas também podem ser de concessão (para pessoa jurídica, de direito público, com finalidade de utilidade pública) ou de autorização (para pessoa física ou </w:t>
      </w:r>
      <w:r w:rsidRPr="00166C1E">
        <w:rPr>
          <w:rFonts w:ascii="Times New Roman" w:hAnsi="Times New Roman" w:cs="Times New Roman"/>
        </w:rPr>
        <w:lastRenderedPageBreak/>
        <w:t xml:space="preserve">jurídica, de direito privado e sem finalidade de utilidade pública). </w:t>
      </w:r>
    </w:p>
    <w:p w:rsidR="00E32574" w:rsidRPr="00166C1E" w:rsidRDefault="00E32574" w:rsidP="008846C3">
      <w:pPr>
        <w:pStyle w:val="CM71"/>
        <w:spacing w:line="348" w:lineRule="auto"/>
        <w:ind w:firstLine="709"/>
        <w:jc w:val="both"/>
        <w:rPr>
          <w:rFonts w:ascii="Times New Roman" w:hAnsi="Times New Roman" w:cs="Times New Roman"/>
        </w:rPr>
      </w:pPr>
      <w:r w:rsidRPr="00166C1E">
        <w:rPr>
          <w:rFonts w:ascii="Times New Roman" w:hAnsi="Times New Roman" w:cs="Times New Roman"/>
        </w:rPr>
        <w:t xml:space="preserve">Elas serão concedidas por um prazo limitado, sendo que </w:t>
      </w:r>
      <w:smartTag w:uri="urn:schemas-microsoft-com:office:smarttags" w:element="PersonName">
        <w:smartTagPr>
          <w:attr w:name="ProductID" w:val="em Minas Gerais"/>
        </w:smartTagPr>
        <w:r w:rsidRPr="00166C1E">
          <w:rPr>
            <w:rFonts w:ascii="Times New Roman" w:hAnsi="Times New Roman" w:cs="Times New Roman"/>
          </w:rPr>
          <w:t>em Minas Gerais</w:t>
        </w:r>
      </w:smartTag>
      <w:r w:rsidRPr="00166C1E">
        <w:rPr>
          <w:rFonts w:ascii="Times New Roman" w:hAnsi="Times New Roman" w:cs="Times New Roman"/>
        </w:rPr>
        <w:t xml:space="preserve"> a lei já estipulou a sua validade máxima em 35 (trinta e cinco) anos para as concessões e 05 (cinco) anos para as autorizações, ainda que possa haver renovação, como também a sua suspensão ou seu cancelamento, conforme regulamento. Ela poderá ser suspensa parcial ou totalmente, em definitivo ou por prazo determinado, nas circunstâncias previstas no Art. 20 da Lei Estadual no 13.199/1999 (MINAS GERAIS, 2010). </w:t>
      </w:r>
    </w:p>
    <w:p w:rsidR="00E32574" w:rsidRPr="00166C1E" w:rsidRDefault="00E32574" w:rsidP="00E32574">
      <w:pPr>
        <w:pStyle w:val="CM71"/>
        <w:spacing w:line="360" w:lineRule="auto"/>
        <w:ind w:firstLine="708"/>
        <w:jc w:val="both"/>
        <w:rPr>
          <w:rFonts w:ascii="Times New Roman" w:hAnsi="Times New Roman" w:cs="Times New Roman"/>
        </w:rPr>
      </w:pPr>
      <w:r w:rsidRPr="00166C1E">
        <w:rPr>
          <w:rFonts w:ascii="Times New Roman" w:hAnsi="Times New Roman" w:cs="Times New Roman"/>
        </w:rPr>
        <w:t xml:space="preserve">Quando se tratam de corpos de água de domínio do estado, as outorgas devem ser solicitadas junto ao IGAM e quando se tratam de corpos de água de domínio da União, as outorgas devem ser feitas junto à Agência Nacional de Águas - ANA. </w:t>
      </w:r>
    </w:p>
    <w:p w:rsidR="00E32574" w:rsidRPr="00BF5409" w:rsidRDefault="00E32574" w:rsidP="00E32574">
      <w:pPr>
        <w:pStyle w:val="CM71"/>
        <w:spacing w:line="360" w:lineRule="auto"/>
        <w:ind w:firstLine="708"/>
        <w:jc w:val="both"/>
        <w:rPr>
          <w:rFonts w:ascii="Times New Roman" w:hAnsi="Times New Roman" w:cs="Times New Roman"/>
        </w:rPr>
      </w:pPr>
      <w:r w:rsidRPr="00166C1E">
        <w:rPr>
          <w:rFonts w:ascii="Times New Roman" w:hAnsi="Times New Roman" w:cs="Times New Roman"/>
        </w:rPr>
        <w:t>Além disso, cabe ressaltar que os usos insignificantes são dispensados de outorga, mas não de cadastro pelo IGAM (Deliberação Normativa CERH-MG nº 09/ 2004). Os valores máximos que definem se um uso é insignificante ou não, para águas superficiais, apresentam variações conforme as diferentes Unidades de Planejamento e Gestão de Recursos Hídricos – UPGRH do estado. O município de</w:t>
      </w:r>
      <w:r>
        <w:rPr>
          <w:rFonts w:ascii="Times New Roman" w:hAnsi="Times New Roman" w:cs="Times New Roman"/>
        </w:rPr>
        <w:t xml:space="preserve"> Aimorés está inserido em 2 </w:t>
      </w:r>
      <w:r w:rsidRPr="00166C1E">
        <w:rPr>
          <w:rFonts w:ascii="Times New Roman" w:hAnsi="Times New Roman" w:cs="Times New Roman"/>
        </w:rPr>
        <w:t xml:space="preserve">UPGRH, são elas </w:t>
      </w:r>
      <w:r>
        <w:rPr>
          <w:rFonts w:ascii="Times New Roman" w:hAnsi="Times New Roman" w:cs="Times New Roman"/>
        </w:rPr>
        <w:t xml:space="preserve">D04 e D06 </w:t>
      </w:r>
      <w:r w:rsidRPr="00BF5409">
        <w:rPr>
          <w:rFonts w:ascii="Times New Roman" w:hAnsi="Times New Roman" w:cs="Times New Roman"/>
        </w:rPr>
        <w:t xml:space="preserve">(Tabela </w:t>
      </w:r>
      <w:r w:rsidR="00912AD8" w:rsidRPr="00BF5409">
        <w:rPr>
          <w:rFonts w:ascii="Times New Roman" w:hAnsi="Times New Roman" w:cs="Times New Roman"/>
        </w:rPr>
        <w:t>2</w:t>
      </w:r>
      <w:r w:rsidRPr="00BF5409">
        <w:rPr>
          <w:rFonts w:ascii="Times New Roman" w:hAnsi="Times New Roman" w:cs="Times New Roman"/>
        </w:rPr>
        <w:t>) (MINAS GERAIS, 2013).</w:t>
      </w:r>
    </w:p>
    <w:p w:rsidR="00E32574" w:rsidRPr="00912AD8" w:rsidRDefault="00A80257" w:rsidP="00A80257">
      <w:pPr>
        <w:pStyle w:val="Legenda"/>
        <w:rPr>
          <w:rFonts w:ascii="Arial" w:hAnsi="Arial" w:cs="Arial"/>
          <w:b w:val="0"/>
          <w:color w:val="000000"/>
          <w:sz w:val="20"/>
        </w:rPr>
      </w:pPr>
      <w:bookmarkStart w:id="213" w:name="_Toc372740350"/>
      <w:r>
        <w:t xml:space="preserve">Tabela </w:t>
      </w:r>
      <w:fldSimple w:instr=" SEQ Tabela \* ARABIC ">
        <w:r w:rsidR="004F77E2">
          <w:rPr>
            <w:noProof/>
          </w:rPr>
          <w:t>2</w:t>
        </w:r>
      </w:fldSimple>
      <w:r>
        <w:t xml:space="preserve"> - </w:t>
      </w:r>
      <w:r w:rsidRPr="00BD122C">
        <w:rPr>
          <w:noProof/>
        </w:rPr>
        <w:t>Unidades de Planejamento e Gestão de Recursos Hídricos (UPGRH), Bacias Hidrográficas a que pertencem e respectivas áreas de drenagem e local das sedes dos Comitês de Bacias.</w:t>
      </w:r>
      <w:bookmarkEnd w:id="213"/>
    </w:p>
    <w:tbl>
      <w:tblPr>
        <w:tblW w:w="8613" w:type="dxa"/>
        <w:tblLayout w:type="fixed"/>
        <w:tblLook w:val="0000" w:firstRow="0" w:lastRow="0" w:firstColumn="0" w:lastColumn="0" w:noHBand="0" w:noVBand="0"/>
      </w:tblPr>
      <w:tblGrid>
        <w:gridCol w:w="1101"/>
        <w:gridCol w:w="2693"/>
        <w:gridCol w:w="1417"/>
        <w:gridCol w:w="1843"/>
        <w:gridCol w:w="1559"/>
      </w:tblGrid>
      <w:tr w:rsidR="00E32574" w:rsidRPr="00202B64" w:rsidTr="008846C3">
        <w:trPr>
          <w:trHeight w:val="390"/>
        </w:trPr>
        <w:tc>
          <w:tcPr>
            <w:tcW w:w="1101" w:type="dxa"/>
            <w:tcBorders>
              <w:top w:val="single" w:sz="6" w:space="0" w:color="000000"/>
              <w:left w:val="single" w:sz="2" w:space="0" w:color="000000"/>
              <w:bottom w:val="single" w:sz="6" w:space="0" w:color="000000"/>
              <w:right w:val="single" w:sz="4" w:space="0" w:color="000000"/>
            </w:tcBorders>
            <w:shd w:val="clear" w:color="auto" w:fill="D9D9D9"/>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 xml:space="preserve">UPGRH </w:t>
            </w:r>
          </w:p>
        </w:tc>
        <w:tc>
          <w:tcPr>
            <w:tcW w:w="2693"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 xml:space="preserve">Bacia de Drenagem </w:t>
            </w:r>
          </w:p>
        </w:tc>
        <w:tc>
          <w:tcPr>
            <w:tcW w:w="1417"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 xml:space="preserve">Área (km²) </w:t>
            </w:r>
          </w:p>
        </w:tc>
        <w:tc>
          <w:tcPr>
            <w:tcW w:w="1843" w:type="dxa"/>
            <w:tcBorders>
              <w:top w:val="single" w:sz="6" w:space="0" w:color="000000"/>
              <w:left w:val="single" w:sz="4" w:space="0" w:color="000000"/>
              <w:bottom w:val="single" w:sz="6" w:space="0" w:color="000000"/>
              <w:right w:val="single" w:sz="4" w:space="0" w:color="000000"/>
            </w:tcBorders>
            <w:shd w:val="clear" w:color="auto" w:fill="D9D9D9"/>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Porcentagem dentro da região</w:t>
            </w:r>
          </w:p>
        </w:tc>
        <w:tc>
          <w:tcPr>
            <w:tcW w:w="1559" w:type="dxa"/>
            <w:tcBorders>
              <w:top w:val="single" w:sz="6" w:space="0" w:color="000000"/>
              <w:left w:val="single" w:sz="4" w:space="0" w:color="000000"/>
              <w:bottom w:val="single" w:sz="6" w:space="0" w:color="000000"/>
              <w:right w:val="single" w:sz="2" w:space="0" w:color="000000"/>
            </w:tcBorders>
            <w:shd w:val="clear" w:color="auto" w:fill="D9D9D9"/>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 xml:space="preserve">Sede do CBH </w:t>
            </w:r>
          </w:p>
        </w:tc>
      </w:tr>
      <w:tr w:rsidR="00E32574" w:rsidRPr="00202B64" w:rsidTr="008846C3">
        <w:trPr>
          <w:trHeight w:val="392"/>
        </w:trPr>
        <w:tc>
          <w:tcPr>
            <w:tcW w:w="1101"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D04</w:t>
            </w:r>
          </w:p>
        </w:tc>
        <w:tc>
          <w:tcPr>
            <w:tcW w:w="269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Rio Doce/ Rio Suaçuí</w:t>
            </w:r>
          </w:p>
        </w:tc>
        <w:tc>
          <w:tcPr>
            <w:tcW w:w="1417"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153,33</w:t>
            </w:r>
          </w:p>
        </w:tc>
        <w:tc>
          <w:tcPr>
            <w:tcW w:w="184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11,7</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Governador Valadares</w:t>
            </w:r>
          </w:p>
        </w:tc>
      </w:tr>
      <w:tr w:rsidR="00E32574" w:rsidRPr="00202B64" w:rsidTr="008846C3">
        <w:trPr>
          <w:trHeight w:val="385"/>
        </w:trPr>
        <w:tc>
          <w:tcPr>
            <w:tcW w:w="1101"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 xml:space="preserve">D06 </w:t>
            </w:r>
          </w:p>
        </w:tc>
        <w:tc>
          <w:tcPr>
            <w:tcW w:w="269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Rio Doce/ Rio Manhuaçu</w:t>
            </w:r>
          </w:p>
        </w:tc>
        <w:tc>
          <w:tcPr>
            <w:tcW w:w="1417"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1.191,77</w:t>
            </w:r>
          </w:p>
        </w:tc>
        <w:tc>
          <w:tcPr>
            <w:tcW w:w="184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88,3</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912AD8">
            <w:pPr>
              <w:pStyle w:val="Default"/>
              <w:spacing w:before="120" w:after="120"/>
              <w:jc w:val="center"/>
              <w:rPr>
                <w:rFonts w:ascii="Times New Roman" w:hAnsi="Times New Roman" w:cs="Times New Roman"/>
              </w:rPr>
            </w:pPr>
            <w:r w:rsidRPr="00202B64">
              <w:rPr>
                <w:rFonts w:ascii="Times New Roman" w:hAnsi="Times New Roman" w:cs="Times New Roman"/>
              </w:rPr>
              <w:t xml:space="preserve">Manhuaçu </w:t>
            </w:r>
          </w:p>
        </w:tc>
      </w:tr>
    </w:tbl>
    <w:p w:rsidR="00E32574" w:rsidRPr="00FA5ABF" w:rsidRDefault="00E32574" w:rsidP="008846C3">
      <w:pPr>
        <w:pStyle w:val="Fonte"/>
      </w:pPr>
      <w:r w:rsidRPr="00FA5ABF">
        <w:t xml:space="preserve">Fonte: </w:t>
      </w:r>
      <w:r>
        <w:t>Minas Gerais</w:t>
      </w:r>
      <w:r w:rsidRPr="00FA5ABF">
        <w:t>, 2013.</w:t>
      </w:r>
    </w:p>
    <w:p w:rsidR="00E32574" w:rsidRDefault="00E32574" w:rsidP="00912AD8">
      <w:pPr>
        <w:pStyle w:val="CM71"/>
        <w:spacing w:line="360" w:lineRule="auto"/>
        <w:ind w:firstLine="709"/>
        <w:jc w:val="both"/>
      </w:pPr>
      <w:r w:rsidRPr="00166C1E">
        <w:rPr>
          <w:rFonts w:ascii="Times New Roman" w:hAnsi="Times New Roman" w:cs="Times New Roman"/>
        </w:rPr>
        <w:t>O</w:t>
      </w:r>
      <w:r w:rsidR="00912AD8">
        <w:rPr>
          <w:rFonts w:ascii="Times New Roman" w:hAnsi="Times New Roman" w:cs="Times New Roman"/>
        </w:rPr>
        <w:t xml:space="preserve"> </w:t>
      </w:r>
      <w:r w:rsidRPr="006100DC">
        <w:rPr>
          <w:rFonts w:ascii="Times New Roman" w:hAnsi="Times New Roman" w:cs="Times New Roman"/>
          <w:bCs/>
        </w:rPr>
        <w:t>Comitê</w:t>
      </w:r>
      <w:r w:rsidR="00912AD8">
        <w:rPr>
          <w:rFonts w:ascii="Times New Roman" w:hAnsi="Times New Roman" w:cs="Times New Roman"/>
          <w:bCs/>
        </w:rPr>
        <w:t xml:space="preserve"> </w:t>
      </w:r>
      <w:r w:rsidRPr="006100DC">
        <w:rPr>
          <w:rFonts w:ascii="Times New Roman" w:hAnsi="Times New Roman" w:cs="Times New Roman"/>
          <w:bCs/>
        </w:rPr>
        <w:t>da Bacia Hidrográfica Águas do Rio Manhuaçu</w:t>
      </w:r>
      <w:r w:rsidR="00912AD8">
        <w:rPr>
          <w:rFonts w:ascii="Times New Roman" w:hAnsi="Times New Roman" w:cs="Times New Roman"/>
          <w:bCs/>
        </w:rPr>
        <w:t xml:space="preserve"> </w:t>
      </w:r>
      <w:r w:rsidRPr="00166C1E">
        <w:rPr>
          <w:rFonts w:ascii="Times New Roman" w:hAnsi="Times New Roman" w:cs="Times New Roman"/>
        </w:rPr>
        <w:t xml:space="preserve">foi criado </w:t>
      </w:r>
      <w:r>
        <w:rPr>
          <w:rFonts w:ascii="Times New Roman" w:hAnsi="Times New Roman" w:cs="Times New Roman"/>
        </w:rPr>
        <w:t xml:space="preserve">em 2005 pelo Decreto nº 43.959 </w:t>
      </w:r>
      <w:r w:rsidRPr="00166C1E">
        <w:rPr>
          <w:rFonts w:ascii="Times New Roman" w:hAnsi="Times New Roman" w:cs="Times New Roman"/>
        </w:rPr>
        <w:t>02/02/2005, a</w:t>
      </w:r>
      <w:r>
        <w:rPr>
          <w:rFonts w:ascii="Times New Roman" w:hAnsi="Times New Roman" w:cs="Times New Roman"/>
        </w:rPr>
        <w:t xml:space="preserve">lterado pelo Decreto nº 43.989 </w:t>
      </w:r>
      <w:r w:rsidRPr="00166C1E">
        <w:rPr>
          <w:rFonts w:ascii="Times New Roman" w:hAnsi="Times New Roman" w:cs="Times New Roman"/>
        </w:rPr>
        <w:t>21/03/2005 e possui 72</w:t>
      </w:r>
      <w:r w:rsidR="00912AD8">
        <w:rPr>
          <w:rFonts w:ascii="Times New Roman" w:hAnsi="Times New Roman" w:cs="Times New Roman"/>
        </w:rPr>
        <w:t xml:space="preserve"> </w:t>
      </w:r>
      <w:r w:rsidRPr="00166C1E">
        <w:rPr>
          <w:rFonts w:ascii="Times New Roman" w:hAnsi="Times New Roman" w:cs="Times New Roman"/>
        </w:rPr>
        <w:t>conselheiros, dentre titulares e suplentes.</w:t>
      </w:r>
      <w:r>
        <w:rPr>
          <w:rFonts w:ascii="Times New Roman" w:hAnsi="Times New Roman" w:cs="Times New Roman"/>
        </w:rPr>
        <w:t xml:space="preserve"> </w:t>
      </w:r>
      <w:r w:rsidRPr="00166C1E">
        <w:rPr>
          <w:rFonts w:ascii="Times New Roman" w:hAnsi="Times New Roman" w:cs="Times New Roman"/>
        </w:rPr>
        <w:t>O</w:t>
      </w:r>
      <w:r w:rsidR="00912AD8">
        <w:rPr>
          <w:rFonts w:ascii="Times New Roman" w:hAnsi="Times New Roman" w:cs="Times New Roman"/>
        </w:rPr>
        <w:t xml:space="preserve"> </w:t>
      </w:r>
      <w:r w:rsidRPr="006100DC">
        <w:rPr>
          <w:rFonts w:ascii="Times New Roman" w:hAnsi="Times New Roman" w:cs="Times New Roman"/>
          <w:bCs/>
        </w:rPr>
        <w:t>Comitê da Bacia Hidrográfica do Rio Suaçuí</w:t>
      </w:r>
      <w:r w:rsidR="00912AD8">
        <w:rPr>
          <w:rFonts w:ascii="Times New Roman" w:hAnsi="Times New Roman" w:cs="Times New Roman"/>
          <w:bCs/>
        </w:rPr>
        <w:t xml:space="preserve"> </w:t>
      </w:r>
      <w:r w:rsidRPr="00166C1E">
        <w:rPr>
          <w:rFonts w:ascii="Times New Roman" w:hAnsi="Times New Roman" w:cs="Times New Roman"/>
        </w:rPr>
        <w:t>foi criado em 2005 pelo Decreto nº 44.200 -29/12/2005</w:t>
      </w:r>
      <w:r w:rsidR="00912AD8">
        <w:rPr>
          <w:rFonts w:ascii="Times New Roman" w:hAnsi="Times New Roman" w:cs="Times New Roman"/>
        </w:rPr>
        <w:t xml:space="preserve"> </w:t>
      </w:r>
      <w:r w:rsidRPr="00166C1E">
        <w:rPr>
          <w:rFonts w:ascii="Times New Roman" w:hAnsi="Times New Roman" w:cs="Times New Roman"/>
        </w:rPr>
        <w:t>e possui 72</w:t>
      </w:r>
      <w:r w:rsidR="00912AD8">
        <w:rPr>
          <w:rFonts w:ascii="Times New Roman" w:hAnsi="Times New Roman" w:cs="Times New Roman"/>
        </w:rPr>
        <w:t xml:space="preserve"> </w:t>
      </w:r>
      <w:r w:rsidRPr="00166C1E">
        <w:rPr>
          <w:rFonts w:ascii="Times New Roman" w:hAnsi="Times New Roman" w:cs="Times New Roman"/>
        </w:rPr>
        <w:t>conselheiro</w:t>
      </w:r>
      <w:r>
        <w:rPr>
          <w:rFonts w:ascii="Times New Roman" w:hAnsi="Times New Roman" w:cs="Times New Roman"/>
        </w:rPr>
        <w:t>s, dentre titulares e suplentes (CBH-DOCE, 2013).</w:t>
      </w:r>
    </w:p>
    <w:p w:rsidR="00E32574" w:rsidRPr="00166C1E" w:rsidRDefault="00E32574" w:rsidP="00E32574">
      <w:pPr>
        <w:pStyle w:val="CM71"/>
        <w:spacing w:line="360" w:lineRule="auto"/>
        <w:ind w:firstLine="708"/>
        <w:jc w:val="both"/>
        <w:rPr>
          <w:rFonts w:ascii="Times New Roman" w:hAnsi="Times New Roman" w:cs="Times New Roman"/>
        </w:rPr>
      </w:pPr>
      <w:r w:rsidRPr="00166C1E">
        <w:rPr>
          <w:rFonts w:ascii="Times New Roman" w:hAnsi="Times New Roman" w:cs="Times New Roman"/>
        </w:rPr>
        <w:t xml:space="preserve">De acordo com a DN CERH-MG nº 09/2004, para estas UPRGH são consideradas </w:t>
      </w:r>
      <w:r w:rsidRPr="00166C1E">
        <w:rPr>
          <w:rFonts w:ascii="Times New Roman" w:hAnsi="Times New Roman" w:cs="Times New Roman"/>
        </w:rPr>
        <w:lastRenderedPageBreak/>
        <w:t xml:space="preserve">como usos insignificantes: </w:t>
      </w:r>
    </w:p>
    <w:p w:rsidR="00E32574" w:rsidRDefault="00E32574" w:rsidP="0053477A">
      <w:pPr>
        <w:pStyle w:val="CM71"/>
        <w:numPr>
          <w:ilvl w:val="0"/>
          <w:numId w:val="22"/>
        </w:numPr>
        <w:spacing w:line="360" w:lineRule="auto"/>
        <w:ind w:left="567" w:hanging="283"/>
        <w:jc w:val="both"/>
        <w:rPr>
          <w:rFonts w:ascii="Times New Roman" w:hAnsi="Times New Roman" w:cs="Times New Roman"/>
        </w:rPr>
      </w:pPr>
      <w:r w:rsidRPr="00166C1E">
        <w:rPr>
          <w:rFonts w:ascii="Times New Roman" w:hAnsi="Times New Roman" w:cs="Times New Roman"/>
        </w:rPr>
        <w:t>As captações e derivações de águas superficiais menores ou iguais a 1 L/seg</w:t>
      </w:r>
      <w:r>
        <w:rPr>
          <w:rFonts w:ascii="Times New Roman" w:hAnsi="Times New Roman" w:cs="Times New Roman"/>
        </w:rPr>
        <w:t xml:space="preserve">; </w:t>
      </w:r>
    </w:p>
    <w:p w:rsidR="00E32574" w:rsidRPr="00166C1E" w:rsidRDefault="00E32574" w:rsidP="0053477A">
      <w:pPr>
        <w:pStyle w:val="CM71"/>
        <w:numPr>
          <w:ilvl w:val="0"/>
          <w:numId w:val="22"/>
        </w:numPr>
        <w:spacing w:line="360" w:lineRule="auto"/>
        <w:ind w:left="567" w:hanging="283"/>
        <w:jc w:val="both"/>
        <w:rPr>
          <w:rFonts w:ascii="Times New Roman" w:hAnsi="Times New Roman" w:cs="Times New Roman"/>
        </w:rPr>
      </w:pPr>
      <w:r w:rsidRPr="00166C1E">
        <w:rPr>
          <w:rFonts w:ascii="Times New Roman" w:hAnsi="Times New Roman" w:cs="Times New Roman"/>
        </w:rPr>
        <w:t xml:space="preserve">As acumulações de águas superficiais como volume </w:t>
      </w:r>
      <w:r>
        <w:rPr>
          <w:rFonts w:ascii="Times New Roman" w:hAnsi="Times New Roman" w:cs="Times New Roman"/>
        </w:rPr>
        <w:t>máximo de até 5.000 m³</w:t>
      </w:r>
      <w:r w:rsidRPr="00166C1E">
        <w:rPr>
          <w:rFonts w:ascii="Times New Roman" w:hAnsi="Times New Roman" w:cs="Times New Roman"/>
        </w:rPr>
        <w:t xml:space="preserve">. </w:t>
      </w:r>
    </w:p>
    <w:p w:rsidR="00E32574" w:rsidRPr="00166C1E" w:rsidRDefault="00E32574" w:rsidP="00E32574">
      <w:pPr>
        <w:pStyle w:val="CM71"/>
        <w:spacing w:line="360" w:lineRule="auto"/>
        <w:ind w:firstLine="708"/>
        <w:jc w:val="both"/>
        <w:rPr>
          <w:rFonts w:ascii="Times New Roman" w:hAnsi="Times New Roman" w:cs="Times New Roman"/>
        </w:rPr>
      </w:pPr>
      <w:r w:rsidRPr="00166C1E">
        <w:rPr>
          <w:rFonts w:ascii="Times New Roman" w:hAnsi="Times New Roman" w:cs="Times New Roman"/>
        </w:rPr>
        <w:t>As captações subterrâneas, tais como, poços manuais, surgências e cisternas, c</w:t>
      </w:r>
      <w:r>
        <w:rPr>
          <w:rFonts w:ascii="Times New Roman" w:hAnsi="Times New Roman" w:cs="Times New Roman"/>
        </w:rPr>
        <w:t>om volume menor ou igual a 10 m³</w:t>
      </w:r>
      <w:r w:rsidRPr="00166C1E">
        <w:rPr>
          <w:rFonts w:ascii="Times New Roman" w:hAnsi="Times New Roman" w:cs="Times New Roman"/>
        </w:rPr>
        <w:t>/dia. De acordo com a Resolução Conjunta SEMAD-IGAM nº 1548/2012, em seu artigo 2º, o limite máximo de captações e lançamentos a serem outorgados nas bacias hidrográficas do Estado, por cada seção considerada em condições naturais, será de 50% (cinquenta por cento) da Q</w:t>
      </w:r>
      <w:r w:rsidRPr="00912AD8">
        <w:rPr>
          <w:rFonts w:ascii="Times New Roman" w:hAnsi="Times New Roman" w:cs="Times New Roman"/>
          <w:vertAlign w:val="subscript"/>
        </w:rPr>
        <w:t>7,10</w:t>
      </w:r>
      <w:r w:rsidRPr="00166C1E">
        <w:rPr>
          <w:rFonts w:ascii="Times New Roman" w:hAnsi="Times New Roman" w:cs="Times New Roman"/>
        </w:rPr>
        <w:t>, ficando garantidos a jusante de cada derivação, fluxos residuais mínimos equivalentes a 50% (cinquenta por cento) da Q</w:t>
      </w:r>
      <w:r w:rsidRPr="00912AD8">
        <w:rPr>
          <w:rFonts w:ascii="Times New Roman" w:hAnsi="Times New Roman" w:cs="Times New Roman"/>
          <w:vertAlign w:val="subscript"/>
        </w:rPr>
        <w:t>7,10</w:t>
      </w:r>
      <w:r>
        <w:rPr>
          <w:rFonts w:ascii="Times New Roman" w:hAnsi="Times New Roman" w:cs="Times New Roman"/>
        </w:rPr>
        <w:t xml:space="preserve"> (MINAS GERAIS, 2012) </w:t>
      </w:r>
    </w:p>
    <w:p w:rsidR="00E32574" w:rsidRPr="00166C1E" w:rsidRDefault="00E32574" w:rsidP="00E32574">
      <w:pPr>
        <w:pStyle w:val="CM71"/>
        <w:spacing w:line="360" w:lineRule="auto"/>
        <w:ind w:firstLine="708"/>
        <w:jc w:val="both"/>
        <w:rPr>
          <w:rFonts w:ascii="Times New Roman" w:hAnsi="Times New Roman" w:cs="Times New Roman"/>
        </w:rPr>
      </w:pPr>
      <w:r w:rsidRPr="00166C1E">
        <w:rPr>
          <w:rFonts w:ascii="Times New Roman" w:hAnsi="Times New Roman" w:cs="Times New Roman"/>
        </w:rPr>
        <w:t xml:space="preserve">No caso especifico das captações realizadas na parcela do município pertencente à bacia hidrográfica do rio </w:t>
      </w:r>
      <w:r>
        <w:rPr>
          <w:rFonts w:ascii="Times New Roman" w:hAnsi="Times New Roman" w:cs="Times New Roman"/>
        </w:rPr>
        <w:t>Doce</w:t>
      </w:r>
      <w:r w:rsidRPr="00166C1E">
        <w:rPr>
          <w:rFonts w:ascii="Times New Roman" w:hAnsi="Times New Roman" w:cs="Times New Roman"/>
        </w:rPr>
        <w:t>, o artigo 2º da mesma resolução conjunta, em seu parágrafo primeiro determina que o limite máximo de captações a serem outorgadas por cada seção considerada em condições naturais será de 30% (trinta por cento) da Q</w:t>
      </w:r>
      <w:r w:rsidRPr="00A83BE8">
        <w:rPr>
          <w:rFonts w:ascii="Times New Roman" w:hAnsi="Times New Roman" w:cs="Times New Roman"/>
          <w:vertAlign w:val="subscript"/>
        </w:rPr>
        <w:t>7,l0</w:t>
      </w:r>
      <w:r w:rsidRPr="00166C1E">
        <w:rPr>
          <w:rFonts w:ascii="Times New Roman" w:hAnsi="Times New Roman" w:cs="Times New Roman"/>
        </w:rPr>
        <w:t>, ficando garantidos a jusante de cada derivação, fluxos residuais mínimos equivalentes a 70%(setenta por cento) da Q</w:t>
      </w:r>
      <w:r w:rsidRPr="00A83BE8">
        <w:rPr>
          <w:rFonts w:ascii="Times New Roman" w:hAnsi="Times New Roman" w:cs="Times New Roman"/>
          <w:vertAlign w:val="subscript"/>
        </w:rPr>
        <w:t>7,l0</w:t>
      </w:r>
      <w:r w:rsidRPr="00166C1E">
        <w:rPr>
          <w:rFonts w:ascii="Times New Roman" w:hAnsi="Times New Roman" w:cs="Times New Roman"/>
        </w:rPr>
        <w:t>.</w:t>
      </w:r>
    </w:p>
    <w:p w:rsidR="00E32574" w:rsidRPr="00166C1E" w:rsidRDefault="00E32574" w:rsidP="00E32574">
      <w:pPr>
        <w:pStyle w:val="CM71"/>
        <w:spacing w:line="360" w:lineRule="auto"/>
        <w:ind w:firstLine="708"/>
        <w:jc w:val="both"/>
        <w:rPr>
          <w:rFonts w:ascii="Times New Roman" w:hAnsi="Times New Roman" w:cs="Times New Roman"/>
        </w:rPr>
      </w:pPr>
      <w:r w:rsidRPr="00166C1E">
        <w:rPr>
          <w:rFonts w:ascii="Times New Roman" w:hAnsi="Times New Roman" w:cs="Times New Roman"/>
        </w:rPr>
        <w:t>Ainda, de acordo com o artigo 3º da Resolução Conjunta SEMAD-IGAM nº 1548/2012, excepcionalmente poderão ser adotados, a requerimento do interessado e mediante análise técnica prévia, fluxos residuais inferiores a 50% (cinquenta por cento) da Q</w:t>
      </w:r>
      <w:r w:rsidRPr="00A83BE8">
        <w:rPr>
          <w:rFonts w:ascii="Times New Roman" w:hAnsi="Times New Roman" w:cs="Times New Roman"/>
          <w:vertAlign w:val="subscript"/>
        </w:rPr>
        <w:t>7,l0</w:t>
      </w:r>
      <w:r w:rsidRPr="00166C1E">
        <w:rPr>
          <w:rFonts w:ascii="Times New Roman" w:hAnsi="Times New Roman" w:cs="Times New Roman"/>
        </w:rPr>
        <w:t xml:space="preserve">, desde que não se produzam prejuízos a direitos de terceiros e que as intervenções se destinem, segundo seu inciso II, ao abastecimento público. </w:t>
      </w:r>
    </w:p>
    <w:p w:rsidR="00E32574" w:rsidRPr="00166C1E" w:rsidRDefault="00E32574" w:rsidP="00A83BE8">
      <w:pPr>
        <w:pStyle w:val="CM71"/>
        <w:spacing w:line="360" w:lineRule="auto"/>
        <w:ind w:firstLine="709"/>
        <w:jc w:val="both"/>
        <w:rPr>
          <w:rFonts w:ascii="Times New Roman" w:hAnsi="Times New Roman" w:cs="Times New Roman"/>
        </w:rPr>
      </w:pPr>
      <w:r w:rsidRPr="00166C1E">
        <w:rPr>
          <w:rFonts w:ascii="Times New Roman" w:hAnsi="Times New Roman" w:cs="Times New Roman"/>
        </w:rPr>
        <w:t xml:space="preserve">Sendo assim, das </w:t>
      </w:r>
      <w:r w:rsidR="00612D12" w:rsidRPr="00612D12">
        <w:rPr>
          <w:rFonts w:ascii="Times New Roman" w:hAnsi="Times New Roman" w:cs="Times New Roman"/>
        </w:rPr>
        <w:t>doze</w:t>
      </w:r>
      <w:r w:rsidRPr="00612D12">
        <w:rPr>
          <w:rFonts w:ascii="Times New Roman" w:hAnsi="Times New Roman" w:cs="Times New Roman"/>
        </w:rPr>
        <w:t xml:space="preserve"> captações</w:t>
      </w:r>
      <w:r w:rsidRPr="00166C1E">
        <w:rPr>
          <w:rFonts w:ascii="Times New Roman" w:hAnsi="Times New Roman" w:cs="Times New Roman"/>
        </w:rPr>
        <w:t xml:space="preserve"> do sistema de abastecimento de água de Aimorés, </w:t>
      </w:r>
      <w:r w:rsidR="00612D12" w:rsidRPr="00612D12">
        <w:rPr>
          <w:rFonts w:ascii="Times New Roman" w:hAnsi="Times New Roman" w:cs="Times New Roman"/>
        </w:rPr>
        <w:t>duas</w:t>
      </w:r>
      <w:r w:rsidRPr="00612D12">
        <w:rPr>
          <w:rFonts w:ascii="Times New Roman" w:hAnsi="Times New Roman" w:cs="Times New Roman"/>
        </w:rPr>
        <w:t xml:space="preserve"> são outorgadas</w:t>
      </w:r>
      <w:r w:rsidR="009B556B">
        <w:rPr>
          <w:rFonts w:ascii="Times New Roman" w:hAnsi="Times New Roman" w:cs="Times New Roman"/>
        </w:rPr>
        <w:t xml:space="preserve">, </w:t>
      </w:r>
      <w:r w:rsidR="00A466EA" w:rsidRPr="00A466EA">
        <w:rPr>
          <w:rFonts w:ascii="Times New Roman" w:hAnsi="Times New Roman" w:cs="Times New Roman"/>
        </w:rPr>
        <w:t>uma na se</w:t>
      </w:r>
      <w:bookmarkStart w:id="214" w:name="_GoBack"/>
      <w:bookmarkEnd w:id="214"/>
      <w:r w:rsidR="00A466EA" w:rsidRPr="00A466EA">
        <w:rPr>
          <w:rFonts w:ascii="Times New Roman" w:hAnsi="Times New Roman" w:cs="Times New Roman"/>
        </w:rPr>
        <w:t>de e outra no distrito de Santo Antônio do Rio Doce</w:t>
      </w:r>
      <w:r w:rsidR="009B556B">
        <w:rPr>
          <w:rFonts w:ascii="Times New Roman" w:hAnsi="Times New Roman" w:cs="Times New Roman"/>
        </w:rPr>
        <w:t>,</w:t>
      </w:r>
      <w:r w:rsidR="001C7BD1" w:rsidRPr="00612D12">
        <w:rPr>
          <w:rFonts w:ascii="Times New Roman" w:hAnsi="Times New Roman" w:cs="Times New Roman"/>
        </w:rPr>
        <w:t xml:space="preserve"> com valor de vazão de </w:t>
      </w:r>
      <w:r w:rsidR="00612D12" w:rsidRPr="00612D12">
        <w:rPr>
          <w:rFonts w:ascii="Times New Roman" w:hAnsi="Times New Roman" w:cs="Times New Roman"/>
        </w:rPr>
        <w:t>116,0</w:t>
      </w:r>
      <w:r w:rsidR="001C7BD1" w:rsidRPr="00612D12">
        <w:rPr>
          <w:rFonts w:ascii="Times New Roman" w:hAnsi="Times New Roman" w:cs="Times New Roman"/>
        </w:rPr>
        <w:t xml:space="preserve"> </w:t>
      </w:r>
      <w:r w:rsidR="00612D12" w:rsidRPr="00612D12">
        <w:rPr>
          <w:rFonts w:ascii="Times New Roman" w:hAnsi="Times New Roman" w:cs="Times New Roman"/>
        </w:rPr>
        <w:t>l</w:t>
      </w:r>
      <w:r w:rsidR="00612D12">
        <w:rPr>
          <w:rFonts w:ascii="Times New Roman" w:hAnsi="Times New Roman" w:cs="Times New Roman"/>
        </w:rPr>
        <w:t>/seg</w:t>
      </w:r>
      <w:r w:rsidRPr="00166C1E">
        <w:rPr>
          <w:rFonts w:ascii="Times New Roman" w:hAnsi="Times New Roman" w:cs="Times New Roman"/>
        </w:rPr>
        <w:t xml:space="preserve">, e </w:t>
      </w:r>
      <w:r w:rsidR="00612D12">
        <w:rPr>
          <w:rFonts w:ascii="Times New Roman" w:hAnsi="Times New Roman" w:cs="Times New Roman"/>
        </w:rPr>
        <w:t>dez</w:t>
      </w:r>
      <w:r w:rsidRPr="00166C1E">
        <w:rPr>
          <w:rFonts w:ascii="Times New Roman" w:hAnsi="Times New Roman" w:cs="Times New Roman"/>
        </w:rPr>
        <w:t xml:space="preserve"> restantes não foi iniciado o processo de solicitação de outorga junto ao IGAM.</w:t>
      </w:r>
    </w:p>
    <w:p w:rsidR="00E32574" w:rsidRDefault="00E32574" w:rsidP="00A83BE8">
      <w:pPr>
        <w:pStyle w:val="CM71"/>
        <w:spacing w:line="360" w:lineRule="auto"/>
        <w:ind w:firstLine="709"/>
        <w:jc w:val="both"/>
        <w:rPr>
          <w:rFonts w:ascii="Times New Roman" w:hAnsi="Times New Roman" w:cs="Times New Roman"/>
        </w:rPr>
      </w:pPr>
      <w:r w:rsidRPr="00166C1E">
        <w:rPr>
          <w:rFonts w:ascii="Times New Roman" w:hAnsi="Times New Roman" w:cs="Times New Roman"/>
        </w:rPr>
        <w:t xml:space="preserve">Nesta temática, o Decreto Estadual nº. 44.046, de 13 de Junho de 2005, regulamenta a cobrança pelo uso de recursos hídricos de domínio do estado de Minas Gerais. </w:t>
      </w:r>
    </w:p>
    <w:p w:rsidR="00E32574" w:rsidRPr="00017D6A" w:rsidRDefault="00A83BE8" w:rsidP="00971B37">
      <w:pPr>
        <w:pStyle w:val="Titulo"/>
      </w:pPr>
      <w:bookmarkStart w:id="215" w:name="_Toc372559096"/>
      <w:bookmarkStart w:id="216" w:name="_Toc372789528"/>
      <w:r>
        <w:t>11.</w:t>
      </w:r>
      <w:r w:rsidR="00B853AD">
        <w:t>4</w:t>
      </w:r>
      <w:r>
        <w:t xml:space="preserve"> </w:t>
      </w:r>
      <w:r w:rsidR="00E32574" w:rsidRPr="00017D6A">
        <w:t xml:space="preserve">Balanço consumos versus </w:t>
      </w:r>
      <w:r w:rsidR="00E32574" w:rsidRPr="00437716">
        <w:t>demandas</w:t>
      </w:r>
      <w:r w:rsidR="00E32574" w:rsidRPr="00017D6A">
        <w:t xml:space="preserve"> de abastecimento de</w:t>
      </w:r>
      <w:r w:rsidR="00E32574">
        <w:t xml:space="preserve"> á</w:t>
      </w:r>
      <w:r w:rsidR="00E32574" w:rsidRPr="00017D6A">
        <w:t>gua pelo município</w:t>
      </w:r>
      <w:bookmarkEnd w:id="215"/>
      <w:bookmarkEnd w:id="216"/>
    </w:p>
    <w:p w:rsidR="00E32574" w:rsidRPr="00901301" w:rsidRDefault="00E32574" w:rsidP="00A83BE8">
      <w:pPr>
        <w:pStyle w:val="CM71"/>
        <w:spacing w:line="360" w:lineRule="auto"/>
        <w:ind w:firstLine="709"/>
        <w:jc w:val="both"/>
        <w:rPr>
          <w:rFonts w:ascii="Times New Roman" w:hAnsi="Times New Roman" w:cs="Times New Roman"/>
        </w:rPr>
      </w:pPr>
      <w:r w:rsidRPr="00901301">
        <w:rPr>
          <w:rFonts w:ascii="Times New Roman" w:hAnsi="Times New Roman" w:cs="Times New Roman"/>
        </w:rPr>
        <w:t xml:space="preserve">É comum em estudos de planejamento, principalmente de cidades de pequeno porte </w:t>
      </w:r>
      <w:r w:rsidRPr="00901301">
        <w:rPr>
          <w:rFonts w:ascii="Times New Roman" w:hAnsi="Times New Roman" w:cs="Times New Roman"/>
        </w:rPr>
        <w:lastRenderedPageBreak/>
        <w:t>onde há grande diferença entre a população atendida pelo abastecimento de água e a população total, os órgãos competentes realizarem estudos da demanda máxima diária com as duas situações (população atendida e população total) diferenciadas, para desenvolver uma análise crítica dos valores encontrados.</w:t>
      </w:r>
    </w:p>
    <w:p w:rsidR="00E32574" w:rsidRPr="00901301" w:rsidRDefault="00E32574" w:rsidP="00E32574">
      <w:pPr>
        <w:pStyle w:val="CM71"/>
        <w:spacing w:line="360" w:lineRule="auto"/>
        <w:ind w:firstLine="708"/>
        <w:jc w:val="both"/>
        <w:rPr>
          <w:rFonts w:ascii="Times New Roman" w:hAnsi="Times New Roman" w:cs="Times New Roman"/>
        </w:rPr>
      </w:pPr>
      <w:r w:rsidRPr="00901301">
        <w:rPr>
          <w:rFonts w:ascii="Times New Roman" w:hAnsi="Times New Roman" w:cs="Times New Roman"/>
        </w:rPr>
        <w:t xml:space="preserve">Porém, como em </w:t>
      </w:r>
      <w:r>
        <w:rPr>
          <w:rFonts w:ascii="Times New Roman" w:hAnsi="Times New Roman" w:cs="Times New Roman"/>
        </w:rPr>
        <w:t>Aimorés</w:t>
      </w:r>
      <w:r w:rsidRPr="00901301">
        <w:rPr>
          <w:rFonts w:ascii="Times New Roman" w:hAnsi="Times New Roman" w:cs="Times New Roman"/>
        </w:rPr>
        <w:t xml:space="preserve"> não há </w:t>
      </w:r>
      <w:r>
        <w:rPr>
          <w:rFonts w:ascii="Times New Roman" w:hAnsi="Times New Roman" w:cs="Times New Roman"/>
        </w:rPr>
        <w:t xml:space="preserve">praticamente </w:t>
      </w:r>
      <w:r w:rsidRPr="00901301">
        <w:rPr>
          <w:rFonts w:ascii="Times New Roman" w:hAnsi="Times New Roman" w:cs="Times New Roman"/>
        </w:rPr>
        <w:t xml:space="preserve">diferença entre esses valores, pois </w:t>
      </w:r>
      <w:r>
        <w:rPr>
          <w:rFonts w:ascii="Times New Roman" w:hAnsi="Times New Roman" w:cs="Times New Roman"/>
        </w:rPr>
        <w:t xml:space="preserve">quase </w:t>
      </w:r>
      <w:r w:rsidRPr="00901301">
        <w:rPr>
          <w:rFonts w:ascii="Times New Roman" w:hAnsi="Times New Roman" w:cs="Times New Roman"/>
        </w:rPr>
        <w:t>toda a população é atendida pelo serviço de abastecimento de água (</w:t>
      </w:r>
      <w:r>
        <w:rPr>
          <w:rFonts w:ascii="Times New Roman" w:hAnsi="Times New Roman" w:cs="Times New Roman"/>
        </w:rPr>
        <w:t>96,7%</w:t>
      </w:r>
      <w:r w:rsidRPr="00901301">
        <w:rPr>
          <w:rFonts w:ascii="Times New Roman" w:hAnsi="Times New Roman" w:cs="Times New Roman"/>
        </w:rPr>
        <w:t>), será considerada uma única conta para a “Demanda Máxima Diária de Água”.</w:t>
      </w:r>
    </w:p>
    <w:p w:rsidR="00E32574" w:rsidRDefault="00E32574" w:rsidP="00E32574">
      <w:pPr>
        <w:pStyle w:val="CM71"/>
        <w:spacing w:line="360" w:lineRule="auto"/>
        <w:ind w:firstLine="708"/>
        <w:jc w:val="both"/>
        <w:rPr>
          <w:rFonts w:ascii="Times New Roman" w:hAnsi="Times New Roman" w:cs="Times New Roman"/>
        </w:rPr>
      </w:pPr>
      <w:r w:rsidRPr="00901301">
        <w:rPr>
          <w:rFonts w:ascii="Times New Roman" w:hAnsi="Times New Roman" w:cs="Times New Roman"/>
        </w:rPr>
        <w:t>Como mencionado anteriormente, a capacidade normal de produção da</w:t>
      </w:r>
      <w:r>
        <w:rPr>
          <w:rFonts w:ascii="Times New Roman" w:hAnsi="Times New Roman" w:cs="Times New Roman"/>
        </w:rPr>
        <w:t>s</w:t>
      </w:r>
      <w:r w:rsidRPr="00901301">
        <w:rPr>
          <w:rFonts w:ascii="Times New Roman" w:hAnsi="Times New Roman" w:cs="Times New Roman"/>
        </w:rPr>
        <w:t xml:space="preserve"> ETA</w:t>
      </w:r>
      <w:r>
        <w:rPr>
          <w:rFonts w:ascii="Times New Roman" w:hAnsi="Times New Roman" w:cs="Times New Roman"/>
        </w:rPr>
        <w:t>’s</w:t>
      </w:r>
      <w:r w:rsidRPr="00901301">
        <w:rPr>
          <w:rFonts w:ascii="Times New Roman" w:hAnsi="Times New Roman" w:cs="Times New Roman"/>
        </w:rPr>
        <w:t xml:space="preserve"> d</w:t>
      </w:r>
      <w:r>
        <w:rPr>
          <w:rFonts w:ascii="Times New Roman" w:hAnsi="Times New Roman" w:cs="Times New Roman"/>
        </w:rPr>
        <w:t>o</w:t>
      </w:r>
      <w:r w:rsidRPr="00901301">
        <w:rPr>
          <w:rFonts w:ascii="Times New Roman" w:hAnsi="Times New Roman" w:cs="Times New Roman"/>
        </w:rPr>
        <w:t xml:space="preserve"> </w:t>
      </w:r>
      <w:r>
        <w:rPr>
          <w:rFonts w:ascii="Times New Roman" w:hAnsi="Times New Roman" w:cs="Times New Roman"/>
        </w:rPr>
        <w:t>SAAE, é de 85,13</w:t>
      </w:r>
      <w:r w:rsidRPr="00901301">
        <w:rPr>
          <w:rFonts w:ascii="Times New Roman" w:hAnsi="Times New Roman" w:cs="Times New Roman"/>
        </w:rPr>
        <w:t xml:space="preserve"> Ls</w:t>
      </w:r>
      <w:r w:rsidR="00A83BE8" w:rsidRPr="00A83BE8">
        <w:rPr>
          <w:rFonts w:ascii="Times New Roman" w:hAnsi="Times New Roman" w:cs="Times New Roman"/>
          <w:vertAlign w:val="superscript"/>
        </w:rPr>
        <w:t>-1</w:t>
      </w:r>
      <w:r>
        <w:rPr>
          <w:rFonts w:ascii="Times New Roman" w:hAnsi="Times New Roman" w:cs="Times New Roman"/>
        </w:rPr>
        <w:t>.</w:t>
      </w:r>
    </w:p>
    <w:p w:rsidR="00E32574" w:rsidRPr="00901301" w:rsidRDefault="00E32574" w:rsidP="00E32574">
      <w:pPr>
        <w:pStyle w:val="CM71"/>
        <w:spacing w:line="360" w:lineRule="auto"/>
        <w:ind w:firstLine="708"/>
        <w:jc w:val="both"/>
        <w:rPr>
          <w:rFonts w:ascii="Times New Roman" w:hAnsi="Times New Roman" w:cs="Times New Roman"/>
        </w:rPr>
      </w:pPr>
      <w:r w:rsidRPr="00901301">
        <w:rPr>
          <w:rFonts w:ascii="Times New Roman" w:hAnsi="Times New Roman" w:cs="Times New Roman"/>
        </w:rPr>
        <w:t>Para o cálculo da demanda máxima diária do sis</w:t>
      </w:r>
      <w:r>
        <w:rPr>
          <w:rFonts w:ascii="Times New Roman" w:hAnsi="Times New Roman" w:cs="Times New Roman"/>
        </w:rPr>
        <w:t>tema de abastecimento de água do</w:t>
      </w:r>
      <w:r w:rsidRPr="00901301">
        <w:rPr>
          <w:rFonts w:ascii="Times New Roman" w:hAnsi="Times New Roman" w:cs="Times New Roman"/>
        </w:rPr>
        <w:t xml:space="preserve"> </w:t>
      </w:r>
      <w:r>
        <w:rPr>
          <w:rFonts w:ascii="Times New Roman" w:hAnsi="Times New Roman" w:cs="Times New Roman"/>
        </w:rPr>
        <w:t>SAAE</w:t>
      </w:r>
      <w:r w:rsidRPr="00901301">
        <w:rPr>
          <w:rFonts w:ascii="Times New Roman" w:hAnsi="Times New Roman" w:cs="Times New Roman"/>
        </w:rPr>
        <w:t>, consider</w:t>
      </w:r>
      <w:r w:rsidR="00A83BE8">
        <w:rPr>
          <w:rFonts w:ascii="Times New Roman" w:hAnsi="Times New Roman" w:cs="Times New Roman"/>
        </w:rPr>
        <w:t>ou</w:t>
      </w:r>
      <w:r w:rsidRPr="00901301">
        <w:rPr>
          <w:rFonts w:ascii="Times New Roman" w:hAnsi="Times New Roman" w:cs="Times New Roman"/>
        </w:rPr>
        <w:t xml:space="preserve">-se a população </w:t>
      </w:r>
      <w:r>
        <w:rPr>
          <w:rFonts w:ascii="Times New Roman" w:hAnsi="Times New Roman" w:cs="Times New Roman"/>
        </w:rPr>
        <w:t>atendida pelo SAAE</w:t>
      </w:r>
      <w:r w:rsidRPr="00901301">
        <w:rPr>
          <w:rFonts w:ascii="Times New Roman" w:hAnsi="Times New Roman" w:cs="Times New Roman"/>
        </w:rPr>
        <w:t xml:space="preserve"> </w:t>
      </w:r>
      <w:r w:rsidR="001C333D">
        <w:rPr>
          <w:rFonts w:ascii="Times New Roman" w:hAnsi="Times New Roman" w:cs="Times New Roman"/>
        </w:rPr>
        <w:t>n</w:t>
      </w:r>
      <w:r w:rsidRPr="00901301">
        <w:rPr>
          <w:rFonts w:ascii="Times New Roman" w:hAnsi="Times New Roman" w:cs="Times New Roman"/>
        </w:rPr>
        <w:t xml:space="preserve">o município, </w:t>
      </w:r>
      <w:r w:rsidRPr="000F33C7">
        <w:rPr>
          <w:rFonts w:ascii="Times New Roman" w:hAnsi="Times New Roman" w:cs="Times New Roman"/>
        </w:rPr>
        <w:t xml:space="preserve">de </w:t>
      </w:r>
      <w:r w:rsidR="002C2531" w:rsidRPr="000F33C7">
        <w:rPr>
          <w:rFonts w:ascii="Times New Roman" w:hAnsi="Times New Roman" w:cs="Times New Roman"/>
        </w:rPr>
        <w:t>19</w:t>
      </w:r>
      <w:r w:rsidRPr="000F33C7">
        <w:rPr>
          <w:rFonts w:ascii="Times New Roman" w:hAnsi="Times New Roman" w:cs="Times New Roman"/>
        </w:rPr>
        <w:t>.</w:t>
      </w:r>
      <w:r w:rsidR="002C2531" w:rsidRPr="000F33C7">
        <w:rPr>
          <w:rFonts w:ascii="Times New Roman" w:hAnsi="Times New Roman" w:cs="Times New Roman"/>
        </w:rPr>
        <w:t>700</w:t>
      </w:r>
      <w:r w:rsidRPr="000F33C7">
        <w:rPr>
          <w:rFonts w:ascii="Times New Roman" w:hAnsi="Times New Roman" w:cs="Times New Roman"/>
        </w:rPr>
        <w:t xml:space="preserve"> habitantes.</w:t>
      </w:r>
    </w:p>
    <w:p w:rsidR="00E32574" w:rsidRPr="00901301" w:rsidRDefault="00E32574" w:rsidP="00E32574">
      <w:pPr>
        <w:pStyle w:val="CM71"/>
        <w:spacing w:line="360" w:lineRule="auto"/>
        <w:ind w:firstLine="708"/>
        <w:jc w:val="both"/>
        <w:rPr>
          <w:rFonts w:ascii="Times New Roman" w:hAnsi="Times New Roman" w:cs="Times New Roman"/>
        </w:rPr>
      </w:pPr>
      <w:r w:rsidRPr="00901301">
        <w:rPr>
          <w:rFonts w:ascii="Times New Roman" w:hAnsi="Times New Roman" w:cs="Times New Roman"/>
        </w:rPr>
        <w:t>A demanda máxima diária de água é então calculada utilizando a fórmula elaborada por Tsutiya (2006)</w:t>
      </w:r>
      <w:r w:rsidR="001C333D">
        <w:rPr>
          <w:rFonts w:ascii="Times New Roman" w:hAnsi="Times New Roman" w:cs="Times New Roman"/>
        </w:rPr>
        <w:t>, sendo ela descrita pela Equação 2.</w:t>
      </w:r>
    </w:p>
    <w:p w:rsidR="00E32574" w:rsidRPr="001C333D" w:rsidRDefault="00E32574" w:rsidP="001C333D">
      <w:pPr>
        <w:autoSpaceDE w:val="0"/>
        <w:autoSpaceDN w:val="0"/>
        <w:adjustRightInd w:val="0"/>
        <w:spacing w:before="120" w:after="120" w:line="240" w:lineRule="auto"/>
        <w:ind w:left="709"/>
        <w:jc w:val="both"/>
        <w:rPr>
          <w:bCs/>
          <w:szCs w:val="24"/>
        </w:rPr>
      </w:pPr>
      <w:r w:rsidRPr="00901301">
        <w:rPr>
          <w:b/>
          <w:bCs/>
          <w:szCs w:val="24"/>
        </w:rPr>
        <w:t>Q = [(P.K1.q) / 86400]</w:t>
      </w:r>
      <w:r w:rsidR="001C333D" w:rsidRPr="001C333D">
        <w:rPr>
          <w:bCs/>
          <w:szCs w:val="24"/>
        </w:rPr>
        <w:t xml:space="preserve">                                                 </w:t>
      </w:r>
      <w:r w:rsidR="001C333D">
        <w:rPr>
          <w:bCs/>
          <w:szCs w:val="24"/>
        </w:rPr>
        <w:t xml:space="preserve">      </w:t>
      </w:r>
      <w:r w:rsidR="001C333D" w:rsidRPr="001C333D">
        <w:rPr>
          <w:bCs/>
          <w:szCs w:val="24"/>
        </w:rPr>
        <w:t xml:space="preserve">                                 Eq. 2</w:t>
      </w:r>
    </w:p>
    <w:p w:rsidR="00E32574" w:rsidRPr="00901301" w:rsidRDefault="00E32574" w:rsidP="00E32574">
      <w:pPr>
        <w:autoSpaceDE w:val="0"/>
        <w:autoSpaceDN w:val="0"/>
        <w:adjustRightInd w:val="0"/>
        <w:spacing w:after="0" w:line="240" w:lineRule="auto"/>
        <w:jc w:val="center"/>
        <w:rPr>
          <w:b/>
          <w:bCs/>
          <w:szCs w:val="24"/>
        </w:rPr>
      </w:pPr>
    </w:p>
    <w:p w:rsidR="00E32574" w:rsidRPr="00901301" w:rsidRDefault="00E32574" w:rsidP="00E32574">
      <w:pPr>
        <w:autoSpaceDE w:val="0"/>
        <w:autoSpaceDN w:val="0"/>
        <w:adjustRightInd w:val="0"/>
        <w:spacing w:after="0" w:line="360" w:lineRule="auto"/>
        <w:jc w:val="both"/>
        <w:rPr>
          <w:szCs w:val="24"/>
        </w:rPr>
      </w:pPr>
      <w:r w:rsidRPr="00901301">
        <w:rPr>
          <w:szCs w:val="24"/>
        </w:rPr>
        <w:t>Onde:</w:t>
      </w:r>
    </w:p>
    <w:p w:rsidR="00E32574" w:rsidRPr="00901301" w:rsidRDefault="00E32574" w:rsidP="00E32574">
      <w:pPr>
        <w:autoSpaceDE w:val="0"/>
        <w:autoSpaceDN w:val="0"/>
        <w:adjustRightInd w:val="0"/>
        <w:spacing w:after="0" w:line="360" w:lineRule="auto"/>
        <w:jc w:val="both"/>
        <w:rPr>
          <w:szCs w:val="24"/>
        </w:rPr>
      </w:pPr>
      <w:r w:rsidRPr="00901301">
        <w:rPr>
          <w:szCs w:val="24"/>
        </w:rPr>
        <w:t>Q = demanda máxima diária de água (Ls</w:t>
      </w:r>
      <w:r w:rsidR="001C333D" w:rsidRPr="001C333D">
        <w:rPr>
          <w:szCs w:val="24"/>
          <w:vertAlign w:val="superscript"/>
        </w:rPr>
        <w:t>-1</w:t>
      </w:r>
      <w:r w:rsidRPr="00901301">
        <w:rPr>
          <w:szCs w:val="24"/>
        </w:rPr>
        <w:t>);</w:t>
      </w:r>
    </w:p>
    <w:p w:rsidR="00E32574" w:rsidRPr="00901301" w:rsidRDefault="00E32574" w:rsidP="00E32574">
      <w:pPr>
        <w:autoSpaceDE w:val="0"/>
        <w:autoSpaceDN w:val="0"/>
        <w:adjustRightInd w:val="0"/>
        <w:spacing w:after="0" w:line="360" w:lineRule="auto"/>
        <w:jc w:val="both"/>
        <w:rPr>
          <w:szCs w:val="24"/>
        </w:rPr>
      </w:pPr>
      <w:r w:rsidRPr="00901301">
        <w:rPr>
          <w:szCs w:val="24"/>
        </w:rPr>
        <w:t>P = população atendida pelo sistema de abasteci</w:t>
      </w:r>
      <w:r>
        <w:rPr>
          <w:szCs w:val="24"/>
        </w:rPr>
        <w:t xml:space="preserve">mento de água (SAAE) = </w:t>
      </w:r>
      <w:r w:rsidR="002C2531" w:rsidRPr="000F33C7">
        <w:rPr>
          <w:szCs w:val="24"/>
        </w:rPr>
        <w:t>19</w:t>
      </w:r>
      <w:r w:rsidRPr="000F33C7">
        <w:rPr>
          <w:szCs w:val="24"/>
        </w:rPr>
        <w:t>.</w:t>
      </w:r>
      <w:r w:rsidR="002C2531" w:rsidRPr="000F33C7">
        <w:rPr>
          <w:szCs w:val="24"/>
        </w:rPr>
        <w:t>700</w:t>
      </w:r>
      <w:r w:rsidRPr="000F33C7">
        <w:rPr>
          <w:szCs w:val="24"/>
        </w:rPr>
        <w:t xml:space="preserve"> habitantes;</w:t>
      </w:r>
      <w:r w:rsidRPr="00901301">
        <w:rPr>
          <w:szCs w:val="24"/>
        </w:rPr>
        <w:t xml:space="preserve"> </w:t>
      </w:r>
    </w:p>
    <w:p w:rsidR="00E32574" w:rsidRPr="00901301" w:rsidRDefault="00E32574" w:rsidP="00E32574">
      <w:pPr>
        <w:autoSpaceDE w:val="0"/>
        <w:autoSpaceDN w:val="0"/>
        <w:adjustRightInd w:val="0"/>
        <w:spacing w:after="0" w:line="360" w:lineRule="auto"/>
        <w:jc w:val="both"/>
        <w:rPr>
          <w:szCs w:val="24"/>
        </w:rPr>
      </w:pPr>
      <w:r w:rsidRPr="00901301">
        <w:rPr>
          <w:szCs w:val="24"/>
        </w:rPr>
        <w:t>K1 = coeficiente do dia de maior consumo</w:t>
      </w:r>
      <w:r>
        <w:rPr>
          <w:szCs w:val="24"/>
        </w:rPr>
        <w:t xml:space="preserve"> (média brasileira)</w:t>
      </w:r>
      <w:r w:rsidRPr="00901301">
        <w:rPr>
          <w:szCs w:val="24"/>
        </w:rPr>
        <w:t xml:space="preserve"> = 1,20;</w:t>
      </w:r>
    </w:p>
    <w:p w:rsidR="00E32574" w:rsidRPr="00901301" w:rsidRDefault="00E32574" w:rsidP="00E32574">
      <w:pPr>
        <w:autoSpaceDE w:val="0"/>
        <w:autoSpaceDN w:val="0"/>
        <w:adjustRightInd w:val="0"/>
        <w:spacing w:after="0" w:line="360" w:lineRule="auto"/>
        <w:jc w:val="both"/>
        <w:rPr>
          <w:szCs w:val="24"/>
        </w:rPr>
      </w:pPr>
      <w:r w:rsidRPr="00901301">
        <w:rPr>
          <w:szCs w:val="24"/>
        </w:rPr>
        <w:t xml:space="preserve">q = consumo médio </w:t>
      </w:r>
      <w:r w:rsidRPr="00901301">
        <w:rPr>
          <w:i/>
          <w:iCs/>
          <w:szCs w:val="24"/>
        </w:rPr>
        <w:t xml:space="preserve">per capita </w:t>
      </w:r>
      <w:r>
        <w:rPr>
          <w:szCs w:val="24"/>
        </w:rPr>
        <w:t xml:space="preserve">de água = </w:t>
      </w:r>
      <w:r w:rsidRPr="000F33C7">
        <w:rPr>
          <w:szCs w:val="24"/>
        </w:rPr>
        <w:t>1</w:t>
      </w:r>
      <w:r w:rsidR="002C2531" w:rsidRPr="000F33C7">
        <w:rPr>
          <w:szCs w:val="24"/>
        </w:rPr>
        <w:t>90</w:t>
      </w:r>
      <w:r w:rsidRPr="000F33C7">
        <w:rPr>
          <w:szCs w:val="24"/>
        </w:rPr>
        <w:t>,</w:t>
      </w:r>
      <w:r w:rsidR="002C2531" w:rsidRPr="000F33C7">
        <w:rPr>
          <w:szCs w:val="24"/>
        </w:rPr>
        <w:t>0</w:t>
      </w:r>
      <w:r w:rsidRPr="000F33C7">
        <w:rPr>
          <w:szCs w:val="24"/>
        </w:rPr>
        <w:t>0 L</w:t>
      </w:r>
      <w:r w:rsidR="00885F7E" w:rsidRPr="000F33C7">
        <w:rPr>
          <w:szCs w:val="24"/>
        </w:rPr>
        <w:t>hab</w:t>
      </w:r>
      <w:r w:rsidR="001C333D">
        <w:rPr>
          <w:szCs w:val="24"/>
        </w:rPr>
        <w:t>.</w:t>
      </w:r>
      <w:r w:rsidR="001C333D" w:rsidRPr="001C333D">
        <w:rPr>
          <w:szCs w:val="24"/>
          <w:vertAlign w:val="superscript"/>
        </w:rPr>
        <w:t>-1</w:t>
      </w:r>
      <w:r w:rsidR="00885F7E" w:rsidRPr="000F33C7">
        <w:rPr>
          <w:szCs w:val="24"/>
        </w:rPr>
        <w:t xml:space="preserve"> dia</w:t>
      </w:r>
      <w:r w:rsidRPr="00901301">
        <w:rPr>
          <w:szCs w:val="24"/>
        </w:rPr>
        <w:t xml:space="preserve"> (</w:t>
      </w:r>
      <w:r>
        <w:rPr>
          <w:szCs w:val="24"/>
        </w:rPr>
        <w:t>SAAE</w:t>
      </w:r>
      <w:r w:rsidRPr="00901301">
        <w:rPr>
          <w:szCs w:val="24"/>
        </w:rPr>
        <w:t>);</w:t>
      </w:r>
    </w:p>
    <w:p w:rsidR="00E32574" w:rsidRDefault="00E32574" w:rsidP="00E32574">
      <w:pPr>
        <w:autoSpaceDE w:val="0"/>
        <w:autoSpaceDN w:val="0"/>
        <w:adjustRightInd w:val="0"/>
        <w:spacing w:after="0" w:line="360" w:lineRule="auto"/>
        <w:jc w:val="both"/>
        <w:rPr>
          <w:szCs w:val="24"/>
        </w:rPr>
      </w:pPr>
      <w:r w:rsidRPr="00901301">
        <w:rPr>
          <w:szCs w:val="24"/>
        </w:rPr>
        <w:t>Portanto:</w:t>
      </w:r>
    </w:p>
    <w:p w:rsidR="00E32574" w:rsidRPr="000F33C7" w:rsidRDefault="00E32574" w:rsidP="001C333D">
      <w:pPr>
        <w:autoSpaceDE w:val="0"/>
        <w:autoSpaceDN w:val="0"/>
        <w:adjustRightInd w:val="0"/>
        <w:spacing w:before="120" w:after="120" w:line="360" w:lineRule="auto"/>
        <w:ind w:left="284"/>
        <w:rPr>
          <w:b/>
          <w:bCs/>
          <w:szCs w:val="24"/>
        </w:rPr>
      </w:pPr>
      <w:r w:rsidRPr="000F33C7">
        <w:rPr>
          <w:b/>
          <w:bCs/>
          <w:szCs w:val="24"/>
        </w:rPr>
        <w:t>Q = [((</w:t>
      </w:r>
      <w:r w:rsidR="002C2531" w:rsidRPr="000F33C7">
        <w:rPr>
          <w:b/>
          <w:bCs/>
          <w:szCs w:val="24"/>
        </w:rPr>
        <w:t>19</w:t>
      </w:r>
      <w:r w:rsidRPr="000F33C7">
        <w:rPr>
          <w:b/>
          <w:bCs/>
          <w:szCs w:val="24"/>
        </w:rPr>
        <w:t>.</w:t>
      </w:r>
      <w:r w:rsidR="002C2531" w:rsidRPr="000F33C7">
        <w:rPr>
          <w:b/>
          <w:bCs/>
          <w:szCs w:val="24"/>
        </w:rPr>
        <w:t>700</w:t>
      </w:r>
      <w:r w:rsidRPr="000F33C7">
        <w:rPr>
          <w:b/>
          <w:bCs/>
          <w:szCs w:val="24"/>
        </w:rPr>
        <w:t>).(1,20).(1</w:t>
      </w:r>
      <w:r w:rsidR="002C2531" w:rsidRPr="000F33C7">
        <w:rPr>
          <w:b/>
          <w:bCs/>
          <w:szCs w:val="24"/>
        </w:rPr>
        <w:t>90</w:t>
      </w:r>
      <w:r w:rsidRPr="000F33C7">
        <w:rPr>
          <w:b/>
          <w:bCs/>
          <w:szCs w:val="24"/>
        </w:rPr>
        <w:t>,</w:t>
      </w:r>
      <w:r w:rsidR="002C2531" w:rsidRPr="000F33C7">
        <w:rPr>
          <w:b/>
          <w:bCs/>
          <w:szCs w:val="24"/>
        </w:rPr>
        <w:t>0</w:t>
      </w:r>
      <w:r w:rsidRPr="000F33C7">
        <w:rPr>
          <w:b/>
          <w:bCs/>
          <w:szCs w:val="24"/>
        </w:rPr>
        <w:t>0)) / 86400]</w:t>
      </w:r>
    </w:p>
    <w:p w:rsidR="00E32574" w:rsidRDefault="00E32574" w:rsidP="001C333D">
      <w:pPr>
        <w:autoSpaceDE w:val="0"/>
        <w:autoSpaceDN w:val="0"/>
        <w:adjustRightInd w:val="0"/>
        <w:spacing w:before="120" w:after="120" w:line="360" w:lineRule="auto"/>
        <w:ind w:left="426"/>
        <w:rPr>
          <w:b/>
          <w:bCs/>
          <w:szCs w:val="24"/>
        </w:rPr>
      </w:pPr>
      <w:r w:rsidRPr="000F33C7">
        <w:rPr>
          <w:b/>
          <w:bCs/>
          <w:szCs w:val="24"/>
        </w:rPr>
        <w:t>Q = 5</w:t>
      </w:r>
      <w:r w:rsidR="002C2531" w:rsidRPr="000F33C7">
        <w:rPr>
          <w:b/>
          <w:bCs/>
          <w:szCs w:val="24"/>
        </w:rPr>
        <w:t>1</w:t>
      </w:r>
      <w:r w:rsidRPr="000F33C7">
        <w:rPr>
          <w:b/>
          <w:bCs/>
          <w:szCs w:val="24"/>
        </w:rPr>
        <w:t>,</w:t>
      </w:r>
      <w:r w:rsidR="002C2531" w:rsidRPr="000F33C7">
        <w:rPr>
          <w:b/>
          <w:bCs/>
          <w:szCs w:val="24"/>
        </w:rPr>
        <w:t>98</w:t>
      </w:r>
      <w:r w:rsidRPr="000F33C7">
        <w:rPr>
          <w:b/>
          <w:bCs/>
          <w:szCs w:val="24"/>
        </w:rPr>
        <w:t xml:space="preserve"> Ls</w:t>
      </w:r>
      <w:r w:rsidR="006221C2" w:rsidRPr="006221C2">
        <w:rPr>
          <w:b/>
          <w:bCs/>
          <w:szCs w:val="24"/>
          <w:vertAlign w:val="superscript"/>
        </w:rPr>
        <w:t>-1</w:t>
      </w:r>
    </w:p>
    <w:p w:rsidR="001C333D" w:rsidRDefault="001C333D" w:rsidP="001C333D">
      <w:pPr>
        <w:pStyle w:val="CM71"/>
        <w:spacing w:line="360" w:lineRule="auto"/>
        <w:ind w:firstLine="709"/>
        <w:jc w:val="both"/>
        <w:rPr>
          <w:rFonts w:ascii="Times New Roman" w:hAnsi="Times New Roman" w:cs="Times New Roman"/>
        </w:rPr>
      </w:pPr>
      <w:r>
        <w:rPr>
          <w:rFonts w:ascii="Times New Roman" w:hAnsi="Times New Roman" w:cs="Times New Roman"/>
        </w:rPr>
        <w:t>Dessa forma, de acordo com os cálculos realizados acima, a</w:t>
      </w:r>
      <w:r w:rsidR="00E32574" w:rsidRPr="00901301">
        <w:rPr>
          <w:rFonts w:ascii="Times New Roman" w:hAnsi="Times New Roman" w:cs="Times New Roman"/>
        </w:rPr>
        <w:t xml:space="preserve"> demanda máxima diária é de </w:t>
      </w:r>
      <w:r w:rsidR="00E32574" w:rsidRPr="000F33C7">
        <w:rPr>
          <w:rFonts w:ascii="Times New Roman" w:hAnsi="Times New Roman" w:cs="Times New Roman"/>
        </w:rPr>
        <w:t>5</w:t>
      </w:r>
      <w:r w:rsidR="002C2531" w:rsidRPr="000F33C7">
        <w:rPr>
          <w:rFonts w:ascii="Times New Roman" w:hAnsi="Times New Roman" w:cs="Times New Roman"/>
        </w:rPr>
        <w:t>1</w:t>
      </w:r>
      <w:r w:rsidR="00E32574" w:rsidRPr="000F33C7">
        <w:rPr>
          <w:rFonts w:ascii="Times New Roman" w:hAnsi="Times New Roman" w:cs="Times New Roman"/>
        </w:rPr>
        <w:t>,</w:t>
      </w:r>
      <w:r w:rsidR="003F090E">
        <w:rPr>
          <w:rFonts w:ascii="Times New Roman" w:hAnsi="Times New Roman" w:cs="Times New Roman"/>
        </w:rPr>
        <w:t>98</w:t>
      </w:r>
      <w:r w:rsidR="00E32574" w:rsidRPr="000F33C7">
        <w:rPr>
          <w:rFonts w:ascii="Times New Roman" w:hAnsi="Times New Roman" w:cs="Times New Roman"/>
        </w:rPr>
        <w:t xml:space="preserve"> Ls</w:t>
      </w:r>
      <w:r w:rsidR="006221C2" w:rsidRPr="006221C2">
        <w:rPr>
          <w:rFonts w:ascii="Times New Roman" w:hAnsi="Times New Roman" w:cs="Times New Roman"/>
          <w:vertAlign w:val="superscript"/>
        </w:rPr>
        <w:t>-1</w:t>
      </w:r>
      <w:r w:rsidR="00E32574" w:rsidRPr="00901301">
        <w:rPr>
          <w:rFonts w:ascii="Times New Roman" w:hAnsi="Times New Roman" w:cs="Times New Roman"/>
        </w:rPr>
        <w:t xml:space="preserve">, se considerarmos </w:t>
      </w:r>
      <w:r w:rsidR="00E32574">
        <w:rPr>
          <w:rFonts w:ascii="Times New Roman" w:hAnsi="Times New Roman" w:cs="Times New Roman"/>
        </w:rPr>
        <w:t>o “índice de perdas” na distribuição que chega a 24,75</w:t>
      </w:r>
      <w:r w:rsidR="00E32574" w:rsidRPr="00901301">
        <w:rPr>
          <w:rFonts w:ascii="Times New Roman" w:hAnsi="Times New Roman" w:cs="Times New Roman"/>
        </w:rPr>
        <w:t xml:space="preserve"> % (</w:t>
      </w:r>
      <w:r w:rsidR="00E32574">
        <w:rPr>
          <w:rFonts w:ascii="Times New Roman" w:hAnsi="Times New Roman" w:cs="Times New Roman"/>
        </w:rPr>
        <w:t>SAAE, 2013</w:t>
      </w:r>
      <w:r w:rsidR="00E32574" w:rsidRPr="00901301">
        <w:rPr>
          <w:rFonts w:ascii="Times New Roman" w:hAnsi="Times New Roman" w:cs="Times New Roman"/>
        </w:rPr>
        <w:t>),</w:t>
      </w:r>
      <w:r w:rsidR="00E32574">
        <w:rPr>
          <w:rFonts w:ascii="Times New Roman" w:hAnsi="Times New Roman" w:cs="Times New Roman"/>
        </w:rPr>
        <w:t xml:space="preserve"> a vazão necessária de produção </w:t>
      </w:r>
      <w:r w:rsidR="00E32574" w:rsidRPr="00901301">
        <w:rPr>
          <w:rFonts w:ascii="Times New Roman" w:hAnsi="Times New Roman" w:cs="Times New Roman"/>
        </w:rPr>
        <w:t xml:space="preserve">para o sistema de abastecimento do município de </w:t>
      </w:r>
      <w:r w:rsidR="00E32574">
        <w:rPr>
          <w:rFonts w:ascii="Times New Roman" w:hAnsi="Times New Roman" w:cs="Times New Roman"/>
        </w:rPr>
        <w:t>Aimorés</w:t>
      </w:r>
      <w:r w:rsidR="00E32574" w:rsidRPr="00901301">
        <w:rPr>
          <w:rFonts w:ascii="Times New Roman" w:hAnsi="Times New Roman" w:cs="Times New Roman"/>
        </w:rPr>
        <w:t xml:space="preserve"> é de </w:t>
      </w:r>
      <w:r w:rsidR="002C2531" w:rsidRPr="000F33C7">
        <w:rPr>
          <w:rFonts w:ascii="Times New Roman" w:hAnsi="Times New Roman" w:cs="Times New Roman"/>
        </w:rPr>
        <w:t>64</w:t>
      </w:r>
      <w:r w:rsidR="00E32574" w:rsidRPr="000F33C7">
        <w:rPr>
          <w:rFonts w:ascii="Times New Roman" w:hAnsi="Times New Roman" w:cs="Times New Roman"/>
        </w:rPr>
        <w:t>,</w:t>
      </w:r>
      <w:r>
        <w:rPr>
          <w:rFonts w:ascii="Times New Roman" w:hAnsi="Times New Roman" w:cs="Times New Roman"/>
        </w:rPr>
        <w:t>8</w:t>
      </w:r>
      <w:r w:rsidR="003F090E">
        <w:rPr>
          <w:rFonts w:ascii="Times New Roman" w:hAnsi="Times New Roman" w:cs="Times New Roman"/>
        </w:rPr>
        <w:t>5</w:t>
      </w:r>
      <w:r w:rsidR="00E32574" w:rsidRPr="000F33C7">
        <w:rPr>
          <w:rFonts w:ascii="Times New Roman" w:hAnsi="Times New Roman" w:cs="Times New Roman"/>
        </w:rPr>
        <w:t xml:space="preserve"> Ls</w:t>
      </w:r>
      <w:r w:rsidRPr="001C333D">
        <w:rPr>
          <w:rFonts w:ascii="Times New Roman" w:hAnsi="Times New Roman" w:cs="Times New Roman"/>
          <w:vertAlign w:val="superscript"/>
        </w:rPr>
        <w:t>-1</w:t>
      </w:r>
      <w:r w:rsidR="00E32574">
        <w:rPr>
          <w:rFonts w:ascii="Times New Roman" w:hAnsi="Times New Roman" w:cs="Times New Roman"/>
        </w:rPr>
        <w:t xml:space="preserve">. </w:t>
      </w:r>
      <w:r w:rsidR="00E32574" w:rsidRPr="00901301">
        <w:rPr>
          <w:rFonts w:ascii="Times New Roman" w:hAnsi="Times New Roman" w:cs="Times New Roman"/>
        </w:rPr>
        <w:t xml:space="preserve">Ou seja, o sistema hoje em utilização com produção de </w:t>
      </w:r>
      <w:r w:rsidR="00E32574">
        <w:rPr>
          <w:rFonts w:ascii="Times New Roman" w:hAnsi="Times New Roman" w:cs="Times New Roman"/>
        </w:rPr>
        <w:t>85,13</w:t>
      </w:r>
      <w:r w:rsidR="00E32574" w:rsidRPr="00901301">
        <w:rPr>
          <w:rFonts w:ascii="Times New Roman" w:hAnsi="Times New Roman" w:cs="Times New Roman"/>
        </w:rPr>
        <w:t xml:space="preserve"> </w:t>
      </w:r>
      <w:r w:rsidR="006221C2" w:rsidRPr="000F33C7">
        <w:rPr>
          <w:rFonts w:ascii="Times New Roman" w:hAnsi="Times New Roman" w:cs="Times New Roman"/>
        </w:rPr>
        <w:t>Ls</w:t>
      </w:r>
      <w:r w:rsidR="006221C2" w:rsidRPr="006221C2">
        <w:rPr>
          <w:rFonts w:ascii="Times New Roman" w:hAnsi="Times New Roman" w:cs="Times New Roman"/>
          <w:vertAlign w:val="superscript"/>
        </w:rPr>
        <w:t>-1</w:t>
      </w:r>
      <w:r w:rsidR="00E32574" w:rsidRPr="00901301">
        <w:rPr>
          <w:rFonts w:ascii="Times New Roman" w:hAnsi="Times New Roman" w:cs="Times New Roman"/>
        </w:rPr>
        <w:t xml:space="preserve"> da</w:t>
      </w:r>
      <w:r w:rsidR="00E32574">
        <w:rPr>
          <w:rFonts w:ascii="Times New Roman" w:hAnsi="Times New Roman" w:cs="Times New Roman"/>
        </w:rPr>
        <w:t>s</w:t>
      </w:r>
      <w:r w:rsidR="00E32574" w:rsidRPr="00901301">
        <w:rPr>
          <w:rFonts w:ascii="Times New Roman" w:hAnsi="Times New Roman" w:cs="Times New Roman"/>
        </w:rPr>
        <w:t xml:space="preserve"> ETA</w:t>
      </w:r>
      <w:r w:rsidR="00E32574">
        <w:rPr>
          <w:rFonts w:ascii="Times New Roman" w:hAnsi="Times New Roman" w:cs="Times New Roman"/>
        </w:rPr>
        <w:t>’s</w:t>
      </w:r>
      <w:r w:rsidR="00E32574" w:rsidRPr="00901301">
        <w:rPr>
          <w:rFonts w:ascii="Times New Roman" w:hAnsi="Times New Roman" w:cs="Times New Roman"/>
        </w:rPr>
        <w:t>, suporta a</w:t>
      </w:r>
      <w:r w:rsidR="00E32574">
        <w:rPr>
          <w:rFonts w:ascii="Times New Roman" w:hAnsi="Times New Roman" w:cs="Times New Roman"/>
        </w:rPr>
        <w:t xml:space="preserve"> </w:t>
      </w:r>
      <w:r w:rsidR="00E32574" w:rsidRPr="00901301">
        <w:rPr>
          <w:rFonts w:ascii="Times New Roman" w:hAnsi="Times New Roman" w:cs="Times New Roman"/>
        </w:rPr>
        <w:t xml:space="preserve">capacidade de vazão dos consumidores, calculado em </w:t>
      </w:r>
      <w:r w:rsidR="002C2531" w:rsidRPr="000F33C7">
        <w:rPr>
          <w:rFonts w:ascii="Times New Roman" w:hAnsi="Times New Roman" w:cs="Times New Roman"/>
        </w:rPr>
        <w:t>64</w:t>
      </w:r>
      <w:r w:rsidR="00E32574" w:rsidRPr="000F33C7">
        <w:rPr>
          <w:rFonts w:ascii="Times New Roman" w:hAnsi="Times New Roman" w:cs="Times New Roman"/>
        </w:rPr>
        <w:t>,</w:t>
      </w:r>
      <w:r>
        <w:rPr>
          <w:rFonts w:ascii="Times New Roman" w:hAnsi="Times New Roman" w:cs="Times New Roman"/>
        </w:rPr>
        <w:t>8</w:t>
      </w:r>
      <w:r w:rsidR="003F090E">
        <w:rPr>
          <w:rFonts w:ascii="Times New Roman" w:hAnsi="Times New Roman" w:cs="Times New Roman"/>
        </w:rPr>
        <w:t>5</w:t>
      </w:r>
      <w:r w:rsidR="00E32574" w:rsidRPr="000F33C7">
        <w:rPr>
          <w:rFonts w:ascii="Times New Roman" w:hAnsi="Times New Roman" w:cs="Times New Roman"/>
        </w:rPr>
        <w:t xml:space="preserve"> </w:t>
      </w:r>
      <w:r w:rsidRPr="000F33C7">
        <w:rPr>
          <w:rFonts w:ascii="Times New Roman" w:hAnsi="Times New Roman" w:cs="Times New Roman"/>
        </w:rPr>
        <w:t>Ls</w:t>
      </w:r>
      <w:r w:rsidRPr="001C333D">
        <w:rPr>
          <w:rFonts w:ascii="Times New Roman" w:hAnsi="Times New Roman" w:cs="Times New Roman"/>
          <w:vertAlign w:val="superscript"/>
        </w:rPr>
        <w:t>-1</w:t>
      </w:r>
      <w:r w:rsidRPr="00901301">
        <w:rPr>
          <w:rFonts w:ascii="Times New Roman" w:hAnsi="Times New Roman" w:cs="Times New Roman"/>
        </w:rPr>
        <w:t xml:space="preserve"> </w:t>
      </w:r>
      <w:r w:rsidR="00E32574" w:rsidRPr="00901301">
        <w:rPr>
          <w:rFonts w:ascii="Times New Roman" w:hAnsi="Times New Roman" w:cs="Times New Roman"/>
        </w:rPr>
        <w:t>(demanda máxima</w:t>
      </w:r>
      <w:r w:rsidR="00E32574">
        <w:rPr>
          <w:rFonts w:ascii="Times New Roman" w:hAnsi="Times New Roman" w:cs="Times New Roman"/>
        </w:rPr>
        <w:t xml:space="preserve"> </w:t>
      </w:r>
      <w:r w:rsidR="00E32574" w:rsidRPr="00901301">
        <w:rPr>
          <w:rFonts w:ascii="Times New Roman" w:hAnsi="Times New Roman" w:cs="Times New Roman"/>
        </w:rPr>
        <w:t>diária com adição das perdas na distribuição).</w:t>
      </w:r>
    </w:p>
    <w:p w:rsidR="00E32574" w:rsidRPr="00753913" w:rsidRDefault="00E32574" w:rsidP="001C333D">
      <w:pPr>
        <w:pStyle w:val="CM71"/>
        <w:spacing w:line="360" w:lineRule="auto"/>
        <w:ind w:firstLine="709"/>
        <w:jc w:val="both"/>
      </w:pPr>
      <w:r w:rsidRPr="00753913">
        <w:rPr>
          <w:rFonts w:ascii="Times New Roman" w:hAnsi="Times New Roman"/>
        </w:rPr>
        <w:t>N</w:t>
      </w:r>
      <w:r w:rsidR="001C333D">
        <w:rPr>
          <w:rFonts w:ascii="Times New Roman" w:hAnsi="Times New Roman"/>
        </w:rPr>
        <w:t>o Quadro</w:t>
      </w:r>
      <w:r w:rsidRPr="00753913">
        <w:rPr>
          <w:rFonts w:ascii="Times New Roman" w:hAnsi="Times New Roman"/>
        </w:rPr>
        <w:t xml:space="preserve"> </w:t>
      </w:r>
      <w:r w:rsidR="001C333D">
        <w:rPr>
          <w:rFonts w:ascii="Times New Roman" w:hAnsi="Times New Roman"/>
        </w:rPr>
        <w:t>18</w:t>
      </w:r>
      <w:r w:rsidRPr="00753913">
        <w:rPr>
          <w:rFonts w:ascii="Times New Roman" w:hAnsi="Times New Roman"/>
        </w:rPr>
        <w:t xml:space="preserve"> verifica-se o balanço entre consumo e demandas de abastecimento de </w:t>
      </w:r>
      <w:r w:rsidRPr="00753913">
        <w:rPr>
          <w:rFonts w:ascii="Times New Roman" w:hAnsi="Times New Roman"/>
        </w:rPr>
        <w:lastRenderedPageBreak/>
        <w:t xml:space="preserve">água nas áreas de planejamento do município de Aimorés. Nos distritos de Santo Antônio do Rio Doce, São Sebastião da Vala e Tabaúna, os dados indicam que a capacidade de tratamento das </w:t>
      </w:r>
      <w:r w:rsidR="002E481F">
        <w:rPr>
          <w:rFonts w:ascii="Times New Roman" w:hAnsi="Times New Roman"/>
        </w:rPr>
        <w:t>ETA`s</w:t>
      </w:r>
      <w:r w:rsidRPr="00753913">
        <w:rPr>
          <w:rFonts w:ascii="Times New Roman" w:hAnsi="Times New Roman"/>
        </w:rPr>
        <w:t xml:space="preserve"> é inferior à demanda de consumo.</w:t>
      </w:r>
    </w:p>
    <w:p w:rsidR="008846C3" w:rsidRPr="001C2E91" w:rsidRDefault="0075744C" w:rsidP="0075744C">
      <w:pPr>
        <w:pStyle w:val="Legenda"/>
        <w:rPr>
          <w:rFonts w:cs="Times New Roman"/>
        </w:rPr>
      </w:pPr>
      <w:bookmarkStart w:id="217" w:name="_Toc372740524"/>
      <w:r>
        <w:t xml:space="preserve">Quadro </w:t>
      </w:r>
      <w:fldSimple w:instr=" SEQ Quadro \* ARABIC ">
        <w:r w:rsidR="004F77E2">
          <w:rPr>
            <w:noProof/>
          </w:rPr>
          <w:t>18</w:t>
        </w:r>
      </w:fldSimple>
      <w:r>
        <w:t xml:space="preserve"> - </w:t>
      </w:r>
      <w:r w:rsidRPr="00D053C5">
        <w:rPr>
          <w:noProof/>
        </w:rPr>
        <w:t>Balanço entre Consumo e demandas de Abastecimento de água nas áreas de planejamento.</w:t>
      </w:r>
      <w:bookmarkEnd w:id="217"/>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93"/>
        <w:gridCol w:w="2120"/>
        <w:gridCol w:w="1443"/>
        <w:gridCol w:w="1282"/>
      </w:tblGrid>
      <w:tr w:rsidR="00E32574" w:rsidRPr="001C2E91" w:rsidTr="008846C3">
        <w:trPr>
          <w:trHeight w:val="1200"/>
          <w:jc w:val="center"/>
        </w:trPr>
        <w:tc>
          <w:tcPr>
            <w:tcW w:w="3493" w:type="dxa"/>
            <w:shd w:val="clear" w:color="auto" w:fill="D9D9D9"/>
            <w:noWrap/>
            <w:vAlign w:val="center"/>
          </w:tcPr>
          <w:p w:rsidR="00E32574" w:rsidRPr="001C2E91" w:rsidRDefault="00E32574" w:rsidP="002E481F">
            <w:pPr>
              <w:spacing w:before="120" w:after="120" w:line="240" w:lineRule="auto"/>
              <w:jc w:val="center"/>
              <w:rPr>
                <w:rFonts w:cs="Times New Roman"/>
                <w:b/>
                <w:szCs w:val="24"/>
                <w:lang w:eastAsia="pt-BR"/>
              </w:rPr>
            </w:pPr>
            <w:r w:rsidRPr="001C2E91">
              <w:rPr>
                <w:rFonts w:cs="Times New Roman"/>
                <w:b/>
                <w:szCs w:val="24"/>
                <w:lang w:eastAsia="pt-BR"/>
              </w:rPr>
              <w:t>Área de Planejamento</w:t>
            </w:r>
          </w:p>
        </w:tc>
        <w:tc>
          <w:tcPr>
            <w:tcW w:w="2120" w:type="dxa"/>
            <w:shd w:val="clear" w:color="auto" w:fill="D9D9D9"/>
            <w:noWrap/>
            <w:vAlign w:val="center"/>
          </w:tcPr>
          <w:p w:rsidR="00E32574" w:rsidRPr="001C2E91" w:rsidRDefault="00E32574" w:rsidP="002E481F">
            <w:pPr>
              <w:spacing w:before="120" w:after="120" w:line="240" w:lineRule="auto"/>
              <w:jc w:val="center"/>
              <w:rPr>
                <w:rFonts w:cs="Times New Roman"/>
                <w:b/>
                <w:szCs w:val="24"/>
                <w:lang w:eastAsia="pt-BR"/>
              </w:rPr>
            </w:pPr>
            <w:r w:rsidRPr="001C2E91">
              <w:rPr>
                <w:rFonts w:cs="Times New Roman"/>
                <w:b/>
                <w:szCs w:val="24"/>
                <w:lang w:eastAsia="pt-BR"/>
              </w:rPr>
              <w:t>Demanda Máxima Diária (L.s</w:t>
            </w:r>
            <w:r w:rsidRPr="001C2E91">
              <w:rPr>
                <w:rFonts w:cs="Times New Roman"/>
                <w:b/>
                <w:szCs w:val="24"/>
                <w:vertAlign w:val="superscript"/>
                <w:lang w:eastAsia="pt-BR"/>
              </w:rPr>
              <w:t>-1</w:t>
            </w:r>
            <w:r w:rsidRPr="001C2E91">
              <w:rPr>
                <w:rFonts w:cs="Times New Roman"/>
                <w:b/>
                <w:szCs w:val="24"/>
                <w:lang w:eastAsia="pt-BR"/>
              </w:rPr>
              <w:t>)</w:t>
            </w:r>
          </w:p>
        </w:tc>
        <w:tc>
          <w:tcPr>
            <w:tcW w:w="1428" w:type="dxa"/>
            <w:shd w:val="clear" w:color="auto" w:fill="D9D9D9"/>
            <w:vAlign w:val="center"/>
          </w:tcPr>
          <w:p w:rsidR="00E32574" w:rsidRPr="001C2E91" w:rsidRDefault="00E32574" w:rsidP="002E481F">
            <w:pPr>
              <w:spacing w:before="120" w:after="120" w:line="240" w:lineRule="auto"/>
              <w:jc w:val="center"/>
              <w:rPr>
                <w:rFonts w:cs="Times New Roman"/>
                <w:b/>
                <w:szCs w:val="24"/>
                <w:lang w:eastAsia="pt-BR"/>
              </w:rPr>
            </w:pPr>
            <w:r w:rsidRPr="001C2E91">
              <w:rPr>
                <w:rFonts w:cs="Times New Roman"/>
                <w:b/>
                <w:szCs w:val="24"/>
                <w:lang w:eastAsia="pt-BR"/>
              </w:rPr>
              <w:t>Capacidade de Tratamento (L.s</w:t>
            </w:r>
            <w:r w:rsidRPr="001C2E91">
              <w:rPr>
                <w:rFonts w:cs="Times New Roman"/>
                <w:b/>
                <w:szCs w:val="24"/>
                <w:vertAlign w:val="superscript"/>
                <w:lang w:eastAsia="pt-BR"/>
              </w:rPr>
              <w:t>-1</w:t>
            </w:r>
            <w:r w:rsidRPr="001C2E91">
              <w:rPr>
                <w:rFonts w:cs="Times New Roman"/>
                <w:b/>
                <w:szCs w:val="24"/>
                <w:lang w:eastAsia="pt-BR"/>
              </w:rPr>
              <w:t>)</w:t>
            </w:r>
          </w:p>
        </w:tc>
        <w:tc>
          <w:tcPr>
            <w:tcW w:w="1282" w:type="dxa"/>
            <w:shd w:val="clear" w:color="auto" w:fill="D9D9D9"/>
            <w:noWrap/>
            <w:vAlign w:val="center"/>
          </w:tcPr>
          <w:p w:rsidR="00E32574" w:rsidRPr="001C2E91" w:rsidRDefault="00E32574" w:rsidP="002E481F">
            <w:pPr>
              <w:spacing w:before="120" w:after="120" w:line="240" w:lineRule="auto"/>
              <w:jc w:val="center"/>
              <w:rPr>
                <w:rFonts w:cs="Times New Roman"/>
                <w:b/>
                <w:szCs w:val="24"/>
                <w:lang w:eastAsia="pt-BR"/>
              </w:rPr>
            </w:pPr>
            <w:r w:rsidRPr="001C2E91">
              <w:rPr>
                <w:rFonts w:cs="Times New Roman"/>
                <w:b/>
                <w:szCs w:val="24"/>
                <w:lang w:eastAsia="pt-BR"/>
              </w:rPr>
              <w:t>Diferença (L.s</w:t>
            </w:r>
            <w:r w:rsidRPr="001C2E91">
              <w:rPr>
                <w:rFonts w:cs="Times New Roman"/>
                <w:b/>
                <w:szCs w:val="24"/>
                <w:vertAlign w:val="superscript"/>
                <w:lang w:eastAsia="pt-BR"/>
              </w:rPr>
              <w:t>-1</w:t>
            </w:r>
            <w:r w:rsidRPr="001C2E91">
              <w:rPr>
                <w:rFonts w:cs="Times New Roman"/>
                <w:b/>
                <w:szCs w:val="24"/>
                <w:lang w:eastAsia="pt-BR"/>
              </w:rPr>
              <w:t>)</w:t>
            </w:r>
          </w:p>
        </w:tc>
      </w:tr>
      <w:tr w:rsidR="00E32574" w:rsidRPr="002E481F" w:rsidTr="008846C3">
        <w:trPr>
          <w:trHeight w:val="300"/>
          <w:jc w:val="center"/>
        </w:trPr>
        <w:tc>
          <w:tcPr>
            <w:tcW w:w="3493" w:type="dxa"/>
            <w:noWrap/>
          </w:tcPr>
          <w:p w:rsidR="00E32574" w:rsidRPr="002E481F" w:rsidRDefault="00E32574" w:rsidP="002E481F">
            <w:pPr>
              <w:spacing w:before="120" w:after="120" w:line="240" w:lineRule="auto"/>
              <w:rPr>
                <w:rFonts w:cs="Times New Roman"/>
                <w:szCs w:val="24"/>
                <w:lang w:eastAsia="pt-BR"/>
              </w:rPr>
            </w:pPr>
            <w:r w:rsidRPr="002E481F">
              <w:rPr>
                <w:rFonts w:cs="Times New Roman"/>
                <w:szCs w:val="24"/>
                <w:lang w:eastAsia="pt-BR"/>
              </w:rPr>
              <w:t>Aimorés</w:t>
            </w:r>
          </w:p>
        </w:tc>
        <w:tc>
          <w:tcPr>
            <w:tcW w:w="2120" w:type="dxa"/>
            <w:noWrap/>
            <w:vAlign w:val="center"/>
          </w:tcPr>
          <w:p w:rsidR="00E32574" w:rsidRPr="004D6A9A" w:rsidRDefault="003F090E" w:rsidP="00986205">
            <w:pPr>
              <w:spacing w:before="120" w:after="120" w:line="240" w:lineRule="auto"/>
              <w:jc w:val="center"/>
              <w:rPr>
                <w:rFonts w:cs="Times New Roman"/>
                <w:szCs w:val="24"/>
                <w:lang w:eastAsia="pt-BR"/>
              </w:rPr>
            </w:pPr>
            <w:r>
              <w:rPr>
                <w:rFonts w:cs="Times New Roman"/>
                <w:szCs w:val="24"/>
                <w:lang w:eastAsia="pt-BR"/>
              </w:rPr>
              <w:t>38</w:t>
            </w:r>
            <w:r w:rsidR="00E32574" w:rsidRPr="004D6A9A">
              <w:rPr>
                <w:rFonts w:cs="Times New Roman"/>
                <w:szCs w:val="24"/>
                <w:lang w:eastAsia="pt-BR"/>
              </w:rPr>
              <w:t>,</w:t>
            </w:r>
            <w:r>
              <w:rPr>
                <w:rFonts w:cs="Times New Roman"/>
                <w:szCs w:val="24"/>
                <w:lang w:eastAsia="pt-BR"/>
              </w:rPr>
              <w:t>9</w:t>
            </w:r>
            <w:r w:rsidR="00986205">
              <w:rPr>
                <w:rFonts w:cs="Times New Roman"/>
                <w:szCs w:val="24"/>
                <w:lang w:eastAsia="pt-BR"/>
              </w:rPr>
              <w:t>7</w:t>
            </w:r>
          </w:p>
        </w:tc>
        <w:tc>
          <w:tcPr>
            <w:tcW w:w="1428" w:type="dxa"/>
            <w:noWrap/>
          </w:tcPr>
          <w:p w:rsidR="00E32574" w:rsidRPr="004D6A9A" w:rsidRDefault="00E32574" w:rsidP="002E481F">
            <w:pPr>
              <w:spacing w:before="120" w:after="120" w:line="240" w:lineRule="auto"/>
              <w:jc w:val="center"/>
              <w:rPr>
                <w:rFonts w:cs="Times New Roman"/>
                <w:szCs w:val="24"/>
                <w:lang w:eastAsia="pt-BR"/>
              </w:rPr>
            </w:pPr>
            <w:r w:rsidRPr="004D6A9A">
              <w:rPr>
                <w:rFonts w:cs="Times New Roman"/>
                <w:szCs w:val="24"/>
                <w:lang w:eastAsia="pt-BR"/>
              </w:rPr>
              <w:t>53,00</w:t>
            </w:r>
          </w:p>
        </w:tc>
        <w:tc>
          <w:tcPr>
            <w:tcW w:w="1282" w:type="dxa"/>
            <w:noWrap/>
          </w:tcPr>
          <w:p w:rsidR="00E32574" w:rsidRPr="004D6A9A" w:rsidRDefault="00571B53" w:rsidP="00571B53">
            <w:pPr>
              <w:spacing w:before="120" w:after="120" w:line="240" w:lineRule="auto"/>
              <w:jc w:val="center"/>
              <w:rPr>
                <w:rFonts w:cs="Times New Roman"/>
                <w:szCs w:val="24"/>
                <w:lang w:eastAsia="pt-BR"/>
              </w:rPr>
            </w:pPr>
            <w:r>
              <w:rPr>
                <w:rFonts w:cs="Times New Roman"/>
                <w:szCs w:val="24"/>
                <w:lang w:eastAsia="pt-BR"/>
              </w:rPr>
              <w:t>14</w:t>
            </w:r>
            <w:r w:rsidR="00E32574" w:rsidRPr="004D6A9A">
              <w:rPr>
                <w:rFonts w:cs="Times New Roman"/>
                <w:szCs w:val="24"/>
                <w:lang w:eastAsia="pt-BR"/>
              </w:rPr>
              <w:t>,</w:t>
            </w:r>
            <w:r>
              <w:rPr>
                <w:rFonts w:cs="Times New Roman"/>
                <w:szCs w:val="24"/>
                <w:lang w:eastAsia="pt-BR"/>
              </w:rPr>
              <w:t>03</w:t>
            </w:r>
          </w:p>
        </w:tc>
      </w:tr>
      <w:tr w:rsidR="00E32574" w:rsidRPr="002E481F" w:rsidTr="008846C3">
        <w:trPr>
          <w:trHeight w:val="300"/>
          <w:jc w:val="center"/>
        </w:trPr>
        <w:tc>
          <w:tcPr>
            <w:tcW w:w="3493" w:type="dxa"/>
            <w:noWrap/>
          </w:tcPr>
          <w:p w:rsidR="00E32574" w:rsidRPr="002E481F" w:rsidRDefault="00E32574" w:rsidP="002E481F">
            <w:pPr>
              <w:spacing w:before="120" w:after="120" w:line="240" w:lineRule="auto"/>
              <w:rPr>
                <w:rFonts w:cs="Times New Roman"/>
                <w:szCs w:val="24"/>
                <w:lang w:eastAsia="pt-BR"/>
              </w:rPr>
            </w:pPr>
            <w:r w:rsidRPr="002E481F">
              <w:rPr>
                <w:rFonts w:cs="Times New Roman"/>
                <w:szCs w:val="24"/>
                <w:lang w:eastAsia="pt-BR"/>
              </w:rPr>
              <w:t>Alto do Capim</w:t>
            </w:r>
          </w:p>
        </w:tc>
        <w:tc>
          <w:tcPr>
            <w:tcW w:w="2120" w:type="dxa"/>
            <w:noWrap/>
            <w:vAlign w:val="center"/>
          </w:tcPr>
          <w:p w:rsidR="00E32574" w:rsidRPr="004D6A9A" w:rsidRDefault="00E32574" w:rsidP="003F090E">
            <w:pPr>
              <w:spacing w:before="120" w:after="120" w:line="240" w:lineRule="auto"/>
              <w:jc w:val="center"/>
              <w:rPr>
                <w:rFonts w:cs="Times New Roman"/>
                <w:szCs w:val="24"/>
                <w:lang w:eastAsia="pt-BR"/>
              </w:rPr>
            </w:pPr>
            <w:r w:rsidRPr="004D6A9A">
              <w:rPr>
                <w:rFonts w:cs="Times New Roman"/>
                <w:szCs w:val="24"/>
                <w:lang w:eastAsia="pt-BR"/>
              </w:rPr>
              <w:t>3,</w:t>
            </w:r>
            <w:r w:rsidR="003F090E">
              <w:rPr>
                <w:rFonts w:cs="Times New Roman"/>
                <w:szCs w:val="24"/>
                <w:lang w:eastAsia="pt-BR"/>
              </w:rPr>
              <w:t>32</w:t>
            </w:r>
          </w:p>
        </w:tc>
        <w:tc>
          <w:tcPr>
            <w:tcW w:w="1428" w:type="dxa"/>
            <w:noWrap/>
          </w:tcPr>
          <w:p w:rsidR="00E32574" w:rsidRPr="004D6A9A" w:rsidRDefault="00E32574" w:rsidP="002E481F">
            <w:pPr>
              <w:spacing w:before="120" w:after="120" w:line="240" w:lineRule="auto"/>
              <w:jc w:val="center"/>
              <w:rPr>
                <w:rFonts w:cs="Times New Roman"/>
                <w:szCs w:val="24"/>
                <w:lang w:eastAsia="pt-BR"/>
              </w:rPr>
            </w:pPr>
            <w:r w:rsidRPr="004D6A9A">
              <w:rPr>
                <w:rFonts w:cs="Times New Roman"/>
                <w:szCs w:val="24"/>
                <w:lang w:eastAsia="pt-BR"/>
              </w:rPr>
              <w:t>5,00</w:t>
            </w:r>
          </w:p>
        </w:tc>
        <w:tc>
          <w:tcPr>
            <w:tcW w:w="1282" w:type="dxa"/>
            <w:noWrap/>
          </w:tcPr>
          <w:p w:rsidR="00E32574" w:rsidRPr="004D6A9A" w:rsidRDefault="00E32574" w:rsidP="00571B53">
            <w:pPr>
              <w:spacing w:before="120" w:after="120" w:line="240" w:lineRule="auto"/>
              <w:jc w:val="center"/>
              <w:rPr>
                <w:rFonts w:cs="Times New Roman"/>
                <w:szCs w:val="24"/>
                <w:lang w:eastAsia="pt-BR"/>
              </w:rPr>
            </w:pPr>
            <w:r w:rsidRPr="004D6A9A">
              <w:rPr>
                <w:rFonts w:cs="Times New Roman"/>
                <w:szCs w:val="24"/>
                <w:lang w:eastAsia="pt-BR"/>
              </w:rPr>
              <w:t>1,</w:t>
            </w:r>
            <w:r w:rsidR="00571B53">
              <w:rPr>
                <w:rFonts w:cs="Times New Roman"/>
                <w:szCs w:val="24"/>
                <w:lang w:eastAsia="pt-BR"/>
              </w:rPr>
              <w:t>68</w:t>
            </w:r>
          </w:p>
        </w:tc>
      </w:tr>
      <w:tr w:rsidR="00E32574" w:rsidRPr="002E481F" w:rsidTr="008846C3">
        <w:trPr>
          <w:trHeight w:val="300"/>
          <w:jc w:val="center"/>
        </w:trPr>
        <w:tc>
          <w:tcPr>
            <w:tcW w:w="3493" w:type="dxa"/>
            <w:noWrap/>
          </w:tcPr>
          <w:p w:rsidR="00E32574" w:rsidRPr="002E481F" w:rsidRDefault="00E32574" w:rsidP="002E481F">
            <w:pPr>
              <w:spacing w:before="120" w:after="120" w:line="240" w:lineRule="auto"/>
              <w:rPr>
                <w:rFonts w:cs="Times New Roman"/>
                <w:szCs w:val="24"/>
                <w:lang w:eastAsia="pt-BR"/>
              </w:rPr>
            </w:pPr>
            <w:r w:rsidRPr="002E481F">
              <w:rPr>
                <w:rFonts w:cs="Times New Roman"/>
                <w:szCs w:val="24"/>
                <w:lang w:eastAsia="pt-BR"/>
              </w:rPr>
              <w:t>Conceição do Capim</w:t>
            </w:r>
          </w:p>
        </w:tc>
        <w:tc>
          <w:tcPr>
            <w:tcW w:w="2120" w:type="dxa"/>
            <w:noWrap/>
            <w:vAlign w:val="center"/>
          </w:tcPr>
          <w:p w:rsidR="00E32574" w:rsidRPr="004D6A9A" w:rsidRDefault="00E32574" w:rsidP="003F090E">
            <w:pPr>
              <w:spacing w:before="120" w:after="120" w:line="240" w:lineRule="auto"/>
              <w:jc w:val="center"/>
              <w:rPr>
                <w:rFonts w:cs="Times New Roman"/>
                <w:szCs w:val="24"/>
                <w:lang w:eastAsia="pt-BR"/>
              </w:rPr>
            </w:pPr>
            <w:r w:rsidRPr="004D6A9A">
              <w:rPr>
                <w:rFonts w:cs="Times New Roman"/>
                <w:szCs w:val="24"/>
                <w:lang w:eastAsia="pt-BR"/>
              </w:rPr>
              <w:t>3,</w:t>
            </w:r>
            <w:r w:rsidR="003F090E">
              <w:rPr>
                <w:rFonts w:cs="Times New Roman"/>
                <w:szCs w:val="24"/>
                <w:lang w:eastAsia="pt-BR"/>
              </w:rPr>
              <w:t>27</w:t>
            </w:r>
          </w:p>
        </w:tc>
        <w:tc>
          <w:tcPr>
            <w:tcW w:w="1428" w:type="dxa"/>
            <w:noWrap/>
          </w:tcPr>
          <w:p w:rsidR="00E32574" w:rsidRPr="004D6A9A" w:rsidRDefault="00E32574" w:rsidP="002E481F">
            <w:pPr>
              <w:spacing w:before="120" w:after="120" w:line="240" w:lineRule="auto"/>
              <w:jc w:val="center"/>
              <w:rPr>
                <w:rFonts w:cs="Times New Roman"/>
                <w:szCs w:val="24"/>
                <w:lang w:eastAsia="pt-BR"/>
              </w:rPr>
            </w:pPr>
            <w:r w:rsidRPr="004D6A9A">
              <w:rPr>
                <w:rFonts w:cs="Times New Roman"/>
                <w:szCs w:val="24"/>
                <w:lang w:eastAsia="pt-BR"/>
              </w:rPr>
              <w:t>5,00</w:t>
            </w:r>
          </w:p>
        </w:tc>
        <w:tc>
          <w:tcPr>
            <w:tcW w:w="1282" w:type="dxa"/>
            <w:noWrap/>
          </w:tcPr>
          <w:p w:rsidR="00E32574" w:rsidRPr="004D6A9A" w:rsidRDefault="00E32574" w:rsidP="00571B53">
            <w:pPr>
              <w:spacing w:before="120" w:after="120" w:line="240" w:lineRule="auto"/>
              <w:jc w:val="center"/>
              <w:rPr>
                <w:rFonts w:cs="Times New Roman"/>
                <w:szCs w:val="24"/>
                <w:lang w:eastAsia="pt-BR"/>
              </w:rPr>
            </w:pPr>
            <w:r w:rsidRPr="004D6A9A">
              <w:rPr>
                <w:rFonts w:cs="Times New Roman"/>
                <w:szCs w:val="24"/>
                <w:lang w:eastAsia="pt-BR"/>
              </w:rPr>
              <w:t>1,</w:t>
            </w:r>
            <w:r w:rsidR="00571B53">
              <w:rPr>
                <w:rFonts w:cs="Times New Roman"/>
                <w:szCs w:val="24"/>
                <w:lang w:eastAsia="pt-BR"/>
              </w:rPr>
              <w:t>7</w:t>
            </w:r>
            <w:r w:rsidRPr="004D6A9A">
              <w:rPr>
                <w:rFonts w:cs="Times New Roman"/>
                <w:szCs w:val="24"/>
                <w:lang w:eastAsia="pt-BR"/>
              </w:rPr>
              <w:t>3</w:t>
            </w:r>
          </w:p>
        </w:tc>
      </w:tr>
      <w:tr w:rsidR="00E32574" w:rsidRPr="002E481F" w:rsidTr="008846C3">
        <w:trPr>
          <w:trHeight w:val="300"/>
          <w:jc w:val="center"/>
        </w:trPr>
        <w:tc>
          <w:tcPr>
            <w:tcW w:w="3493" w:type="dxa"/>
            <w:noWrap/>
          </w:tcPr>
          <w:p w:rsidR="00E32574" w:rsidRPr="002E481F" w:rsidRDefault="00E32574" w:rsidP="002E481F">
            <w:pPr>
              <w:spacing w:before="120" w:after="120" w:line="240" w:lineRule="auto"/>
              <w:rPr>
                <w:rFonts w:cs="Times New Roman"/>
                <w:szCs w:val="24"/>
                <w:lang w:eastAsia="pt-BR"/>
              </w:rPr>
            </w:pPr>
            <w:r w:rsidRPr="002E481F">
              <w:rPr>
                <w:rFonts w:cs="Times New Roman"/>
                <w:szCs w:val="24"/>
                <w:lang w:eastAsia="pt-BR"/>
              </w:rPr>
              <w:t>Expedicionário Alicio</w:t>
            </w:r>
          </w:p>
        </w:tc>
        <w:tc>
          <w:tcPr>
            <w:tcW w:w="2120" w:type="dxa"/>
            <w:noWrap/>
            <w:vAlign w:val="center"/>
          </w:tcPr>
          <w:p w:rsidR="00E32574" w:rsidRPr="004D6A9A" w:rsidRDefault="00E32574" w:rsidP="003F090E">
            <w:pPr>
              <w:spacing w:before="120" w:after="120" w:line="240" w:lineRule="auto"/>
              <w:jc w:val="center"/>
              <w:rPr>
                <w:rFonts w:cs="Times New Roman"/>
                <w:szCs w:val="24"/>
                <w:lang w:eastAsia="pt-BR"/>
              </w:rPr>
            </w:pPr>
            <w:r w:rsidRPr="004D6A9A">
              <w:rPr>
                <w:rFonts w:cs="Times New Roman"/>
                <w:szCs w:val="24"/>
                <w:lang w:eastAsia="pt-BR"/>
              </w:rPr>
              <w:t>2,</w:t>
            </w:r>
            <w:r w:rsidR="003F090E">
              <w:rPr>
                <w:rFonts w:cs="Times New Roman"/>
                <w:szCs w:val="24"/>
                <w:lang w:eastAsia="pt-BR"/>
              </w:rPr>
              <w:t>17</w:t>
            </w:r>
          </w:p>
        </w:tc>
        <w:tc>
          <w:tcPr>
            <w:tcW w:w="1428" w:type="dxa"/>
            <w:noWrap/>
          </w:tcPr>
          <w:p w:rsidR="00E32574" w:rsidRPr="004D6A9A" w:rsidRDefault="00E32574" w:rsidP="002E481F">
            <w:pPr>
              <w:spacing w:before="120" w:after="120" w:line="240" w:lineRule="auto"/>
              <w:jc w:val="center"/>
              <w:rPr>
                <w:rFonts w:cs="Times New Roman"/>
                <w:szCs w:val="24"/>
                <w:lang w:eastAsia="pt-BR"/>
              </w:rPr>
            </w:pPr>
            <w:r w:rsidRPr="004D6A9A">
              <w:rPr>
                <w:rFonts w:cs="Times New Roman"/>
                <w:szCs w:val="24"/>
                <w:lang w:eastAsia="pt-BR"/>
              </w:rPr>
              <w:t>5,00</w:t>
            </w:r>
          </w:p>
        </w:tc>
        <w:tc>
          <w:tcPr>
            <w:tcW w:w="1282" w:type="dxa"/>
            <w:noWrap/>
          </w:tcPr>
          <w:p w:rsidR="00E32574" w:rsidRPr="004D6A9A" w:rsidRDefault="00E32574" w:rsidP="00571B53">
            <w:pPr>
              <w:spacing w:before="120" w:after="120" w:line="240" w:lineRule="auto"/>
              <w:jc w:val="center"/>
              <w:rPr>
                <w:rFonts w:cs="Times New Roman"/>
                <w:szCs w:val="24"/>
                <w:lang w:eastAsia="pt-BR"/>
              </w:rPr>
            </w:pPr>
            <w:r w:rsidRPr="004D6A9A">
              <w:rPr>
                <w:rFonts w:cs="Times New Roman"/>
                <w:szCs w:val="24"/>
                <w:lang w:eastAsia="pt-BR"/>
              </w:rPr>
              <w:t>2,</w:t>
            </w:r>
            <w:r w:rsidR="00571B53">
              <w:rPr>
                <w:rFonts w:cs="Times New Roman"/>
                <w:szCs w:val="24"/>
                <w:lang w:eastAsia="pt-BR"/>
              </w:rPr>
              <w:t>83</w:t>
            </w:r>
          </w:p>
        </w:tc>
      </w:tr>
      <w:tr w:rsidR="00E32574" w:rsidRPr="002E481F" w:rsidTr="008846C3">
        <w:trPr>
          <w:trHeight w:val="300"/>
          <w:jc w:val="center"/>
        </w:trPr>
        <w:tc>
          <w:tcPr>
            <w:tcW w:w="3493" w:type="dxa"/>
            <w:noWrap/>
          </w:tcPr>
          <w:p w:rsidR="00E32574" w:rsidRPr="002E481F" w:rsidRDefault="00E32574" w:rsidP="002E481F">
            <w:pPr>
              <w:spacing w:before="120" w:after="120" w:line="240" w:lineRule="auto"/>
              <w:rPr>
                <w:rFonts w:cs="Times New Roman"/>
                <w:szCs w:val="24"/>
                <w:lang w:eastAsia="pt-BR"/>
              </w:rPr>
            </w:pPr>
            <w:r w:rsidRPr="002E481F">
              <w:rPr>
                <w:rFonts w:cs="Times New Roman"/>
                <w:szCs w:val="24"/>
                <w:lang w:eastAsia="pt-BR"/>
              </w:rPr>
              <w:t>Mundo Novo de Minas</w:t>
            </w:r>
          </w:p>
        </w:tc>
        <w:tc>
          <w:tcPr>
            <w:tcW w:w="2120" w:type="dxa"/>
            <w:noWrap/>
            <w:vAlign w:val="center"/>
          </w:tcPr>
          <w:p w:rsidR="00E32574" w:rsidRPr="004D6A9A" w:rsidRDefault="00E32574" w:rsidP="003F090E">
            <w:pPr>
              <w:spacing w:before="120" w:after="120" w:line="240" w:lineRule="auto"/>
              <w:jc w:val="center"/>
              <w:rPr>
                <w:rFonts w:cs="Times New Roman"/>
                <w:szCs w:val="24"/>
                <w:lang w:eastAsia="pt-BR"/>
              </w:rPr>
            </w:pPr>
            <w:r w:rsidRPr="004D6A9A">
              <w:rPr>
                <w:rFonts w:cs="Times New Roman"/>
                <w:szCs w:val="24"/>
                <w:lang w:eastAsia="pt-BR"/>
              </w:rPr>
              <w:t>2,</w:t>
            </w:r>
            <w:r w:rsidR="003F090E">
              <w:rPr>
                <w:rFonts w:cs="Times New Roman"/>
                <w:szCs w:val="24"/>
                <w:lang w:eastAsia="pt-BR"/>
              </w:rPr>
              <w:t>26</w:t>
            </w:r>
          </w:p>
        </w:tc>
        <w:tc>
          <w:tcPr>
            <w:tcW w:w="1428" w:type="dxa"/>
            <w:noWrap/>
          </w:tcPr>
          <w:p w:rsidR="00E32574" w:rsidRPr="004D6A9A" w:rsidRDefault="00E32574" w:rsidP="002E481F">
            <w:pPr>
              <w:spacing w:before="120" w:after="120" w:line="240" w:lineRule="auto"/>
              <w:jc w:val="center"/>
              <w:rPr>
                <w:rFonts w:cs="Times New Roman"/>
                <w:szCs w:val="24"/>
                <w:lang w:eastAsia="pt-BR"/>
              </w:rPr>
            </w:pPr>
            <w:r w:rsidRPr="004D6A9A">
              <w:rPr>
                <w:rFonts w:cs="Times New Roman"/>
                <w:szCs w:val="24"/>
                <w:lang w:eastAsia="pt-BR"/>
              </w:rPr>
              <w:t>6,23</w:t>
            </w:r>
          </w:p>
        </w:tc>
        <w:tc>
          <w:tcPr>
            <w:tcW w:w="1282" w:type="dxa"/>
            <w:noWrap/>
          </w:tcPr>
          <w:p w:rsidR="00E32574" w:rsidRPr="004D6A9A" w:rsidRDefault="00E32574" w:rsidP="00571B53">
            <w:pPr>
              <w:spacing w:before="120" w:after="120" w:line="240" w:lineRule="auto"/>
              <w:jc w:val="center"/>
              <w:rPr>
                <w:rFonts w:cs="Times New Roman"/>
                <w:szCs w:val="24"/>
                <w:lang w:eastAsia="pt-BR"/>
              </w:rPr>
            </w:pPr>
            <w:r w:rsidRPr="004D6A9A">
              <w:rPr>
                <w:rFonts w:cs="Times New Roman"/>
                <w:szCs w:val="24"/>
                <w:lang w:eastAsia="pt-BR"/>
              </w:rPr>
              <w:t>3,</w:t>
            </w:r>
            <w:r w:rsidR="00571B53">
              <w:rPr>
                <w:rFonts w:cs="Times New Roman"/>
                <w:szCs w:val="24"/>
                <w:lang w:eastAsia="pt-BR"/>
              </w:rPr>
              <w:t>97</w:t>
            </w:r>
          </w:p>
        </w:tc>
      </w:tr>
      <w:tr w:rsidR="00E32574" w:rsidRPr="002E481F" w:rsidTr="008846C3">
        <w:trPr>
          <w:trHeight w:val="300"/>
          <w:jc w:val="center"/>
        </w:trPr>
        <w:tc>
          <w:tcPr>
            <w:tcW w:w="3493" w:type="dxa"/>
            <w:noWrap/>
          </w:tcPr>
          <w:p w:rsidR="00E32574" w:rsidRPr="002E481F" w:rsidRDefault="00E32574" w:rsidP="002E481F">
            <w:pPr>
              <w:spacing w:before="120" w:after="120" w:line="240" w:lineRule="auto"/>
              <w:rPr>
                <w:rFonts w:cs="Times New Roman"/>
                <w:szCs w:val="24"/>
                <w:lang w:eastAsia="pt-BR"/>
              </w:rPr>
            </w:pPr>
            <w:r w:rsidRPr="002E481F">
              <w:rPr>
                <w:rFonts w:cs="Times New Roman"/>
                <w:szCs w:val="24"/>
                <w:lang w:eastAsia="pt-BR"/>
              </w:rPr>
              <w:t>Penha do Capim</w:t>
            </w:r>
          </w:p>
        </w:tc>
        <w:tc>
          <w:tcPr>
            <w:tcW w:w="2120" w:type="dxa"/>
            <w:noWrap/>
            <w:vAlign w:val="center"/>
          </w:tcPr>
          <w:p w:rsidR="00E32574" w:rsidRPr="004D6A9A" w:rsidRDefault="00E32574" w:rsidP="003F090E">
            <w:pPr>
              <w:spacing w:before="120" w:after="120" w:line="240" w:lineRule="auto"/>
              <w:jc w:val="center"/>
              <w:rPr>
                <w:rFonts w:cs="Times New Roman"/>
                <w:szCs w:val="24"/>
                <w:lang w:eastAsia="pt-BR"/>
              </w:rPr>
            </w:pPr>
            <w:r w:rsidRPr="004D6A9A">
              <w:rPr>
                <w:rFonts w:cs="Times New Roman"/>
                <w:szCs w:val="24"/>
                <w:lang w:eastAsia="pt-BR"/>
              </w:rPr>
              <w:t>3,</w:t>
            </w:r>
            <w:r w:rsidR="003F090E">
              <w:rPr>
                <w:rFonts w:cs="Times New Roman"/>
                <w:szCs w:val="24"/>
                <w:lang w:eastAsia="pt-BR"/>
              </w:rPr>
              <w:t>00</w:t>
            </w:r>
          </w:p>
        </w:tc>
        <w:tc>
          <w:tcPr>
            <w:tcW w:w="1428" w:type="dxa"/>
            <w:noWrap/>
          </w:tcPr>
          <w:p w:rsidR="00E32574" w:rsidRPr="004D6A9A" w:rsidRDefault="00E32574" w:rsidP="002E481F">
            <w:pPr>
              <w:spacing w:before="120" w:after="120" w:line="240" w:lineRule="auto"/>
              <w:jc w:val="center"/>
              <w:rPr>
                <w:rFonts w:cs="Times New Roman"/>
                <w:szCs w:val="24"/>
                <w:lang w:eastAsia="pt-BR"/>
              </w:rPr>
            </w:pPr>
            <w:r w:rsidRPr="004D6A9A">
              <w:rPr>
                <w:rFonts w:cs="Times New Roman"/>
                <w:szCs w:val="24"/>
                <w:lang w:eastAsia="pt-BR"/>
              </w:rPr>
              <w:t>3,55</w:t>
            </w:r>
          </w:p>
        </w:tc>
        <w:tc>
          <w:tcPr>
            <w:tcW w:w="1282" w:type="dxa"/>
            <w:noWrap/>
          </w:tcPr>
          <w:p w:rsidR="00E32574" w:rsidRPr="004D6A9A" w:rsidRDefault="00E32574" w:rsidP="00571B53">
            <w:pPr>
              <w:spacing w:before="120" w:after="120" w:line="240" w:lineRule="auto"/>
              <w:jc w:val="center"/>
              <w:rPr>
                <w:rFonts w:cs="Times New Roman"/>
                <w:szCs w:val="24"/>
                <w:lang w:eastAsia="pt-BR"/>
              </w:rPr>
            </w:pPr>
            <w:r w:rsidRPr="004D6A9A">
              <w:rPr>
                <w:rFonts w:cs="Times New Roman"/>
                <w:szCs w:val="24"/>
                <w:lang w:eastAsia="pt-BR"/>
              </w:rPr>
              <w:t>0,</w:t>
            </w:r>
            <w:r w:rsidR="00571B53">
              <w:rPr>
                <w:rFonts w:cs="Times New Roman"/>
                <w:szCs w:val="24"/>
                <w:lang w:eastAsia="pt-BR"/>
              </w:rPr>
              <w:t>55</w:t>
            </w:r>
          </w:p>
        </w:tc>
      </w:tr>
      <w:tr w:rsidR="00E32574" w:rsidRPr="002E481F" w:rsidTr="008846C3">
        <w:trPr>
          <w:trHeight w:val="300"/>
          <w:jc w:val="center"/>
        </w:trPr>
        <w:tc>
          <w:tcPr>
            <w:tcW w:w="3493" w:type="dxa"/>
            <w:noWrap/>
          </w:tcPr>
          <w:p w:rsidR="00E32574" w:rsidRPr="002E481F" w:rsidRDefault="00E32574" w:rsidP="002E481F">
            <w:pPr>
              <w:spacing w:before="120" w:after="120" w:line="240" w:lineRule="auto"/>
              <w:rPr>
                <w:rFonts w:cs="Times New Roman"/>
                <w:szCs w:val="24"/>
                <w:lang w:eastAsia="pt-BR"/>
              </w:rPr>
            </w:pPr>
            <w:r w:rsidRPr="002E481F">
              <w:rPr>
                <w:rFonts w:cs="Times New Roman"/>
                <w:szCs w:val="24"/>
                <w:lang w:eastAsia="pt-BR"/>
              </w:rPr>
              <w:t>Santo Antônio do Rio Doce</w:t>
            </w:r>
          </w:p>
        </w:tc>
        <w:tc>
          <w:tcPr>
            <w:tcW w:w="2120" w:type="dxa"/>
            <w:noWrap/>
            <w:vAlign w:val="center"/>
          </w:tcPr>
          <w:p w:rsidR="00E32574" w:rsidRPr="004D6A9A" w:rsidRDefault="003F090E" w:rsidP="003F090E">
            <w:pPr>
              <w:spacing w:before="120" w:after="120" w:line="240" w:lineRule="auto"/>
              <w:jc w:val="center"/>
              <w:rPr>
                <w:rFonts w:cs="Times New Roman"/>
                <w:szCs w:val="24"/>
                <w:lang w:eastAsia="pt-BR"/>
              </w:rPr>
            </w:pPr>
            <w:r>
              <w:rPr>
                <w:rFonts w:cs="Times New Roman"/>
                <w:szCs w:val="24"/>
                <w:lang w:eastAsia="pt-BR"/>
              </w:rPr>
              <w:t>3</w:t>
            </w:r>
            <w:r w:rsidR="00E32574" w:rsidRPr="004D6A9A">
              <w:rPr>
                <w:rFonts w:cs="Times New Roman"/>
                <w:szCs w:val="24"/>
                <w:lang w:eastAsia="pt-BR"/>
              </w:rPr>
              <w:t>,</w:t>
            </w:r>
            <w:r>
              <w:rPr>
                <w:rFonts w:cs="Times New Roman"/>
                <w:szCs w:val="24"/>
                <w:lang w:eastAsia="pt-BR"/>
              </w:rPr>
              <w:t>93</w:t>
            </w:r>
          </w:p>
        </w:tc>
        <w:tc>
          <w:tcPr>
            <w:tcW w:w="1428" w:type="dxa"/>
            <w:noWrap/>
          </w:tcPr>
          <w:p w:rsidR="00E32574" w:rsidRPr="004D6A9A" w:rsidRDefault="00E32574" w:rsidP="002E481F">
            <w:pPr>
              <w:spacing w:before="120" w:after="120" w:line="240" w:lineRule="auto"/>
              <w:jc w:val="center"/>
              <w:rPr>
                <w:rFonts w:cs="Times New Roman"/>
                <w:szCs w:val="24"/>
                <w:lang w:eastAsia="pt-BR"/>
              </w:rPr>
            </w:pPr>
            <w:r w:rsidRPr="004D6A9A">
              <w:rPr>
                <w:rFonts w:cs="Times New Roman"/>
                <w:szCs w:val="24"/>
                <w:lang w:eastAsia="pt-BR"/>
              </w:rPr>
              <w:t>3,05</w:t>
            </w:r>
          </w:p>
        </w:tc>
        <w:tc>
          <w:tcPr>
            <w:tcW w:w="1282" w:type="dxa"/>
            <w:noWrap/>
          </w:tcPr>
          <w:p w:rsidR="00E32574" w:rsidRPr="004D6A9A" w:rsidRDefault="00E32574" w:rsidP="00571B53">
            <w:pPr>
              <w:spacing w:before="120" w:after="120" w:line="240" w:lineRule="auto"/>
              <w:jc w:val="center"/>
              <w:rPr>
                <w:rFonts w:cs="Times New Roman"/>
                <w:szCs w:val="24"/>
                <w:lang w:eastAsia="pt-BR"/>
              </w:rPr>
            </w:pPr>
            <w:r w:rsidRPr="004D6A9A">
              <w:rPr>
                <w:rFonts w:cs="Times New Roman"/>
                <w:szCs w:val="24"/>
                <w:lang w:eastAsia="pt-BR"/>
              </w:rPr>
              <w:t>-</w:t>
            </w:r>
            <w:r w:rsidR="00571B53">
              <w:rPr>
                <w:rFonts w:cs="Times New Roman"/>
                <w:szCs w:val="24"/>
                <w:lang w:eastAsia="pt-BR"/>
              </w:rPr>
              <w:t>0,88</w:t>
            </w:r>
          </w:p>
        </w:tc>
      </w:tr>
      <w:tr w:rsidR="00E32574" w:rsidRPr="002E481F" w:rsidTr="008846C3">
        <w:trPr>
          <w:trHeight w:val="300"/>
          <w:jc w:val="center"/>
        </w:trPr>
        <w:tc>
          <w:tcPr>
            <w:tcW w:w="3493" w:type="dxa"/>
            <w:noWrap/>
          </w:tcPr>
          <w:p w:rsidR="00E32574" w:rsidRPr="002E481F" w:rsidRDefault="00E32574" w:rsidP="002E481F">
            <w:pPr>
              <w:spacing w:before="120" w:after="120" w:line="240" w:lineRule="auto"/>
              <w:rPr>
                <w:rFonts w:cs="Times New Roman"/>
                <w:szCs w:val="24"/>
                <w:lang w:eastAsia="pt-BR"/>
              </w:rPr>
            </w:pPr>
            <w:r w:rsidRPr="002E481F">
              <w:rPr>
                <w:rFonts w:cs="Times New Roman"/>
                <w:szCs w:val="24"/>
                <w:lang w:eastAsia="pt-BR"/>
              </w:rPr>
              <w:t>São Sebastião da Vala</w:t>
            </w:r>
          </w:p>
        </w:tc>
        <w:tc>
          <w:tcPr>
            <w:tcW w:w="2120" w:type="dxa"/>
            <w:noWrap/>
            <w:vAlign w:val="center"/>
          </w:tcPr>
          <w:p w:rsidR="00E32574" w:rsidRPr="004D6A9A" w:rsidRDefault="00E32574" w:rsidP="003F090E">
            <w:pPr>
              <w:spacing w:before="120" w:after="120" w:line="240" w:lineRule="auto"/>
              <w:jc w:val="center"/>
              <w:rPr>
                <w:rFonts w:cs="Times New Roman"/>
                <w:szCs w:val="24"/>
                <w:lang w:eastAsia="pt-BR"/>
              </w:rPr>
            </w:pPr>
            <w:r w:rsidRPr="004D6A9A">
              <w:rPr>
                <w:rFonts w:cs="Times New Roman"/>
                <w:szCs w:val="24"/>
                <w:lang w:eastAsia="pt-BR"/>
              </w:rPr>
              <w:t>4,</w:t>
            </w:r>
            <w:r w:rsidR="003F090E">
              <w:rPr>
                <w:rFonts w:cs="Times New Roman"/>
                <w:szCs w:val="24"/>
                <w:lang w:eastAsia="pt-BR"/>
              </w:rPr>
              <w:t>20</w:t>
            </w:r>
          </w:p>
        </w:tc>
        <w:tc>
          <w:tcPr>
            <w:tcW w:w="1428" w:type="dxa"/>
            <w:noWrap/>
          </w:tcPr>
          <w:p w:rsidR="00E32574" w:rsidRPr="004D6A9A" w:rsidRDefault="00E32574" w:rsidP="002E481F">
            <w:pPr>
              <w:spacing w:before="120" w:after="120" w:line="240" w:lineRule="auto"/>
              <w:jc w:val="center"/>
              <w:rPr>
                <w:rFonts w:cs="Times New Roman"/>
                <w:szCs w:val="24"/>
                <w:lang w:eastAsia="pt-BR"/>
              </w:rPr>
            </w:pPr>
            <w:r w:rsidRPr="004D6A9A">
              <w:rPr>
                <w:rFonts w:cs="Times New Roman"/>
                <w:szCs w:val="24"/>
                <w:lang w:eastAsia="pt-BR"/>
              </w:rPr>
              <w:t>2,00</w:t>
            </w:r>
          </w:p>
        </w:tc>
        <w:tc>
          <w:tcPr>
            <w:tcW w:w="1282" w:type="dxa"/>
            <w:noWrap/>
          </w:tcPr>
          <w:p w:rsidR="00E32574" w:rsidRPr="004D6A9A" w:rsidRDefault="00E32574" w:rsidP="00571B53">
            <w:pPr>
              <w:spacing w:before="120" w:after="120" w:line="240" w:lineRule="auto"/>
              <w:jc w:val="center"/>
              <w:rPr>
                <w:rFonts w:cs="Times New Roman"/>
                <w:szCs w:val="24"/>
                <w:lang w:eastAsia="pt-BR"/>
              </w:rPr>
            </w:pPr>
            <w:r w:rsidRPr="004D6A9A">
              <w:rPr>
                <w:rFonts w:cs="Times New Roman"/>
                <w:szCs w:val="24"/>
                <w:lang w:eastAsia="pt-BR"/>
              </w:rPr>
              <w:t>-</w:t>
            </w:r>
            <w:r w:rsidR="00571B53">
              <w:rPr>
                <w:rFonts w:cs="Times New Roman"/>
                <w:szCs w:val="24"/>
                <w:lang w:eastAsia="pt-BR"/>
              </w:rPr>
              <w:t>2</w:t>
            </w:r>
            <w:r w:rsidRPr="004D6A9A">
              <w:rPr>
                <w:rFonts w:cs="Times New Roman"/>
                <w:szCs w:val="24"/>
                <w:lang w:eastAsia="pt-BR"/>
              </w:rPr>
              <w:t>,</w:t>
            </w:r>
            <w:r w:rsidR="00571B53">
              <w:rPr>
                <w:rFonts w:cs="Times New Roman"/>
                <w:szCs w:val="24"/>
                <w:lang w:eastAsia="pt-BR"/>
              </w:rPr>
              <w:t>20</w:t>
            </w:r>
          </w:p>
        </w:tc>
      </w:tr>
      <w:tr w:rsidR="00E32574" w:rsidRPr="002E481F" w:rsidTr="008846C3">
        <w:trPr>
          <w:trHeight w:val="300"/>
          <w:jc w:val="center"/>
        </w:trPr>
        <w:tc>
          <w:tcPr>
            <w:tcW w:w="3493" w:type="dxa"/>
            <w:noWrap/>
          </w:tcPr>
          <w:p w:rsidR="00E32574" w:rsidRPr="002E481F" w:rsidRDefault="00E32574" w:rsidP="002E481F">
            <w:pPr>
              <w:spacing w:before="120" w:after="120" w:line="240" w:lineRule="auto"/>
              <w:rPr>
                <w:rFonts w:cs="Times New Roman"/>
                <w:szCs w:val="24"/>
                <w:lang w:eastAsia="pt-BR"/>
              </w:rPr>
            </w:pPr>
            <w:r w:rsidRPr="002E481F">
              <w:rPr>
                <w:rFonts w:cs="Times New Roman"/>
                <w:szCs w:val="24"/>
                <w:lang w:eastAsia="pt-BR"/>
              </w:rPr>
              <w:t>Tabaúna</w:t>
            </w:r>
          </w:p>
        </w:tc>
        <w:tc>
          <w:tcPr>
            <w:tcW w:w="2120" w:type="dxa"/>
            <w:noWrap/>
            <w:vAlign w:val="center"/>
          </w:tcPr>
          <w:p w:rsidR="00E32574" w:rsidRPr="004D6A9A" w:rsidRDefault="003F090E" w:rsidP="003F090E">
            <w:pPr>
              <w:spacing w:before="120" w:after="120" w:line="240" w:lineRule="auto"/>
              <w:jc w:val="center"/>
              <w:rPr>
                <w:rFonts w:cs="Times New Roman"/>
                <w:szCs w:val="24"/>
                <w:lang w:eastAsia="pt-BR"/>
              </w:rPr>
            </w:pPr>
            <w:r>
              <w:rPr>
                <w:rFonts w:cs="Times New Roman"/>
                <w:szCs w:val="24"/>
                <w:lang w:eastAsia="pt-BR"/>
              </w:rPr>
              <w:t>3</w:t>
            </w:r>
            <w:r w:rsidR="00E32574" w:rsidRPr="004D6A9A">
              <w:rPr>
                <w:rFonts w:cs="Times New Roman"/>
                <w:szCs w:val="24"/>
                <w:lang w:eastAsia="pt-BR"/>
              </w:rPr>
              <w:t>,</w:t>
            </w:r>
            <w:r>
              <w:rPr>
                <w:rFonts w:cs="Times New Roman"/>
                <w:szCs w:val="24"/>
                <w:lang w:eastAsia="pt-BR"/>
              </w:rPr>
              <w:t>73</w:t>
            </w:r>
          </w:p>
        </w:tc>
        <w:tc>
          <w:tcPr>
            <w:tcW w:w="1428" w:type="dxa"/>
            <w:noWrap/>
          </w:tcPr>
          <w:p w:rsidR="00E32574" w:rsidRPr="004D6A9A" w:rsidRDefault="00E32574" w:rsidP="002E481F">
            <w:pPr>
              <w:spacing w:before="120" w:after="120" w:line="240" w:lineRule="auto"/>
              <w:jc w:val="center"/>
              <w:rPr>
                <w:rFonts w:cs="Times New Roman"/>
                <w:szCs w:val="24"/>
                <w:lang w:eastAsia="pt-BR"/>
              </w:rPr>
            </w:pPr>
            <w:r w:rsidRPr="004D6A9A">
              <w:rPr>
                <w:rFonts w:cs="Times New Roman"/>
                <w:szCs w:val="24"/>
                <w:lang w:eastAsia="pt-BR"/>
              </w:rPr>
              <w:t>2,30</w:t>
            </w:r>
          </w:p>
        </w:tc>
        <w:tc>
          <w:tcPr>
            <w:tcW w:w="1282" w:type="dxa"/>
            <w:noWrap/>
          </w:tcPr>
          <w:p w:rsidR="00E32574" w:rsidRPr="004D6A9A" w:rsidRDefault="00E32574" w:rsidP="00571B53">
            <w:pPr>
              <w:spacing w:before="120" w:after="120" w:line="240" w:lineRule="auto"/>
              <w:jc w:val="center"/>
              <w:rPr>
                <w:rFonts w:cs="Times New Roman"/>
                <w:szCs w:val="24"/>
                <w:lang w:eastAsia="pt-BR"/>
              </w:rPr>
            </w:pPr>
            <w:r w:rsidRPr="004D6A9A">
              <w:rPr>
                <w:rFonts w:cs="Times New Roman"/>
                <w:szCs w:val="24"/>
                <w:lang w:eastAsia="pt-BR"/>
              </w:rPr>
              <w:t>-1,</w:t>
            </w:r>
            <w:r w:rsidR="00571B53">
              <w:rPr>
                <w:rFonts w:cs="Times New Roman"/>
                <w:szCs w:val="24"/>
                <w:lang w:eastAsia="pt-BR"/>
              </w:rPr>
              <w:t>43</w:t>
            </w:r>
          </w:p>
        </w:tc>
      </w:tr>
      <w:tr w:rsidR="00E32574" w:rsidRPr="002E481F" w:rsidTr="008846C3">
        <w:trPr>
          <w:trHeight w:val="300"/>
          <w:jc w:val="center"/>
        </w:trPr>
        <w:tc>
          <w:tcPr>
            <w:tcW w:w="3493" w:type="dxa"/>
            <w:noWrap/>
          </w:tcPr>
          <w:p w:rsidR="00E32574" w:rsidRPr="002E481F" w:rsidRDefault="00E32574" w:rsidP="002E481F">
            <w:pPr>
              <w:spacing w:before="120" w:after="120" w:line="240" w:lineRule="auto"/>
              <w:rPr>
                <w:rFonts w:cs="Times New Roman"/>
                <w:szCs w:val="24"/>
                <w:lang w:eastAsia="pt-BR"/>
              </w:rPr>
            </w:pPr>
            <w:r w:rsidRPr="002E481F">
              <w:rPr>
                <w:rFonts w:cs="Times New Roman"/>
                <w:szCs w:val="24"/>
                <w:lang w:eastAsia="pt-BR"/>
              </w:rPr>
              <w:t>Aimorés (Total)</w:t>
            </w:r>
          </w:p>
        </w:tc>
        <w:tc>
          <w:tcPr>
            <w:tcW w:w="2120" w:type="dxa"/>
            <w:noWrap/>
            <w:vAlign w:val="center"/>
          </w:tcPr>
          <w:p w:rsidR="00E32574" w:rsidRPr="004D6A9A" w:rsidRDefault="00986205" w:rsidP="002E481F">
            <w:pPr>
              <w:spacing w:before="120" w:after="120" w:line="240" w:lineRule="auto"/>
              <w:jc w:val="center"/>
              <w:rPr>
                <w:rFonts w:cs="Times New Roman"/>
                <w:szCs w:val="24"/>
                <w:lang w:eastAsia="pt-BR"/>
              </w:rPr>
            </w:pPr>
            <w:r>
              <w:rPr>
                <w:rFonts w:cs="Times New Roman"/>
                <w:szCs w:val="24"/>
                <w:lang w:eastAsia="pt-BR"/>
              </w:rPr>
              <w:t>64</w:t>
            </w:r>
            <w:r w:rsidR="00E32574" w:rsidRPr="004D6A9A">
              <w:rPr>
                <w:rFonts w:cs="Times New Roman"/>
                <w:szCs w:val="24"/>
                <w:lang w:eastAsia="pt-BR"/>
              </w:rPr>
              <w:t>,85</w:t>
            </w:r>
          </w:p>
        </w:tc>
        <w:tc>
          <w:tcPr>
            <w:tcW w:w="1428" w:type="dxa"/>
            <w:noWrap/>
          </w:tcPr>
          <w:p w:rsidR="00E32574" w:rsidRPr="004D6A9A" w:rsidRDefault="00E32574" w:rsidP="002E481F">
            <w:pPr>
              <w:spacing w:before="120" w:after="120" w:line="240" w:lineRule="auto"/>
              <w:jc w:val="center"/>
              <w:rPr>
                <w:rFonts w:cs="Times New Roman"/>
                <w:szCs w:val="24"/>
                <w:lang w:eastAsia="pt-BR"/>
              </w:rPr>
            </w:pPr>
            <w:r w:rsidRPr="004D6A9A">
              <w:rPr>
                <w:rFonts w:cs="Times New Roman"/>
                <w:szCs w:val="24"/>
                <w:lang w:eastAsia="pt-BR"/>
              </w:rPr>
              <w:t>85,13</w:t>
            </w:r>
          </w:p>
        </w:tc>
        <w:tc>
          <w:tcPr>
            <w:tcW w:w="1282" w:type="dxa"/>
            <w:noWrap/>
          </w:tcPr>
          <w:p w:rsidR="00E32574" w:rsidRPr="004D6A9A" w:rsidRDefault="00571B53" w:rsidP="00571B53">
            <w:pPr>
              <w:spacing w:before="120" w:after="120" w:line="240" w:lineRule="auto"/>
              <w:jc w:val="center"/>
              <w:rPr>
                <w:rFonts w:cs="Times New Roman"/>
                <w:szCs w:val="24"/>
                <w:lang w:eastAsia="pt-BR"/>
              </w:rPr>
            </w:pPr>
            <w:r>
              <w:rPr>
                <w:rFonts w:cs="Times New Roman"/>
                <w:szCs w:val="24"/>
                <w:lang w:eastAsia="pt-BR"/>
              </w:rPr>
              <w:t>20</w:t>
            </w:r>
            <w:r w:rsidR="00E32574" w:rsidRPr="004D6A9A">
              <w:rPr>
                <w:rFonts w:cs="Times New Roman"/>
                <w:szCs w:val="24"/>
                <w:lang w:eastAsia="pt-BR"/>
              </w:rPr>
              <w:t>,2</w:t>
            </w:r>
            <w:r>
              <w:rPr>
                <w:rFonts w:cs="Times New Roman"/>
                <w:szCs w:val="24"/>
                <w:lang w:eastAsia="pt-BR"/>
              </w:rPr>
              <w:t>8</w:t>
            </w:r>
          </w:p>
        </w:tc>
      </w:tr>
    </w:tbl>
    <w:p w:rsidR="00E32574" w:rsidRDefault="00E32574" w:rsidP="002E481F">
      <w:pPr>
        <w:pStyle w:val="Fonte"/>
        <w:ind w:left="284"/>
        <w:rPr>
          <w:lang w:eastAsia="pt-BR"/>
        </w:rPr>
      </w:pPr>
      <w:r w:rsidRPr="00017D6A">
        <w:rPr>
          <w:lang w:eastAsia="pt-BR"/>
        </w:rPr>
        <w:t>Fonte: Adaptado de SAAE, 2013.</w:t>
      </w:r>
    </w:p>
    <w:p w:rsidR="00E32574" w:rsidRPr="00017D6A" w:rsidRDefault="002E481F" w:rsidP="00971B37">
      <w:pPr>
        <w:pStyle w:val="Titulo"/>
      </w:pPr>
      <w:bookmarkStart w:id="218" w:name="_Toc372559097"/>
      <w:bookmarkStart w:id="219" w:name="_Toc372789529"/>
      <w:r>
        <w:t>11.</w:t>
      </w:r>
      <w:r w:rsidR="00B853AD">
        <w:t>5</w:t>
      </w:r>
      <w:r>
        <w:t xml:space="preserve"> </w:t>
      </w:r>
      <w:r w:rsidR="00E32574">
        <w:t>Avaliação d</w:t>
      </w:r>
      <w:r w:rsidR="00E32574" w:rsidRPr="00017D6A">
        <w:t xml:space="preserve">a </w:t>
      </w:r>
      <w:r w:rsidR="00E32574" w:rsidRPr="00437716">
        <w:t>situação</w:t>
      </w:r>
      <w:r w:rsidR="00E32574">
        <w:t xml:space="preserve"> atual do Sistema de Abastecimento d</w:t>
      </w:r>
      <w:r w:rsidR="00E32574" w:rsidRPr="00017D6A">
        <w:t>e</w:t>
      </w:r>
      <w:r w:rsidR="00E32574">
        <w:t xml:space="preserve"> Água do </w:t>
      </w:r>
      <w:r>
        <w:t>M</w:t>
      </w:r>
      <w:r w:rsidR="00E32574" w:rsidRPr="00017D6A">
        <w:t>unicípio</w:t>
      </w:r>
      <w:bookmarkEnd w:id="218"/>
      <w:bookmarkEnd w:id="219"/>
    </w:p>
    <w:p w:rsidR="00E32574" w:rsidRPr="002B521E" w:rsidRDefault="00E32574" w:rsidP="002E481F">
      <w:pPr>
        <w:spacing w:after="0" w:line="360" w:lineRule="auto"/>
        <w:ind w:firstLine="709"/>
        <w:jc w:val="both"/>
        <w:rPr>
          <w:szCs w:val="24"/>
          <w:lang w:eastAsia="pt-BR"/>
        </w:rPr>
      </w:pPr>
      <w:r w:rsidRPr="002B521E">
        <w:rPr>
          <w:szCs w:val="24"/>
          <w:lang w:eastAsia="pt-BR"/>
        </w:rPr>
        <w:t>Com o intuito de averiguar se a capacidade de reservação do sistema de</w:t>
      </w:r>
      <w:r>
        <w:rPr>
          <w:szCs w:val="24"/>
          <w:lang w:eastAsia="pt-BR"/>
        </w:rPr>
        <w:t xml:space="preserve"> </w:t>
      </w:r>
      <w:r w:rsidRPr="002B521E">
        <w:rPr>
          <w:szCs w:val="24"/>
          <w:lang w:eastAsia="pt-BR"/>
        </w:rPr>
        <w:t>abastecimento de água no município é suficiente ao atendimento</w:t>
      </w:r>
      <w:r w:rsidR="002E481F">
        <w:rPr>
          <w:szCs w:val="24"/>
          <w:lang w:eastAsia="pt-BR"/>
        </w:rPr>
        <w:t>,</w:t>
      </w:r>
      <w:r w:rsidRPr="002B521E">
        <w:rPr>
          <w:szCs w:val="24"/>
          <w:lang w:eastAsia="pt-BR"/>
        </w:rPr>
        <w:t xml:space="preserve"> será utilizado o cálculo básico proposto por Tsutiya (2006), onde o volume armazenado será igual ou maior a 1/3 do volume distribuído no dia de consumo máximo. Considerando a demanda máxima diária da área urbana calculada no item a seguir (BALANÇO CONSUMOS VERSUS DEMANDAS DE ABASTECIMENTO DE ÁGUA PELO MUNICÍPIO) e o volume total de reservação do </w:t>
      </w:r>
      <w:r w:rsidRPr="002B521E">
        <w:rPr>
          <w:szCs w:val="24"/>
          <w:lang w:eastAsia="pt-BR"/>
        </w:rPr>
        <w:lastRenderedPageBreak/>
        <w:t>sistema de abastecimento do município, pode-se averiguar o volume necessário para distribuição. Portanto, a fórmula utilizada é:</w:t>
      </w:r>
    </w:p>
    <w:p w:rsidR="00E32574" w:rsidRPr="000F33C7" w:rsidRDefault="00E32574" w:rsidP="00437716">
      <w:pPr>
        <w:spacing w:after="200" w:line="276" w:lineRule="auto"/>
        <w:rPr>
          <w:b/>
          <w:bCs/>
          <w:szCs w:val="24"/>
          <w:lang w:eastAsia="pt-BR"/>
        </w:rPr>
      </w:pPr>
      <w:r w:rsidRPr="000F33C7">
        <w:rPr>
          <w:b/>
          <w:bCs/>
          <w:szCs w:val="24"/>
          <w:lang w:eastAsia="pt-BR"/>
        </w:rPr>
        <w:t xml:space="preserve">V = (Q </w:t>
      </w:r>
      <w:r w:rsidR="002E481F">
        <w:rPr>
          <w:b/>
          <w:bCs/>
          <w:szCs w:val="24"/>
          <w:lang w:eastAsia="pt-BR"/>
        </w:rPr>
        <w:t>.</w:t>
      </w:r>
      <w:r w:rsidRPr="000F33C7">
        <w:rPr>
          <w:b/>
          <w:bCs/>
          <w:szCs w:val="24"/>
          <w:lang w:eastAsia="pt-BR"/>
        </w:rPr>
        <w:t xml:space="preserve"> 86400) / (3)</w:t>
      </w:r>
      <w:r w:rsidR="001C2E91">
        <w:rPr>
          <w:b/>
          <w:bCs/>
          <w:szCs w:val="24"/>
          <w:lang w:eastAsia="pt-BR"/>
        </w:rPr>
        <w:t>.......................................................................................................Eq. 3</w:t>
      </w:r>
    </w:p>
    <w:p w:rsidR="00E32574" w:rsidRPr="002E481F" w:rsidRDefault="00E32574" w:rsidP="002E481F">
      <w:pPr>
        <w:autoSpaceDE w:val="0"/>
        <w:autoSpaceDN w:val="0"/>
        <w:adjustRightInd w:val="0"/>
        <w:spacing w:before="120" w:after="120" w:line="360" w:lineRule="auto"/>
        <w:ind w:left="284"/>
        <w:jc w:val="both"/>
        <w:rPr>
          <w:b/>
          <w:szCs w:val="24"/>
          <w:lang w:eastAsia="pt-BR"/>
        </w:rPr>
      </w:pPr>
      <w:r w:rsidRPr="002E481F">
        <w:rPr>
          <w:b/>
          <w:szCs w:val="24"/>
          <w:lang w:eastAsia="pt-BR"/>
        </w:rPr>
        <w:t>V = (</w:t>
      </w:r>
      <w:r w:rsidR="002C2531" w:rsidRPr="002E481F">
        <w:rPr>
          <w:b/>
          <w:szCs w:val="24"/>
          <w:lang w:eastAsia="pt-BR"/>
        </w:rPr>
        <w:t>64</w:t>
      </w:r>
      <w:r w:rsidRPr="002E481F">
        <w:rPr>
          <w:b/>
          <w:szCs w:val="24"/>
          <w:lang w:eastAsia="pt-BR"/>
        </w:rPr>
        <w:t>,</w:t>
      </w:r>
      <w:r w:rsidR="002E481F">
        <w:rPr>
          <w:b/>
          <w:szCs w:val="24"/>
          <w:lang w:eastAsia="pt-BR"/>
        </w:rPr>
        <w:t>84</w:t>
      </w:r>
      <w:r w:rsidRPr="002E481F">
        <w:rPr>
          <w:b/>
          <w:szCs w:val="24"/>
          <w:lang w:eastAsia="pt-BR"/>
        </w:rPr>
        <w:t xml:space="preserve"> * 86400) / (3)</w:t>
      </w:r>
    </w:p>
    <w:p w:rsidR="00E32574" w:rsidRPr="002E481F" w:rsidRDefault="00E32574" w:rsidP="002E481F">
      <w:pPr>
        <w:autoSpaceDE w:val="0"/>
        <w:autoSpaceDN w:val="0"/>
        <w:adjustRightInd w:val="0"/>
        <w:spacing w:before="120" w:after="120" w:line="360" w:lineRule="auto"/>
        <w:ind w:left="284"/>
        <w:jc w:val="both"/>
        <w:rPr>
          <w:b/>
          <w:szCs w:val="24"/>
          <w:lang w:eastAsia="pt-BR"/>
        </w:rPr>
      </w:pPr>
      <w:r w:rsidRPr="002E481F">
        <w:rPr>
          <w:b/>
          <w:szCs w:val="24"/>
          <w:lang w:eastAsia="pt-BR"/>
        </w:rPr>
        <w:t>V = 1.</w:t>
      </w:r>
      <w:r w:rsidR="002C2531" w:rsidRPr="002E481F">
        <w:rPr>
          <w:b/>
          <w:szCs w:val="24"/>
          <w:lang w:eastAsia="pt-BR"/>
        </w:rPr>
        <w:t>846</w:t>
      </w:r>
      <w:r w:rsidRPr="002E481F">
        <w:rPr>
          <w:b/>
          <w:szCs w:val="24"/>
          <w:lang w:eastAsia="pt-BR"/>
        </w:rPr>
        <w:t>.</w:t>
      </w:r>
      <w:r w:rsidR="002C2531" w:rsidRPr="002E481F">
        <w:rPr>
          <w:b/>
          <w:szCs w:val="24"/>
          <w:lang w:eastAsia="pt-BR"/>
        </w:rPr>
        <w:t>368</w:t>
      </w:r>
      <w:r w:rsidRPr="002E481F">
        <w:rPr>
          <w:b/>
          <w:szCs w:val="24"/>
          <w:lang w:eastAsia="pt-BR"/>
        </w:rPr>
        <w:t>,</w:t>
      </w:r>
      <w:r w:rsidR="002C2531" w:rsidRPr="002E481F">
        <w:rPr>
          <w:b/>
          <w:szCs w:val="24"/>
          <w:lang w:eastAsia="pt-BR"/>
        </w:rPr>
        <w:t>0</w:t>
      </w:r>
      <w:r w:rsidRPr="002E481F">
        <w:rPr>
          <w:b/>
          <w:szCs w:val="24"/>
          <w:lang w:eastAsia="pt-BR"/>
        </w:rPr>
        <w:t>0 L</w:t>
      </w:r>
    </w:p>
    <w:p w:rsidR="00E32574" w:rsidRPr="002E481F" w:rsidRDefault="00E32574" w:rsidP="002E481F">
      <w:pPr>
        <w:autoSpaceDE w:val="0"/>
        <w:autoSpaceDN w:val="0"/>
        <w:adjustRightInd w:val="0"/>
        <w:spacing w:before="120" w:after="120" w:line="360" w:lineRule="auto"/>
        <w:ind w:left="284"/>
        <w:jc w:val="both"/>
        <w:rPr>
          <w:b/>
          <w:bCs/>
          <w:szCs w:val="24"/>
          <w:lang w:eastAsia="pt-BR"/>
        </w:rPr>
      </w:pPr>
      <w:r w:rsidRPr="002E481F">
        <w:rPr>
          <w:b/>
          <w:bCs/>
          <w:szCs w:val="24"/>
          <w:lang w:eastAsia="pt-BR"/>
        </w:rPr>
        <w:t>V = 1.</w:t>
      </w:r>
      <w:r w:rsidR="002C2531" w:rsidRPr="002E481F">
        <w:rPr>
          <w:b/>
          <w:bCs/>
          <w:szCs w:val="24"/>
          <w:lang w:eastAsia="pt-BR"/>
        </w:rPr>
        <w:t>8</w:t>
      </w:r>
      <w:r w:rsidR="002E481F">
        <w:rPr>
          <w:b/>
          <w:bCs/>
          <w:szCs w:val="24"/>
          <w:lang w:eastAsia="pt-BR"/>
        </w:rPr>
        <w:t>67</w:t>
      </w:r>
      <w:r w:rsidRPr="002E481F">
        <w:rPr>
          <w:b/>
          <w:bCs/>
          <w:szCs w:val="24"/>
          <w:lang w:eastAsia="pt-BR"/>
        </w:rPr>
        <w:t>,</w:t>
      </w:r>
      <w:r w:rsidR="002E481F">
        <w:rPr>
          <w:b/>
          <w:bCs/>
          <w:szCs w:val="24"/>
          <w:lang w:eastAsia="pt-BR"/>
        </w:rPr>
        <w:t>39</w:t>
      </w:r>
      <w:r w:rsidRPr="002E481F">
        <w:rPr>
          <w:b/>
          <w:bCs/>
          <w:szCs w:val="24"/>
          <w:lang w:eastAsia="pt-BR"/>
        </w:rPr>
        <w:t xml:space="preserve"> m³</w:t>
      </w:r>
    </w:p>
    <w:p w:rsidR="00E32574" w:rsidRPr="002B521E" w:rsidRDefault="00E32574" w:rsidP="00E32574">
      <w:pPr>
        <w:spacing w:after="0" w:line="360" w:lineRule="auto"/>
        <w:ind w:firstLine="708"/>
        <w:jc w:val="both"/>
        <w:rPr>
          <w:szCs w:val="24"/>
          <w:lang w:eastAsia="pt-BR"/>
        </w:rPr>
      </w:pPr>
      <w:r w:rsidRPr="002B521E">
        <w:rPr>
          <w:szCs w:val="24"/>
          <w:lang w:eastAsia="pt-BR"/>
        </w:rPr>
        <w:t xml:space="preserve">Sendo o volume atual de reservação igual ao somatório das capacidades do reservatórios, ou seja, 990 m³ constata-se que o volume de reservação calculado em </w:t>
      </w:r>
      <w:r w:rsidRPr="000F33C7">
        <w:rPr>
          <w:szCs w:val="24"/>
          <w:lang w:eastAsia="pt-BR"/>
        </w:rPr>
        <w:t>1.</w:t>
      </w:r>
      <w:r w:rsidR="002C2531" w:rsidRPr="000F33C7">
        <w:rPr>
          <w:szCs w:val="24"/>
          <w:lang w:eastAsia="pt-BR"/>
        </w:rPr>
        <w:t>8</w:t>
      </w:r>
      <w:r w:rsidR="002E481F">
        <w:rPr>
          <w:szCs w:val="24"/>
          <w:lang w:eastAsia="pt-BR"/>
        </w:rPr>
        <w:t>67,</w:t>
      </w:r>
      <w:r w:rsidR="002C2531" w:rsidRPr="000F33C7">
        <w:rPr>
          <w:szCs w:val="24"/>
          <w:lang w:eastAsia="pt-BR"/>
        </w:rPr>
        <w:t>3</w:t>
      </w:r>
      <w:r w:rsidR="002E481F">
        <w:rPr>
          <w:szCs w:val="24"/>
          <w:lang w:eastAsia="pt-BR"/>
        </w:rPr>
        <w:t>9</w:t>
      </w:r>
      <w:r w:rsidRPr="000F33C7">
        <w:rPr>
          <w:szCs w:val="24"/>
          <w:lang w:eastAsia="pt-BR"/>
        </w:rPr>
        <w:t xml:space="preserve"> m³,</w:t>
      </w:r>
      <w:r w:rsidRPr="002B521E">
        <w:rPr>
          <w:szCs w:val="24"/>
          <w:lang w:eastAsia="pt-BR"/>
        </w:rPr>
        <w:t xml:space="preserve"> está </w:t>
      </w:r>
      <w:r w:rsidR="002E481F">
        <w:rPr>
          <w:szCs w:val="24"/>
          <w:lang w:eastAsia="pt-BR"/>
        </w:rPr>
        <w:t>deficitário</w:t>
      </w:r>
      <w:r w:rsidRPr="002B521E">
        <w:rPr>
          <w:szCs w:val="24"/>
          <w:lang w:eastAsia="pt-BR"/>
        </w:rPr>
        <w:t xml:space="preserve"> para o abastecimento do sistema como um todo.</w:t>
      </w:r>
    </w:p>
    <w:p w:rsidR="00E32574" w:rsidRDefault="00E32574" w:rsidP="00E32574">
      <w:pPr>
        <w:spacing w:after="0" w:line="360" w:lineRule="auto"/>
        <w:ind w:firstLine="708"/>
        <w:jc w:val="both"/>
        <w:rPr>
          <w:szCs w:val="24"/>
          <w:lang w:eastAsia="pt-BR"/>
        </w:rPr>
      </w:pPr>
      <w:r>
        <w:rPr>
          <w:szCs w:val="24"/>
          <w:lang w:eastAsia="pt-BR"/>
        </w:rPr>
        <w:t>A</w:t>
      </w:r>
      <w:r w:rsidRPr="002B521E">
        <w:rPr>
          <w:szCs w:val="24"/>
          <w:lang w:eastAsia="pt-BR"/>
        </w:rPr>
        <w:t xml:space="preserve"> infraestrutura do sistema de abastecimento </w:t>
      </w:r>
      <w:r>
        <w:rPr>
          <w:szCs w:val="24"/>
          <w:lang w:eastAsia="pt-BR"/>
        </w:rPr>
        <w:t>não se encontra</w:t>
      </w:r>
      <w:r w:rsidRPr="002B521E">
        <w:rPr>
          <w:szCs w:val="24"/>
          <w:lang w:eastAsia="pt-BR"/>
        </w:rPr>
        <w:t xml:space="preserve"> em bom funcionamento, muitas individualidades do sistema ainda são </w:t>
      </w:r>
      <w:r>
        <w:rPr>
          <w:szCs w:val="24"/>
          <w:lang w:eastAsia="pt-BR"/>
        </w:rPr>
        <w:t>antigas</w:t>
      </w:r>
      <w:r w:rsidRPr="002B521E">
        <w:rPr>
          <w:szCs w:val="24"/>
          <w:lang w:eastAsia="pt-BR"/>
        </w:rPr>
        <w:t xml:space="preserve"> e necessitam de </w:t>
      </w:r>
      <w:r>
        <w:rPr>
          <w:szCs w:val="24"/>
          <w:lang w:eastAsia="pt-BR"/>
        </w:rPr>
        <w:t>reparo</w:t>
      </w:r>
      <w:r w:rsidRPr="002B521E">
        <w:rPr>
          <w:szCs w:val="24"/>
          <w:lang w:eastAsia="pt-BR"/>
        </w:rPr>
        <w:t>.</w:t>
      </w:r>
    </w:p>
    <w:p w:rsidR="002E481F" w:rsidRDefault="002E481F" w:rsidP="00E32574">
      <w:pPr>
        <w:spacing w:after="0" w:line="360" w:lineRule="auto"/>
        <w:ind w:firstLine="708"/>
        <w:jc w:val="both"/>
        <w:rPr>
          <w:szCs w:val="24"/>
          <w:lang w:eastAsia="pt-BR"/>
        </w:rPr>
      </w:pPr>
      <w:r>
        <w:rPr>
          <w:szCs w:val="24"/>
          <w:lang w:eastAsia="pt-BR"/>
        </w:rPr>
        <w:t>No Quadro 19 apresentam-se os valores necessários para estimar a situaç</w:t>
      </w:r>
      <w:r w:rsidR="00322534">
        <w:rPr>
          <w:szCs w:val="24"/>
          <w:lang w:eastAsia="pt-BR"/>
        </w:rPr>
        <w:t xml:space="preserve">ão da capacidade de reservação em relação à reservação real, mostrando uma </w:t>
      </w:r>
      <w:r w:rsidR="006221C2">
        <w:rPr>
          <w:szCs w:val="24"/>
          <w:lang w:eastAsia="pt-BR"/>
        </w:rPr>
        <w:t xml:space="preserve">ociosidade do sistema do município de Aimorés </w:t>
      </w:r>
      <w:r w:rsidR="00322534">
        <w:rPr>
          <w:szCs w:val="24"/>
          <w:lang w:eastAsia="pt-BR"/>
        </w:rPr>
        <w:t xml:space="preserve">de </w:t>
      </w:r>
      <w:r w:rsidR="0047626B">
        <w:rPr>
          <w:szCs w:val="24"/>
          <w:lang w:eastAsia="pt-BR"/>
        </w:rPr>
        <w:t>547</w:t>
      </w:r>
      <w:r w:rsidR="00322534">
        <w:rPr>
          <w:szCs w:val="24"/>
          <w:lang w:eastAsia="pt-BR"/>
        </w:rPr>
        <w:t>,</w:t>
      </w:r>
      <w:r w:rsidR="0047626B">
        <w:rPr>
          <w:szCs w:val="24"/>
          <w:lang w:eastAsia="pt-BR"/>
        </w:rPr>
        <w:t>26</w:t>
      </w:r>
      <w:r w:rsidR="00322534">
        <w:rPr>
          <w:szCs w:val="24"/>
          <w:lang w:eastAsia="pt-BR"/>
        </w:rPr>
        <w:t xml:space="preserve"> m</w:t>
      </w:r>
      <w:r w:rsidR="00322534" w:rsidRPr="00322534">
        <w:rPr>
          <w:szCs w:val="24"/>
          <w:vertAlign w:val="superscript"/>
          <w:lang w:eastAsia="pt-BR"/>
        </w:rPr>
        <w:t>3</w:t>
      </w:r>
      <w:r w:rsidR="00322534">
        <w:rPr>
          <w:szCs w:val="24"/>
          <w:lang w:eastAsia="pt-BR"/>
        </w:rPr>
        <w:t xml:space="preserve">, com destaque para </w:t>
      </w:r>
      <w:r w:rsidR="0047626B">
        <w:rPr>
          <w:szCs w:val="24"/>
          <w:lang w:eastAsia="pt-BR"/>
        </w:rPr>
        <w:t>a</w:t>
      </w:r>
      <w:r w:rsidR="00322534">
        <w:rPr>
          <w:szCs w:val="24"/>
          <w:lang w:eastAsia="pt-BR"/>
        </w:rPr>
        <w:t xml:space="preserve"> cidade </w:t>
      </w:r>
      <w:r w:rsidR="006221C2">
        <w:rPr>
          <w:szCs w:val="24"/>
          <w:lang w:eastAsia="pt-BR"/>
        </w:rPr>
        <w:t xml:space="preserve">sede com valor de ociosidade de </w:t>
      </w:r>
      <w:r w:rsidR="0047626B">
        <w:rPr>
          <w:szCs w:val="24"/>
          <w:lang w:eastAsia="pt-BR"/>
        </w:rPr>
        <w:t>369</w:t>
      </w:r>
      <w:r w:rsidR="00322534">
        <w:rPr>
          <w:szCs w:val="24"/>
          <w:lang w:eastAsia="pt-BR"/>
        </w:rPr>
        <w:t>,</w:t>
      </w:r>
      <w:r w:rsidR="0047626B">
        <w:rPr>
          <w:szCs w:val="24"/>
          <w:lang w:eastAsia="pt-BR"/>
        </w:rPr>
        <w:t>74</w:t>
      </w:r>
      <w:r w:rsidR="00322534">
        <w:rPr>
          <w:szCs w:val="24"/>
          <w:lang w:eastAsia="pt-BR"/>
        </w:rPr>
        <w:t xml:space="preserve"> m</w:t>
      </w:r>
      <w:r w:rsidR="00322534" w:rsidRPr="00322534">
        <w:rPr>
          <w:szCs w:val="24"/>
          <w:vertAlign w:val="superscript"/>
          <w:lang w:eastAsia="pt-BR"/>
        </w:rPr>
        <w:t>3</w:t>
      </w:r>
      <w:r w:rsidR="00322534">
        <w:rPr>
          <w:szCs w:val="24"/>
          <w:lang w:eastAsia="pt-BR"/>
        </w:rPr>
        <w:t>.</w:t>
      </w:r>
    </w:p>
    <w:p w:rsidR="006221C2" w:rsidRDefault="006221C2">
      <w:pPr>
        <w:spacing w:after="200" w:line="276" w:lineRule="auto"/>
        <w:rPr>
          <w:b/>
          <w:szCs w:val="24"/>
          <w:lang w:eastAsia="pt-BR"/>
        </w:rPr>
      </w:pPr>
      <w:r>
        <w:rPr>
          <w:b/>
          <w:szCs w:val="24"/>
          <w:lang w:eastAsia="pt-BR"/>
        </w:rPr>
        <w:br w:type="page"/>
      </w:r>
    </w:p>
    <w:p w:rsidR="00E32574" w:rsidRPr="00322534" w:rsidRDefault="0075744C" w:rsidP="0075744C">
      <w:pPr>
        <w:pStyle w:val="Legenda"/>
        <w:rPr>
          <w:b w:val="0"/>
        </w:rPr>
      </w:pPr>
      <w:bookmarkStart w:id="220" w:name="_Toc372740525"/>
      <w:r>
        <w:lastRenderedPageBreak/>
        <w:t xml:space="preserve">Quadro </w:t>
      </w:r>
      <w:fldSimple w:instr=" SEQ Quadro \* ARABIC ">
        <w:r w:rsidR="004F77E2">
          <w:rPr>
            <w:noProof/>
          </w:rPr>
          <w:t>19</w:t>
        </w:r>
      </w:fldSimple>
      <w:r>
        <w:t xml:space="preserve"> - A</w:t>
      </w:r>
      <w:r w:rsidRPr="00155DA4">
        <w:rPr>
          <w:noProof/>
        </w:rPr>
        <w:t>presentam-se os valores das demandas diárias, capacidade de reservação, a reservação e a diferença</w:t>
      </w:r>
      <w:bookmarkEnd w:id="220"/>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135"/>
        <w:gridCol w:w="1336"/>
        <w:gridCol w:w="1738"/>
        <w:gridCol w:w="1162"/>
      </w:tblGrid>
      <w:tr w:rsidR="00E32574" w:rsidRPr="00621135" w:rsidTr="00E32574">
        <w:trPr>
          <w:trHeight w:val="300"/>
          <w:jc w:val="center"/>
        </w:trPr>
        <w:tc>
          <w:tcPr>
            <w:tcW w:w="2236" w:type="dxa"/>
            <w:shd w:val="clear" w:color="auto" w:fill="D9D9D9"/>
            <w:noWrap/>
            <w:vAlign w:val="center"/>
          </w:tcPr>
          <w:p w:rsidR="00E32574" w:rsidRPr="00B571D8" w:rsidRDefault="00E32574" w:rsidP="00322534">
            <w:pPr>
              <w:spacing w:before="120" w:after="120" w:line="240" w:lineRule="auto"/>
              <w:jc w:val="center"/>
              <w:rPr>
                <w:szCs w:val="24"/>
                <w:lang w:eastAsia="pt-BR"/>
              </w:rPr>
            </w:pPr>
            <w:r w:rsidRPr="00B571D8">
              <w:rPr>
                <w:szCs w:val="24"/>
                <w:lang w:eastAsia="pt-BR"/>
              </w:rPr>
              <w:t>Área de Planejamento</w:t>
            </w:r>
          </w:p>
        </w:tc>
        <w:tc>
          <w:tcPr>
            <w:tcW w:w="2135" w:type="dxa"/>
            <w:shd w:val="clear" w:color="auto" w:fill="D9D9D9"/>
            <w:noWrap/>
            <w:vAlign w:val="center"/>
          </w:tcPr>
          <w:p w:rsidR="00E32574" w:rsidRPr="00B571D8" w:rsidRDefault="00E32574" w:rsidP="00322534">
            <w:pPr>
              <w:spacing w:before="120" w:after="120" w:line="240" w:lineRule="auto"/>
              <w:jc w:val="center"/>
              <w:rPr>
                <w:szCs w:val="24"/>
                <w:lang w:eastAsia="pt-BR"/>
              </w:rPr>
            </w:pPr>
            <w:r w:rsidRPr="00B571D8">
              <w:rPr>
                <w:szCs w:val="24"/>
                <w:lang w:eastAsia="pt-BR"/>
              </w:rPr>
              <w:t>Demanda Máxima Diária (L.s</w:t>
            </w:r>
            <w:r w:rsidRPr="00B571D8">
              <w:rPr>
                <w:szCs w:val="24"/>
                <w:vertAlign w:val="superscript"/>
                <w:lang w:eastAsia="pt-BR"/>
              </w:rPr>
              <w:t>-1</w:t>
            </w:r>
            <w:r w:rsidRPr="00B571D8">
              <w:rPr>
                <w:szCs w:val="24"/>
                <w:lang w:eastAsia="pt-BR"/>
              </w:rPr>
              <w:t>)</w:t>
            </w:r>
          </w:p>
        </w:tc>
        <w:tc>
          <w:tcPr>
            <w:tcW w:w="1336" w:type="dxa"/>
            <w:shd w:val="clear" w:color="auto" w:fill="D9D9D9"/>
            <w:noWrap/>
            <w:vAlign w:val="center"/>
          </w:tcPr>
          <w:p w:rsidR="00E32574" w:rsidRPr="00B571D8" w:rsidRDefault="00E32574" w:rsidP="00322534">
            <w:pPr>
              <w:spacing w:before="120" w:after="120" w:line="240" w:lineRule="auto"/>
              <w:jc w:val="center"/>
              <w:rPr>
                <w:szCs w:val="24"/>
                <w:lang w:eastAsia="pt-BR"/>
              </w:rPr>
            </w:pPr>
            <w:r w:rsidRPr="00B571D8">
              <w:rPr>
                <w:szCs w:val="24"/>
                <w:lang w:eastAsia="pt-BR"/>
              </w:rPr>
              <w:t>Capacidade de Reservação do Sistema (m³)</w:t>
            </w:r>
          </w:p>
        </w:tc>
        <w:tc>
          <w:tcPr>
            <w:tcW w:w="1738" w:type="dxa"/>
            <w:shd w:val="clear" w:color="auto" w:fill="D9D9D9"/>
            <w:vAlign w:val="center"/>
          </w:tcPr>
          <w:p w:rsidR="00E32574" w:rsidRPr="00B571D8" w:rsidRDefault="00E32574" w:rsidP="00322534">
            <w:pPr>
              <w:spacing w:before="120" w:after="120" w:line="240" w:lineRule="auto"/>
              <w:jc w:val="center"/>
              <w:rPr>
                <w:szCs w:val="24"/>
                <w:lang w:eastAsia="pt-BR"/>
              </w:rPr>
            </w:pPr>
            <w:r w:rsidRPr="00B571D8">
              <w:rPr>
                <w:szCs w:val="24"/>
                <w:lang w:eastAsia="pt-BR"/>
              </w:rPr>
              <w:t>Reservação (m³)</w:t>
            </w:r>
          </w:p>
        </w:tc>
        <w:tc>
          <w:tcPr>
            <w:tcW w:w="1162" w:type="dxa"/>
            <w:shd w:val="clear" w:color="auto" w:fill="D9D9D9"/>
            <w:noWrap/>
            <w:vAlign w:val="center"/>
          </w:tcPr>
          <w:p w:rsidR="00E32574" w:rsidRPr="00B571D8" w:rsidRDefault="00E32574" w:rsidP="00322534">
            <w:pPr>
              <w:spacing w:before="120" w:after="120" w:line="240" w:lineRule="auto"/>
              <w:jc w:val="center"/>
              <w:rPr>
                <w:szCs w:val="24"/>
                <w:lang w:eastAsia="pt-BR"/>
              </w:rPr>
            </w:pPr>
            <w:r w:rsidRPr="00B571D8">
              <w:rPr>
                <w:szCs w:val="24"/>
                <w:lang w:eastAsia="pt-BR"/>
              </w:rPr>
              <w:t>Diferença (m³)</w:t>
            </w:r>
          </w:p>
        </w:tc>
      </w:tr>
      <w:tr w:rsidR="00571B53" w:rsidRPr="00621135" w:rsidTr="00571B53">
        <w:trPr>
          <w:trHeight w:val="300"/>
          <w:jc w:val="center"/>
        </w:trPr>
        <w:tc>
          <w:tcPr>
            <w:tcW w:w="2236" w:type="dxa"/>
            <w:noWrap/>
          </w:tcPr>
          <w:p w:rsidR="00571B53" w:rsidRPr="00B571D8" w:rsidRDefault="00571B53" w:rsidP="00322534">
            <w:pPr>
              <w:spacing w:before="120" w:after="120" w:line="240" w:lineRule="auto"/>
              <w:rPr>
                <w:szCs w:val="24"/>
                <w:lang w:eastAsia="pt-BR"/>
              </w:rPr>
            </w:pPr>
            <w:r w:rsidRPr="00B571D8">
              <w:rPr>
                <w:szCs w:val="24"/>
                <w:lang w:eastAsia="pt-BR"/>
              </w:rPr>
              <w:t>Aimorés</w:t>
            </w:r>
          </w:p>
        </w:tc>
        <w:tc>
          <w:tcPr>
            <w:tcW w:w="2135" w:type="dxa"/>
            <w:noWrap/>
            <w:vAlign w:val="center"/>
          </w:tcPr>
          <w:p w:rsidR="00571B53" w:rsidRPr="004D6A9A" w:rsidRDefault="00571B53" w:rsidP="000917CE">
            <w:pPr>
              <w:spacing w:before="120" w:after="120" w:line="240" w:lineRule="auto"/>
              <w:jc w:val="center"/>
              <w:rPr>
                <w:rFonts w:cs="Times New Roman"/>
                <w:szCs w:val="24"/>
                <w:lang w:eastAsia="pt-BR"/>
              </w:rPr>
            </w:pPr>
            <w:r>
              <w:rPr>
                <w:rFonts w:cs="Times New Roman"/>
                <w:szCs w:val="24"/>
                <w:lang w:eastAsia="pt-BR"/>
              </w:rPr>
              <w:t>38</w:t>
            </w:r>
            <w:r w:rsidRPr="004D6A9A">
              <w:rPr>
                <w:rFonts w:cs="Times New Roman"/>
                <w:szCs w:val="24"/>
                <w:lang w:eastAsia="pt-BR"/>
              </w:rPr>
              <w:t>,</w:t>
            </w:r>
            <w:r>
              <w:rPr>
                <w:rFonts w:cs="Times New Roman"/>
                <w:szCs w:val="24"/>
                <w:lang w:eastAsia="pt-BR"/>
              </w:rPr>
              <w:t>97</w:t>
            </w:r>
          </w:p>
        </w:tc>
        <w:tc>
          <w:tcPr>
            <w:tcW w:w="1336" w:type="dxa"/>
            <w:noWrap/>
            <w:vAlign w:val="center"/>
          </w:tcPr>
          <w:p w:rsidR="00571B53" w:rsidRPr="00571B53" w:rsidRDefault="00571B53" w:rsidP="00571B53">
            <w:pPr>
              <w:jc w:val="center"/>
              <w:rPr>
                <w:rFonts w:cs="Times New Roman"/>
                <w:color w:val="000000"/>
                <w:szCs w:val="24"/>
              </w:rPr>
            </w:pPr>
            <w:r w:rsidRPr="00571B53">
              <w:rPr>
                <w:rFonts w:cs="Times New Roman"/>
                <w:color w:val="000000"/>
                <w:szCs w:val="24"/>
              </w:rPr>
              <w:t>899,74</w:t>
            </w:r>
          </w:p>
        </w:tc>
        <w:tc>
          <w:tcPr>
            <w:tcW w:w="1738" w:type="dxa"/>
            <w:noWrap/>
            <w:vAlign w:val="center"/>
          </w:tcPr>
          <w:p w:rsidR="00571B53" w:rsidRPr="004D6A9A" w:rsidRDefault="00571B53" w:rsidP="00322534">
            <w:pPr>
              <w:spacing w:before="120" w:after="120" w:line="240" w:lineRule="auto"/>
              <w:jc w:val="center"/>
              <w:rPr>
                <w:szCs w:val="24"/>
                <w:lang w:eastAsia="pt-BR"/>
              </w:rPr>
            </w:pPr>
            <w:r w:rsidRPr="004D6A9A">
              <w:rPr>
                <w:szCs w:val="24"/>
                <w:lang w:eastAsia="pt-BR"/>
              </w:rPr>
              <w:t>530</w:t>
            </w:r>
          </w:p>
        </w:tc>
        <w:tc>
          <w:tcPr>
            <w:tcW w:w="1162" w:type="dxa"/>
            <w:noWrap/>
            <w:vAlign w:val="center"/>
          </w:tcPr>
          <w:p w:rsidR="00571B53" w:rsidRPr="006F5452" w:rsidRDefault="00571B53" w:rsidP="00571B53">
            <w:pPr>
              <w:jc w:val="center"/>
            </w:pPr>
            <w:r w:rsidRPr="006F5452">
              <w:t>-369,74</w:t>
            </w:r>
          </w:p>
        </w:tc>
      </w:tr>
      <w:tr w:rsidR="00571B53" w:rsidRPr="00621135" w:rsidTr="00571B53">
        <w:trPr>
          <w:trHeight w:val="300"/>
          <w:jc w:val="center"/>
        </w:trPr>
        <w:tc>
          <w:tcPr>
            <w:tcW w:w="2236" w:type="dxa"/>
            <w:noWrap/>
          </w:tcPr>
          <w:p w:rsidR="00571B53" w:rsidRPr="00B571D8" w:rsidRDefault="00571B53" w:rsidP="00322534">
            <w:pPr>
              <w:spacing w:before="120" w:after="120" w:line="240" w:lineRule="auto"/>
              <w:rPr>
                <w:szCs w:val="24"/>
                <w:lang w:eastAsia="pt-BR"/>
              </w:rPr>
            </w:pPr>
            <w:r w:rsidRPr="00B571D8">
              <w:rPr>
                <w:szCs w:val="24"/>
                <w:lang w:eastAsia="pt-BR"/>
              </w:rPr>
              <w:t>Alto do Capim</w:t>
            </w:r>
          </w:p>
        </w:tc>
        <w:tc>
          <w:tcPr>
            <w:tcW w:w="2135" w:type="dxa"/>
            <w:noWrap/>
            <w:vAlign w:val="center"/>
          </w:tcPr>
          <w:p w:rsidR="00571B53" w:rsidRPr="004D6A9A" w:rsidRDefault="00571B53" w:rsidP="000917CE">
            <w:pPr>
              <w:spacing w:before="120" w:after="120" w:line="240" w:lineRule="auto"/>
              <w:jc w:val="center"/>
              <w:rPr>
                <w:rFonts w:cs="Times New Roman"/>
                <w:szCs w:val="24"/>
                <w:lang w:eastAsia="pt-BR"/>
              </w:rPr>
            </w:pPr>
            <w:r w:rsidRPr="004D6A9A">
              <w:rPr>
                <w:rFonts w:cs="Times New Roman"/>
                <w:szCs w:val="24"/>
                <w:lang w:eastAsia="pt-BR"/>
              </w:rPr>
              <w:t>3,</w:t>
            </w:r>
            <w:r>
              <w:rPr>
                <w:rFonts w:cs="Times New Roman"/>
                <w:szCs w:val="24"/>
                <w:lang w:eastAsia="pt-BR"/>
              </w:rPr>
              <w:t>32</w:t>
            </w:r>
          </w:p>
        </w:tc>
        <w:tc>
          <w:tcPr>
            <w:tcW w:w="1336" w:type="dxa"/>
            <w:noWrap/>
            <w:vAlign w:val="center"/>
          </w:tcPr>
          <w:p w:rsidR="00571B53" w:rsidRPr="00571B53" w:rsidRDefault="00571B53" w:rsidP="00571B53">
            <w:pPr>
              <w:jc w:val="center"/>
              <w:rPr>
                <w:rFonts w:cs="Times New Roman"/>
                <w:color w:val="000000"/>
                <w:szCs w:val="24"/>
              </w:rPr>
            </w:pPr>
            <w:r w:rsidRPr="00571B53">
              <w:rPr>
                <w:rFonts w:cs="Times New Roman"/>
                <w:color w:val="000000"/>
                <w:szCs w:val="24"/>
              </w:rPr>
              <w:t>76,65</w:t>
            </w:r>
          </w:p>
        </w:tc>
        <w:tc>
          <w:tcPr>
            <w:tcW w:w="1738" w:type="dxa"/>
            <w:noWrap/>
            <w:vAlign w:val="center"/>
          </w:tcPr>
          <w:p w:rsidR="00571B53" w:rsidRPr="004D6A9A" w:rsidRDefault="00571B53" w:rsidP="00322534">
            <w:pPr>
              <w:spacing w:before="120" w:after="120" w:line="240" w:lineRule="auto"/>
              <w:jc w:val="center"/>
              <w:rPr>
                <w:szCs w:val="24"/>
                <w:lang w:eastAsia="pt-BR"/>
              </w:rPr>
            </w:pPr>
            <w:r w:rsidRPr="004D6A9A">
              <w:rPr>
                <w:szCs w:val="24"/>
                <w:lang w:eastAsia="pt-BR"/>
              </w:rPr>
              <w:t>20</w:t>
            </w:r>
          </w:p>
        </w:tc>
        <w:tc>
          <w:tcPr>
            <w:tcW w:w="1162" w:type="dxa"/>
            <w:noWrap/>
            <w:vAlign w:val="center"/>
          </w:tcPr>
          <w:p w:rsidR="00571B53" w:rsidRPr="006F5452" w:rsidRDefault="00571B53" w:rsidP="00571B53">
            <w:pPr>
              <w:jc w:val="center"/>
            </w:pPr>
            <w:r w:rsidRPr="006F5452">
              <w:t>-56,65</w:t>
            </w:r>
          </w:p>
        </w:tc>
      </w:tr>
      <w:tr w:rsidR="00571B53" w:rsidRPr="00621135" w:rsidTr="00571B53">
        <w:trPr>
          <w:trHeight w:val="300"/>
          <w:jc w:val="center"/>
        </w:trPr>
        <w:tc>
          <w:tcPr>
            <w:tcW w:w="2236" w:type="dxa"/>
            <w:noWrap/>
          </w:tcPr>
          <w:p w:rsidR="00571B53" w:rsidRPr="00B571D8" w:rsidRDefault="00571B53" w:rsidP="00322534">
            <w:pPr>
              <w:spacing w:before="120" w:after="120" w:line="240" w:lineRule="auto"/>
              <w:rPr>
                <w:szCs w:val="24"/>
                <w:lang w:eastAsia="pt-BR"/>
              </w:rPr>
            </w:pPr>
            <w:r w:rsidRPr="00B571D8">
              <w:rPr>
                <w:szCs w:val="24"/>
                <w:lang w:eastAsia="pt-BR"/>
              </w:rPr>
              <w:t>Conceição do Capim</w:t>
            </w:r>
          </w:p>
        </w:tc>
        <w:tc>
          <w:tcPr>
            <w:tcW w:w="2135" w:type="dxa"/>
            <w:noWrap/>
            <w:vAlign w:val="center"/>
          </w:tcPr>
          <w:p w:rsidR="00571B53" w:rsidRPr="004D6A9A" w:rsidRDefault="00571B53" w:rsidP="000917CE">
            <w:pPr>
              <w:spacing w:before="120" w:after="120" w:line="240" w:lineRule="auto"/>
              <w:jc w:val="center"/>
              <w:rPr>
                <w:rFonts w:cs="Times New Roman"/>
                <w:szCs w:val="24"/>
                <w:lang w:eastAsia="pt-BR"/>
              </w:rPr>
            </w:pPr>
            <w:r w:rsidRPr="004D6A9A">
              <w:rPr>
                <w:rFonts w:cs="Times New Roman"/>
                <w:szCs w:val="24"/>
                <w:lang w:eastAsia="pt-BR"/>
              </w:rPr>
              <w:t>3,</w:t>
            </w:r>
            <w:r>
              <w:rPr>
                <w:rFonts w:cs="Times New Roman"/>
                <w:szCs w:val="24"/>
                <w:lang w:eastAsia="pt-BR"/>
              </w:rPr>
              <w:t>27</w:t>
            </w:r>
          </w:p>
        </w:tc>
        <w:tc>
          <w:tcPr>
            <w:tcW w:w="1336" w:type="dxa"/>
            <w:noWrap/>
            <w:vAlign w:val="center"/>
          </w:tcPr>
          <w:p w:rsidR="00571B53" w:rsidRPr="00571B53" w:rsidRDefault="00571B53" w:rsidP="00571B53">
            <w:pPr>
              <w:jc w:val="center"/>
              <w:rPr>
                <w:rFonts w:cs="Times New Roman"/>
                <w:color w:val="000000"/>
                <w:szCs w:val="24"/>
              </w:rPr>
            </w:pPr>
            <w:r w:rsidRPr="00571B53">
              <w:rPr>
                <w:rFonts w:cs="Times New Roman"/>
                <w:color w:val="000000"/>
                <w:szCs w:val="24"/>
              </w:rPr>
              <w:t>75,50</w:t>
            </w:r>
          </w:p>
        </w:tc>
        <w:tc>
          <w:tcPr>
            <w:tcW w:w="1738" w:type="dxa"/>
            <w:noWrap/>
            <w:vAlign w:val="center"/>
          </w:tcPr>
          <w:p w:rsidR="00571B53" w:rsidRPr="004D6A9A" w:rsidRDefault="00571B53" w:rsidP="00322534">
            <w:pPr>
              <w:spacing w:before="120" w:after="120" w:line="240" w:lineRule="auto"/>
              <w:jc w:val="center"/>
              <w:rPr>
                <w:szCs w:val="24"/>
                <w:lang w:eastAsia="pt-BR"/>
              </w:rPr>
            </w:pPr>
            <w:r w:rsidRPr="004D6A9A">
              <w:rPr>
                <w:szCs w:val="24"/>
                <w:lang w:eastAsia="pt-BR"/>
              </w:rPr>
              <w:t>80</w:t>
            </w:r>
          </w:p>
        </w:tc>
        <w:tc>
          <w:tcPr>
            <w:tcW w:w="1162" w:type="dxa"/>
            <w:noWrap/>
            <w:vAlign w:val="center"/>
          </w:tcPr>
          <w:p w:rsidR="00571B53" w:rsidRPr="006F5452" w:rsidRDefault="00571B53" w:rsidP="00571B53">
            <w:pPr>
              <w:jc w:val="center"/>
            </w:pPr>
            <w:r w:rsidRPr="006F5452">
              <w:t>4,50</w:t>
            </w:r>
          </w:p>
        </w:tc>
      </w:tr>
      <w:tr w:rsidR="00571B53" w:rsidRPr="00621135" w:rsidTr="00571B53">
        <w:trPr>
          <w:trHeight w:val="300"/>
          <w:jc w:val="center"/>
        </w:trPr>
        <w:tc>
          <w:tcPr>
            <w:tcW w:w="2236" w:type="dxa"/>
            <w:noWrap/>
          </w:tcPr>
          <w:p w:rsidR="00571B53" w:rsidRPr="00B571D8" w:rsidRDefault="00571B53" w:rsidP="00322534">
            <w:pPr>
              <w:spacing w:before="120" w:after="120" w:line="240" w:lineRule="auto"/>
              <w:rPr>
                <w:szCs w:val="24"/>
                <w:lang w:eastAsia="pt-BR"/>
              </w:rPr>
            </w:pPr>
            <w:r w:rsidRPr="00B571D8">
              <w:rPr>
                <w:szCs w:val="24"/>
                <w:lang w:eastAsia="pt-BR"/>
              </w:rPr>
              <w:t>Expedicionário Alicio</w:t>
            </w:r>
          </w:p>
        </w:tc>
        <w:tc>
          <w:tcPr>
            <w:tcW w:w="2135" w:type="dxa"/>
            <w:noWrap/>
            <w:vAlign w:val="center"/>
          </w:tcPr>
          <w:p w:rsidR="00571B53" w:rsidRPr="004D6A9A" w:rsidRDefault="00571B53" w:rsidP="000917CE">
            <w:pPr>
              <w:spacing w:before="120" w:after="120" w:line="240" w:lineRule="auto"/>
              <w:jc w:val="center"/>
              <w:rPr>
                <w:rFonts w:cs="Times New Roman"/>
                <w:szCs w:val="24"/>
                <w:lang w:eastAsia="pt-BR"/>
              </w:rPr>
            </w:pPr>
            <w:r w:rsidRPr="004D6A9A">
              <w:rPr>
                <w:rFonts w:cs="Times New Roman"/>
                <w:szCs w:val="24"/>
                <w:lang w:eastAsia="pt-BR"/>
              </w:rPr>
              <w:t>2,</w:t>
            </w:r>
            <w:r>
              <w:rPr>
                <w:rFonts w:cs="Times New Roman"/>
                <w:szCs w:val="24"/>
                <w:lang w:eastAsia="pt-BR"/>
              </w:rPr>
              <w:t>17</w:t>
            </w:r>
          </w:p>
        </w:tc>
        <w:tc>
          <w:tcPr>
            <w:tcW w:w="1336" w:type="dxa"/>
            <w:noWrap/>
            <w:vAlign w:val="center"/>
          </w:tcPr>
          <w:p w:rsidR="00571B53" w:rsidRPr="00571B53" w:rsidRDefault="00571B53" w:rsidP="00571B53">
            <w:pPr>
              <w:jc w:val="center"/>
              <w:rPr>
                <w:rFonts w:cs="Times New Roman"/>
                <w:color w:val="000000"/>
                <w:szCs w:val="24"/>
              </w:rPr>
            </w:pPr>
            <w:r w:rsidRPr="00571B53">
              <w:rPr>
                <w:rFonts w:cs="Times New Roman"/>
                <w:color w:val="000000"/>
                <w:szCs w:val="24"/>
              </w:rPr>
              <w:t>50,10</w:t>
            </w:r>
          </w:p>
        </w:tc>
        <w:tc>
          <w:tcPr>
            <w:tcW w:w="1738" w:type="dxa"/>
            <w:noWrap/>
            <w:vAlign w:val="center"/>
          </w:tcPr>
          <w:p w:rsidR="00571B53" w:rsidRPr="004D6A9A" w:rsidRDefault="00571B53" w:rsidP="00322534">
            <w:pPr>
              <w:spacing w:before="120" w:after="120" w:line="240" w:lineRule="auto"/>
              <w:jc w:val="center"/>
              <w:rPr>
                <w:szCs w:val="24"/>
                <w:lang w:eastAsia="pt-BR"/>
              </w:rPr>
            </w:pPr>
            <w:r w:rsidRPr="004D6A9A">
              <w:rPr>
                <w:szCs w:val="24"/>
                <w:lang w:eastAsia="pt-BR"/>
              </w:rPr>
              <w:t>30</w:t>
            </w:r>
          </w:p>
        </w:tc>
        <w:tc>
          <w:tcPr>
            <w:tcW w:w="1162" w:type="dxa"/>
            <w:noWrap/>
            <w:vAlign w:val="center"/>
          </w:tcPr>
          <w:p w:rsidR="00571B53" w:rsidRPr="006F5452" w:rsidRDefault="00571B53" w:rsidP="00571B53">
            <w:pPr>
              <w:jc w:val="center"/>
            </w:pPr>
            <w:r w:rsidRPr="006F5452">
              <w:t>-20,10</w:t>
            </w:r>
          </w:p>
        </w:tc>
      </w:tr>
      <w:tr w:rsidR="00571B53" w:rsidRPr="00621135" w:rsidTr="00571B53">
        <w:trPr>
          <w:trHeight w:val="300"/>
          <w:jc w:val="center"/>
        </w:trPr>
        <w:tc>
          <w:tcPr>
            <w:tcW w:w="2236" w:type="dxa"/>
            <w:noWrap/>
          </w:tcPr>
          <w:p w:rsidR="00571B53" w:rsidRPr="00B571D8" w:rsidRDefault="00571B53" w:rsidP="00322534">
            <w:pPr>
              <w:spacing w:before="120" w:after="120" w:line="240" w:lineRule="auto"/>
              <w:rPr>
                <w:szCs w:val="24"/>
                <w:lang w:eastAsia="pt-BR"/>
              </w:rPr>
            </w:pPr>
            <w:r w:rsidRPr="00B571D8">
              <w:rPr>
                <w:szCs w:val="24"/>
                <w:lang w:eastAsia="pt-BR"/>
              </w:rPr>
              <w:t>Mundo Novo de Minas</w:t>
            </w:r>
          </w:p>
        </w:tc>
        <w:tc>
          <w:tcPr>
            <w:tcW w:w="2135" w:type="dxa"/>
            <w:noWrap/>
            <w:vAlign w:val="center"/>
          </w:tcPr>
          <w:p w:rsidR="00571B53" w:rsidRPr="004D6A9A" w:rsidRDefault="00571B53" w:rsidP="000917CE">
            <w:pPr>
              <w:spacing w:before="120" w:after="120" w:line="240" w:lineRule="auto"/>
              <w:jc w:val="center"/>
              <w:rPr>
                <w:rFonts w:cs="Times New Roman"/>
                <w:szCs w:val="24"/>
                <w:lang w:eastAsia="pt-BR"/>
              </w:rPr>
            </w:pPr>
            <w:r w:rsidRPr="004D6A9A">
              <w:rPr>
                <w:rFonts w:cs="Times New Roman"/>
                <w:szCs w:val="24"/>
                <w:lang w:eastAsia="pt-BR"/>
              </w:rPr>
              <w:t>2,</w:t>
            </w:r>
            <w:r>
              <w:rPr>
                <w:rFonts w:cs="Times New Roman"/>
                <w:szCs w:val="24"/>
                <w:lang w:eastAsia="pt-BR"/>
              </w:rPr>
              <w:t>26</w:t>
            </w:r>
          </w:p>
        </w:tc>
        <w:tc>
          <w:tcPr>
            <w:tcW w:w="1336" w:type="dxa"/>
            <w:noWrap/>
            <w:vAlign w:val="center"/>
          </w:tcPr>
          <w:p w:rsidR="00571B53" w:rsidRPr="00571B53" w:rsidRDefault="00571B53" w:rsidP="00571B53">
            <w:pPr>
              <w:jc w:val="center"/>
              <w:rPr>
                <w:rFonts w:cs="Times New Roman"/>
                <w:color w:val="000000"/>
                <w:szCs w:val="24"/>
              </w:rPr>
            </w:pPr>
            <w:r w:rsidRPr="00571B53">
              <w:rPr>
                <w:rFonts w:cs="Times New Roman"/>
                <w:color w:val="000000"/>
                <w:szCs w:val="24"/>
              </w:rPr>
              <w:t>52,18</w:t>
            </w:r>
          </w:p>
        </w:tc>
        <w:tc>
          <w:tcPr>
            <w:tcW w:w="1738" w:type="dxa"/>
            <w:noWrap/>
            <w:vAlign w:val="center"/>
          </w:tcPr>
          <w:p w:rsidR="00571B53" w:rsidRPr="004D6A9A" w:rsidRDefault="00571B53" w:rsidP="00322534">
            <w:pPr>
              <w:spacing w:before="120" w:after="120" w:line="240" w:lineRule="auto"/>
              <w:jc w:val="center"/>
              <w:rPr>
                <w:szCs w:val="24"/>
                <w:lang w:eastAsia="pt-BR"/>
              </w:rPr>
            </w:pPr>
            <w:r w:rsidRPr="004D6A9A">
              <w:rPr>
                <w:szCs w:val="24"/>
                <w:lang w:eastAsia="pt-BR"/>
              </w:rPr>
              <w:t>40</w:t>
            </w:r>
          </w:p>
        </w:tc>
        <w:tc>
          <w:tcPr>
            <w:tcW w:w="1162" w:type="dxa"/>
            <w:noWrap/>
            <w:vAlign w:val="center"/>
          </w:tcPr>
          <w:p w:rsidR="00571B53" w:rsidRPr="006F5452" w:rsidRDefault="00571B53" w:rsidP="00571B53">
            <w:pPr>
              <w:jc w:val="center"/>
            </w:pPr>
            <w:r w:rsidRPr="006F5452">
              <w:t>-12,18</w:t>
            </w:r>
          </w:p>
        </w:tc>
      </w:tr>
      <w:tr w:rsidR="00571B53" w:rsidRPr="00621135" w:rsidTr="00571B53">
        <w:trPr>
          <w:trHeight w:val="300"/>
          <w:jc w:val="center"/>
        </w:trPr>
        <w:tc>
          <w:tcPr>
            <w:tcW w:w="2236" w:type="dxa"/>
            <w:noWrap/>
          </w:tcPr>
          <w:p w:rsidR="00571B53" w:rsidRPr="00B571D8" w:rsidRDefault="00571B53" w:rsidP="00322534">
            <w:pPr>
              <w:spacing w:before="120" w:after="120" w:line="240" w:lineRule="auto"/>
              <w:rPr>
                <w:szCs w:val="24"/>
                <w:lang w:eastAsia="pt-BR"/>
              </w:rPr>
            </w:pPr>
            <w:r w:rsidRPr="00B571D8">
              <w:rPr>
                <w:szCs w:val="24"/>
                <w:lang w:eastAsia="pt-BR"/>
              </w:rPr>
              <w:t>Penha do Capim</w:t>
            </w:r>
          </w:p>
        </w:tc>
        <w:tc>
          <w:tcPr>
            <w:tcW w:w="2135" w:type="dxa"/>
            <w:noWrap/>
            <w:vAlign w:val="center"/>
          </w:tcPr>
          <w:p w:rsidR="00571B53" w:rsidRPr="004D6A9A" w:rsidRDefault="00571B53" w:rsidP="000917CE">
            <w:pPr>
              <w:spacing w:before="120" w:after="120" w:line="240" w:lineRule="auto"/>
              <w:jc w:val="center"/>
              <w:rPr>
                <w:rFonts w:cs="Times New Roman"/>
                <w:szCs w:val="24"/>
                <w:lang w:eastAsia="pt-BR"/>
              </w:rPr>
            </w:pPr>
            <w:r w:rsidRPr="004D6A9A">
              <w:rPr>
                <w:rFonts w:cs="Times New Roman"/>
                <w:szCs w:val="24"/>
                <w:lang w:eastAsia="pt-BR"/>
              </w:rPr>
              <w:t>3,</w:t>
            </w:r>
            <w:r>
              <w:rPr>
                <w:rFonts w:cs="Times New Roman"/>
                <w:szCs w:val="24"/>
                <w:lang w:eastAsia="pt-BR"/>
              </w:rPr>
              <w:t>00</w:t>
            </w:r>
          </w:p>
        </w:tc>
        <w:tc>
          <w:tcPr>
            <w:tcW w:w="1336" w:type="dxa"/>
            <w:noWrap/>
            <w:vAlign w:val="center"/>
          </w:tcPr>
          <w:p w:rsidR="00571B53" w:rsidRPr="00571B53" w:rsidRDefault="00571B53" w:rsidP="00571B53">
            <w:pPr>
              <w:jc w:val="center"/>
              <w:rPr>
                <w:rFonts w:cs="Times New Roman"/>
                <w:color w:val="000000"/>
                <w:szCs w:val="24"/>
              </w:rPr>
            </w:pPr>
            <w:r w:rsidRPr="00571B53">
              <w:rPr>
                <w:rFonts w:cs="Times New Roman"/>
                <w:color w:val="000000"/>
                <w:szCs w:val="24"/>
              </w:rPr>
              <w:t>69,26</w:t>
            </w:r>
          </w:p>
        </w:tc>
        <w:tc>
          <w:tcPr>
            <w:tcW w:w="1738" w:type="dxa"/>
            <w:noWrap/>
            <w:vAlign w:val="center"/>
          </w:tcPr>
          <w:p w:rsidR="00571B53" w:rsidRPr="004D6A9A" w:rsidRDefault="00571B53" w:rsidP="00322534">
            <w:pPr>
              <w:spacing w:before="120" w:after="120" w:line="240" w:lineRule="auto"/>
              <w:jc w:val="center"/>
              <w:rPr>
                <w:szCs w:val="24"/>
                <w:lang w:eastAsia="pt-BR"/>
              </w:rPr>
            </w:pPr>
            <w:r w:rsidRPr="004D6A9A">
              <w:rPr>
                <w:szCs w:val="24"/>
                <w:lang w:eastAsia="pt-BR"/>
              </w:rPr>
              <w:t>60</w:t>
            </w:r>
          </w:p>
        </w:tc>
        <w:tc>
          <w:tcPr>
            <w:tcW w:w="1162" w:type="dxa"/>
            <w:noWrap/>
            <w:vAlign w:val="center"/>
          </w:tcPr>
          <w:p w:rsidR="00571B53" w:rsidRPr="006F5452" w:rsidRDefault="00571B53" w:rsidP="00571B53">
            <w:pPr>
              <w:jc w:val="center"/>
            </w:pPr>
            <w:r w:rsidRPr="006F5452">
              <w:t>-9,26</w:t>
            </w:r>
          </w:p>
        </w:tc>
      </w:tr>
      <w:tr w:rsidR="00571B53" w:rsidRPr="00621135" w:rsidTr="00571B53">
        <w:trPr>
          <w:trHeight w:val="300"/>
          <w:jc w:val="center"/>
        </w:trPr>
        <w:tc>
          <w:tcPr>
            <w:tcW w:w="2236" w:type="dxa"/>
            <w:noWrap/>
          </w:tcPr>
          <w:p w:rsidR="00571B53" w:rsidRPr="00B571D8" w:rsidRDefault="00571B53" w:rsidP="00322534">
            <w:pPr>
              <w:spacing w:before="120" w:after="120" w:line="240" w:lineRule="auto"/>
              <w:rPr>
                <w:szCs w:val="24"/>
                <w:lang w:eastAsia="pt-BR"/>
              </w:rPr>
            </w:pPr>
            <w:r w:rsidRPr="00B571D8">
              <w:rPr>
                <w:szCs w:val="24"/>
                <w:lang w:eastAsia="pt-BR"/>
              </w:rPr>
              <w:t>Santo Antônio do Rio Doce</w:t>
            </w:r>
          </w:p>
        </w:tc>
        <w:tc>
          <w:tcPr>
            <w:tcW w:w="2135" w:type="dxa"/>
            <w:noWrap/>
            <w:vAlign w:val="center"/>
          </w:tcPr>
          <w:p w:rsidR="00571B53" w:rsidRPr="004D6A9A" w:rsidRDefault="00571B53" w:rsidP="000917CE">
            <w:pPr>
              <w:spacing w:before="120" w:after="120" w:line="240" w:lineRule="auto"/>
              <w:jc w:val="center"/>
              <w:rPr>
                <w:rFonts w:cs="Times New Roman"/>
                <w:szCs w:val="24"/>
                <w:lang w:eastAsia="pt-BR"/>
              </w:rPr>
            </w:pPr>
            <w:r>
              <w:rPr>
                <w:rFonts w:cs="Times New Roman"/>
                <w:szCs w:val="24"/>
                <w:lang w:eastAsia="pt-BR"/>
              </w:rPr>
              <w:t>3</w:t>
            </w:r>
            <w:r w:rsidRPr="004D6A9A">
              <w:rPr>
                <w:rFonts w:cs="Times New Roman"/>
                <w:szCs w:val="24"/>
                <w:lang w:eastAsia="pt-BR"/>
              </w:rPr>
              <w:t>,</w:t>
            </w:r>
            <w:r>
              <w:rPr>
                <w:rFonts w:cs="Times New Roman"/>
                <w:szCs w:val="24"/>
                <w:lang w:eastAsia="pt-BR"/>
              </w:rPr>
              <w:t>93</w:t>
            </w:r>
          </w:p>
        </w:tc>
        <w:tc>
          <w:tcPr>
            <w:tcW w:w="1336" w:type="dxa"/>
            <w:noWrap/>
            <w:vAlign w:val="center"/>
          </w:tcPr>
          <w:p w:rsidR="00571B53" w:rsidRPr="00571B53" w:rsidRDefault="00571B53" w:rsidP="00571B53">
            <w:pPr>
              <w:jc w:val="center"/>
              <w:rPr>
                <w:rFonts w:cs="Times New Roman"/>
                <w:color w:val="000000"/>
                <w:szCs w:val="24"/>
              </w:rPr>
            </w:pPr>
            <w:r w:rsidRPr="00571B53">
              <w:rPr>
                <w:rFonts w:cs="Times New Roman"/>
                <w:color w:val="000000"/>
                <w:szCs w:val="24"/>
              </w:rPr>
              <w:t>90,74</w:t>
            </w:r>
          </w:p>
        </w:tc>
        <w:tc>
          <w:tcPr>
            <w:tcW w:w="1738" w:type="dxa"/>
            <w:noWrap/>
            <w:vAlign w:val="center"/>
          </w:tcPr>
          <w:p w:rsidR="00571B53" w:rsidRPr="004D6A9A" w:rsidRDefault="00571B53" w:rsidP="00322534">
            <w:pPr>
              <w:spacing w:before="120" w:after="120" w:line="240" w:lineRule="auto"/>
              <w:jc w:val="center"/>
              <w:rPr>
                <w:szCs w:val="24"/>
                <w:lang w:eastAsia="pt-BR"/>
              </w:rPr>
            </w:pPr>
            <w:r w:rsidRPr="004D6A9A">
              <w:rPr>
                <w:szCs w:val="24"/>
                <w:lang w:eastAsia="pt-BR"/>
              </w:rPr>
              <w:t>100</w:t>
            </w:r>
          </w:p>
        </w:tc>
        <w:tc>
          <w:tcPr>
            <w:tcW w:w="1162" w:type="dxa"/>
            <w:noWrap/>
            <w:vAlign w:val="center"/>
          </w:tcPr>
          <w:p w:rsidR="00571B53" w:rsidRPr="006F5452" w:rsidRDefault="00571B53" w:rsidP="00571B53">
            <w:pPr>
              <w:jc w:val="center"/>
            </w:pPr>
            <w:r w:rsidRPr="006F5452">
              <w:t>9,26</w:t>
            </w:r>
          </w:p>
        </w:tc>
      </w:tr>
      <w:tr w:rsidR="00571B53" w:rsidRPr="00621135" w:rsidTr="00571B53">
        <w:trPr>
          <w:trHeight w:val="300"/>
          <w:jc w:val="center"/>
        </w:trPr>
        <w:tc>
          <w:tcPr>
            <w:tcW w:w="2236" w:type="dxa"/>
            <w:noWrap/>
          </w:tcPr>
          <w:p w:rsidR="00571B53" w:rsidRPr="00B571D8" w:rsidRDefault="00571B53" w:rsidP="00322534">
            <w:pPr>
              <w:spacing w:before="120" w:after="120" w:line="240" w:lineRule="auto"/>
              <w:rPr>
                <w:szCs w:val="24"/>
                <w:lang w:eastAsia="pt-BR"/>
              </w:rPr>
            </w:pPr>
            <w:r w:rsidRPr="00B571D8">
              <w:rPr>
                <w:szCs w:val="24"/>
                <w:lang w:eastAsia="pt-BR"/>
              </w:rPr>
              <w:t>São Sebastião da Vala</w:t>
            </w:r>
          </w:p>
        </w:tc>
        <w:tc>
          <w:tcPr>
            <w:tcW w:w="2135" w:type="dxa"/>
            <w:noWrap/>
            <w:vAlign w:val="center"/>
          </w:tcPr>
          <w:p w:rsidR="00571B53" w:rsidRPr="004D6A9A" w:rsidRDefault="00571B53" w:rsidP="000917CE">
            <w:pPr>
              <w:spacing w:before="120" w:after="120" w:line="240" w:lineRule="auto"/>
              <w:jc w:val="center"/>
              <w:rPr>
                <w:rFonts w:cs="Times New Roman"/>
                <w:szCs w:val="24"/>
                <w:lang w:eastAsia="pt-BR"/>
              </w:rPr>
            </w:pPr>
            <w:r w:rsidRPr="004D6A9A">
              <w:rPr>
                <w:rFonts w:cs="Times New Roman"/>
                <w:szCs w:val="24"/>
                <w:lang w:eastAsia="pt-BR"/>
              </w:rPr>
              <w:t>4,</w:t>
            </w:r>
            <w:r>
              <w:rPr>
                <w:rFonts w:cs="Times New Roman"/>
                <w:szCs w:val="24"/>
                <w:lang w:eastAsia="pt-BR"/>
              </w:rPr>
              <w:t>20</w:t>
            </w:r>
          </w:p>
        </w:tc>
        <w:tc>
          <w:tcPr>
            <w:tcW w:w="1336" w:type="dxa"/>
            <w:noWrap/>
            <w:vAlign w:val="center"/>
          </w:tcPr>
          <w:p w:rsidR="00571B53" w:rsidRPr="00571B53" w:rsidRDefault="00571B53" w:rsidP="00571B53">
            <w:pPr>
              <w:jc w:val="center"/>
              <w:rPr>
                <w:rFonts w:cs="Times New Roman"/>
                <w:color w:val="000000"/>
                <w:szCs w:val="24"/>
              </w:rPr>
            </w:pPr>
            <w:r w:rsidRPr="00571B53">
              <w:rPr>
                <w:rFonts w:cs="Times New Roman"/>
                <w:color w:val="000000"/>
                <w:szCs w:val="24"/>
              </w:rPr>
              <w:t>96,97</w:t>
            </w:r>
          </w:p>
        </w:tc>
        <w:tc>
          <w:tcPr>
            <w:tcW w:w="1738" w:type="dxa"/>
            <w:noWrap/>
            <w:vAlign w:val="center"/>
          </w:tcPr>
          <w:p w:rsidR="00571B53" w:rsidRPr="004D6A9A" w:rsidRDefault="00571B53" w:rsidP="00322534">
            <w:pPr>
              <w:spacing w:before="120" w:after="120" w:line="240" w:lineRule="auto"/>
              <w:jc w:val="center"/>
              <w:rPr>
                <w:szCs w:val="24"/>
                <w:lang w:eastAsia="pt-BR"/>
              </w:rPr>
            </w:pPr>
            <w:r w:rsidRPr="004D6A9A">
              <w:rPr>
                <w:szCs w:val="24"/>
                <w:lang w:eastAsia="pt-BR"/>
              </w:rPr>
              <w:t>60</w:t>
            </w:r>
          </w:p>
        </w:tc>
        <w:tc>
          <w:tcPr>
            <w:tcW w:w="1162" w:type="dxa"/>
            <w:noWrap/>
            <w:vAlign w:val="center"/>
          </w:tcPr>
          <w:p w:rsidR="00571B53" w:rsidRPr="006F5452" w:rsidRDefault="00571B53" w:rsidP="00571B53">
            <w:pPr>
              <w:jc w:val="center"/>
            </w:pPr>
            <w:r w:rsidRPr="006F5452">
              <w:t>-36,97</w:t>
            </w:r>
          </w:p>
        </w:tc>
      </w:tr>
      <w:tr w:rsidR="00571B53" w:rsidRPr="00621135" w:rsidTr="00571B53">
        <w:trPr>
          <w:trHeight w:val="300"/>
          <w:jc w:val="center"/>
        </w:trPr>
        <w:tc>
          <w:tcPr>
            <w:tcW w:w="2236" w:type="dxa"/>
            <w:noWrap/>
          </w:tcPr>
          <w:p w:rsidR="00571B53" w:rsidRPr="00B571D8" w:rsidRDefault="00571B53" w:rsidP="00322534">
            <w:pPr>
              <w:spacing w:before="120" w:after="120" w:line="240" w:lineRule="auto"/>
              <w:rPr>
                <w:szCs w:val="24"/>
                <w:lang w:eastAsia="pt-BR"/>
              </w:rPr>
            </w:pPr>
            <w:r w:rsidRPr="00B571D8">
              <w:rPr>
                <w:szCs w:val="24"/>
                <w:lang w:eastAsia="pt-BR"/>
              </w:rPr>
              <w:t>Tabaúna</w:t>
            </w:r>
          </w:p>
        </w:tc>
        <w:tc>
          <w:tcPr>
            <w:tcW w:w="2135" w:type="dxa"/>
            <w:noWrap/>
            <w:vAlign w:val="center"/>
          </w:tcPr>
          <w:p w:rsidR="00571B53" w:rsidRPr="004D6A9A" w:rsidRDefault="00571B53" w:rsidP="000917CE">
            <w:pPr>
              <w:spacing w:before="120" w:after="120" w:line="240" w:lineRule="auto"/>
              <w:jc w:val="center"/>
              <w:rPr>
                <w:rFonts w:cs="Times New Roman"/>
                <w:szCs w:val="24"/>
                <w:lang w:eastAsia="pt-BR"/>
              </w:rPr>
            </w:pPr>
            <w:r>
              <w:rPr>
                <w:rFonts w:cs="Times New Roman"/>
                <w:szCs w:val="24"/>
                <w:lang w:eastAsia="pt-BR"/>
              </w:rPr>
              <w:t>3</w:t>
            </w:r>
            <w:r w:rsidRPr="004D6A9A">
              <w:rPr>
                <w:rFonts w:cs="Times New Roman"/>
                <w:szCs w:val="24"/>
                <w:lang w:eastAsia="pt-BR"/>
              </w:rPr>
              <w:t>,</w:t>
            </w:r>
            <w:r>
              <w:rPr>
                <w:rFonts w:cs="Times New Roman"/>
                <w:szCs w:val="24"/>
                <w:lang w:eastAsia="pt-BR"/>
              </w:rPr>
              <w:t>73</w:t>
            </w:r>
          </w:p>
        </w:tc>
        <w:tc>
          <w:tcPr>
            <w:tcW w:w="1336" w:type="dxa"/>
            <w:noWrap/>
            <w:vAlign w:val="center"/>
          </w:tcPr>
          <w:p w:rsidR="00571B53" w:rsidRPr="00571B53" w:rsidRDefault="00571B53" w:rsidP="00571B53">
            <w:pPr>
              <w:jc w:val="center"/>
              <w:rPr>
                <w:rFonts w:cs="Times New Roman"/>
                <w:color w:val="000000"/>
                <w:szCs w:val="24"/>
              </w:rPr>
            </w:pPr>
            <w:r w:rsidRPr="00571B53">
              <w:rPr>
                <w:rFonts w:cs="Times New Roman"/>
                <w:color w:val="000000"/>
                <w:szCs w:val="24"/>
              </w:rPr>
              <w:t>86,12</w:t>
            </w:r>
          </w:p>
        </w:tc>
        <w:tc>
          <w:tcPr>
            <w:tcW w:w="1738" w:type="dxa"/>
            <w:noWrap/>
            <w:vAlign w:val="center"/>
          </w:tcPr>
          <w:p w:rsidR="00571B53" w:rsidRPr="004D6A9A" w:rsidRDefault="00571B53" w:rsidP="00322534">
            <w:pPr>
              <w:spacing w:before="120" w:after="120" w:line="240" w:lineRule="auto"/>
              <w:jc w:val="center"/>
              <w:rPr>
                <w:szCs w:val="24"/>
                <w:lang w:eastAsia="pt-BR"/>
              </w:rPr>
            </w:pPr>
            <w:r w:rsidRPr="004D6A9A">
              <w:rPr>
                <w:szCs w:val="24"/>
                <w:lang w:eastAsia="pt-BR"/>
              </w:rPr>
              <w:t>30</w:t>
            </w:r>
          </w:p>
        </w:tc>
        <w:tc>
          <w:tcPr>
            <w:tcW w:w="1162" w:type="dxa"/>
            <w:noWrap/>
            <w:vAlign w:val="center"/>
          </w:tcPr>
          <w:p w:rsidR="00571B53" w:rsidRPr="006F5452" w:rsidRDefault="00571B53" w:rsidP="00571B53">
            <w:pPr>
              <w:jc w:val="center"/>
            </w:pPr>
            <w:r w:rsidRPr="006F5452">
              <w:t>-56,12</w:t>
            </w:r>
          </w:p>
        </w:tc>
      </w:tr>
      <w:tr w:rsidR="00571B53" w:rsidRPr="00621135" w:rsidTr="00571B53">
        <w:trPr>
          <w:trHeight w:val="300"/>
          <w:jc w:val="center"/>
        </w:trPr>
        <w:tc>
          <w:tcPr>
            <w:tcW w:w="2236" w:type="dxa"/>
            <w:noWrap/>
          </w:tcPr>
          <w:p w:rsidR="00571B53" w:rsidRPr="00B571D8" w:rsidRDefault="00571B53" w:rsidP="00322534">
            <w:pPr>
              <w:spacing w:before="120" w:after="120" w:line="240" w:lineRule="auto"/>
              <w:rPr>
                <w:szCs w:val="24"/>
                <w:lang w:eastAsia="pt-BR"/>
              </w:rPr>
            </w:pPr>
            <w:r w:rsidRPr="00B571D8">
              <w:rPr>
                <w:szCs w:val="24"/>
                <w:lang w:eastAsia="pt-BR"/>
              </w:rPr>
              <w:t>Aimorés (Total)</w:t>
            </w:r>
          </w:p>
        </w:tc>
        <w:tc>
          <w:tcPr>
            <w:tcW w:w="2135" w:type="dxa"/>
            <w:noWrap/>
            <w:vAlign w:val="center"/>
          </w:tcPr>
          <w:p w:rsidR="00571B53" w:rsidRPr="004D6A9A" w:rsidRDefault="00571B53" w:rsidP="000917CE">
            <w:pPr>
              <w:spacing w:before="120" w:after="120" w:line="240" w:lineRule="auto"/>
              <w:jc w:val="center"/>
              <w:rPr>
                <w:rFonts w:cs="Times New Roman"/>
                <w:szCs w:val="24"/>
                <w:lang w:eastAsia="pt-BR"/>
              </w:rPr>
            </w:pPr>
            <w:r>
              <w:rPr>
                <w:rFonts w:cs="Times New Roman"/>
                <w:szCs w:val="24"/>
                <w:lang w:eastAsia="pt-BR"/>
              </w:rPr>
              <w:t>64</w:t>
            </w:r>
            <w:r w:rsidRPr="004D6A9A">
              <w:rPr>
                <w:rFonts w:cs="Times New Roman"/>
                <w:szCs w:val="24"/>
                <w:lang w:eastAsia="pt-BR"/>
              </w:rPr>
              <w:t>,85</w:t>
            </w:r>
          </w:p>
        </w:tc>
        <w:tc>
          <w:tcPr>
            <w:tcW w:w="1336" w:type="dxa"/>
            <w:noWrap/>
            <w:vAlign w:val="center"/>
          </w:tcPr>
          <w:p w:rsidR="00571B53" w:rsidRPr="00571B53" w:rsidRDefault="00571B53" w:rsidP="00571B53">
            <w:pPr>
              <w:jc w:val="center"/>
              <w:rPr>
                <w:rFonts w:cs="Times New Roman"/>
                <w:color w:val="000000"/>
                <w:szCs w:val="24"/>
              </w:rPr>
            </w:pPr>
            <w:r w:rsidRPr="00571B53">
              <w:rPr>
                <w:rFonts w:cs="Times New Roman"/>
                <w:color w:val="000000"/>
                <w:szCs w:val="24"/>
              </w:rPr>
              <w:t>1497,26</w:t>
            </w:r>
          </w:p>
        </w:tc>
        <w:tc>
          <w:tcPr>
            <w:tcW w:w="1738" w:type="dxa"/>
            <w:noWrap/>
            <w:vAlign w:val="center"/>
          </w:tcPr>
          <w:p w:rsidR="00571B53" w:rsidRPr="004D6A9A" w:rsidRDefault="00571B53" w:rsidP="00322534">
            <w:pPr>
              <w:spacing w:before="120" w:after="120" w:line="240" w:lineRule="auto"/>
              <w:jc w:val="center"/>
              <w:rPr>
                <w:szCs w:val="24"/>
                <w:lang w:eastAsia="pt-BR"/>
              </w:rPr>
            </w:pPr>
            <w:r w:rsidRPr="004D6A9A">
              <w:rPr>
                <w:szCs w:val="24"/>
                <w:lang w:eastAsia="pt-BR"/>
              </w:rPr>
              <w:t>990</w:t>
            </w:r>
            <w:r w:rsidRPr="004D6A9A">
              <w:rPr>
                <w:rStyle w:val="Refdenotaderodap"/>
                <w:szCs w:val="24"/>
                <w:lang w:eastAsia="pt-BR"/>
              </w:rPr>
              <w:footnoteReference w:id="13"/>
            </w:r>
          </w:p>
        </w:tc>
        <w:tc>
          <w:tcPr>
            <w:tcW w:w="1162" w:type="dxa"/>
            <w:noWrap/>
            <w:vAlign w:val="center"/>
          </w:tcPr>
          <w:p w:rsidR="00571B53" w:rsidRDefault="00571B53" w:rsidP="00571B53">
            <w:pPr>
              <w:jc w:val="center"/>
            </w:pPr>
            <w:r w:rsidRPr="006F5452">
              <w:t>-547,26</w:t>
            </w:r>
          </w:p>
        </w:tc>
      </w:tr>
    </w:tbl>
    <w:p w:rsidR="00E32574" w:rsidRDefault="00E32574" w:rsidP="008846C3">
      <w:pPr>
        <w:pStyle w:val="Fonte"/>
        <w:rPr>
          <w:lang w:eastAsia="pt-BR"/>
        </w:rPr>
      </w:pPr>
      <w:r w:rsidRPr="00017D6A">
        <w:rPr>
          <w:lang w:eastAsia="pt-BR"/>
        </w:rPr>
        <w:t>Fonte: Adaptado de SAAE, 2013.</w:t>
      </w:r>
    </w:p>
    <w:p w:rsidR="00E32574" w:rsidRPr="00082391" w:rsidRDefault="006221C2" w:rsidP="00971B37">
      <w:pPr>
        <w:pStyle w:val="Titulo"/>
      </w:pPr>
      <w:bookmarkStart w:id="221" w:name="_Toc372559098"/>
      <w:bookmarkStart w:id="222" w:name="_Toc372789530"/>
      <w:r>
        <w:t>11.</w:t>
      </w:r>
      <w:r w:rsidR="004D6A9A">
        <w:t>6</w:t>
      </w:r>
      <w:r>
        <w:t xml:space="preserve"> </w:t>
      </w:r>
      <w:r w:rsidR="00E32574" w:rsidRPr="00082391">
        <w:t>Tratamento e Distribuição</w:t>
      </w:r>
      <w:bookmarkEnd w:id="221"/>
      <w:bookmarkEnd w:id="222"/>
    </w:p>
    <w:p w:rsidR="00E32574" w:rsidRPr="006100DC" w:rsidRDefault="00E32574" w:rsidP="00E32574">
      <w:pPr>
        <w:pStyle w:val="CM71"/>
        <w:spacing w:line="360" w:lineRule="auto"/>
        <w:ind w:firstLine="708"/>
        <w:jc w:val="both"/>
      </w:pPr>
      <w:r w:rsidRPr="007D3051">
        <w:rPr>
          <w:rFonts w:ascii="Times New Roman" w:hAnsi="Times New Roman" w:cs="Times New Roman"/>
        </w:rPr>
        <w:t xml:space="preserve">O SAAE conta com </w:t>
      </w:r>
      <w:r w:rsidRPr="00670D63">
        <w:rPr>
          <w:rFonts w:ascii="Times New Roman" w:hAnsi="Times New Roman" w:cs="Times New Roman"/>
        </w:rPr>
        <w:t>doze ETA</w:t>
      </w:r>
      <w:r>
        <w:rPr>
          <w:rFonts w:ascii="Times New Roman" w:hAnsi="Times New Roman" w:cs="Times New Roman"/>
        </w:rPr>
        <w:t>’s</w:t>
      </w:r>
      <w:r w:rsidRPr="007D3051">
        <w:rPr>
          <w:rFonts w:ascii="Times New Roman" w:hAnsi="Times New Roman" w:cs="Times New Roman"/>
        </w:rPr>
        <w:t xml:space="preserve"> operando com o sistema convencional de tratamento de água, realizando as etapas de coagulação, floculação, decantação, filtração e desinfecção da água, conforme </w:t>
      </w:r>
      <w:r w:rsidR="00226813">
        <w:rPr>
          <w:rFonts w:ascii="Times New Roman" w:hAnsi="Times New Roman" w:cs="Times New Roman"/>
        </w:rPr>
        <w:t>o Quadro 20</w:t>
      </w:r>
      <w:r w:rsidRPr="007D3051">
        <w:rPr>
          <w:rFonts w:ascii="Times New Roman" w:hAnsi="Times New Roman" w:cs="Times New Roman"/>
        </w:rPr>
        <w:t xml:space="preserve">. </w:t>
      </w:r>
    </w:p>
    <w:p w:rsidR="00E32574" w:rsidRDefault="00E32574" w:rsidP="00E32574">
      <w:pPr>
        <w:widowControl w:val="0"/>
        <w:autoSpaceDE w:val="0"/>
        <w:autoSpaceDN w:val="0"/>
        <w:adjustRightInd w:val="0"/>
        <w:spacing w:after="0" w:line="231" w:lineRule="atLeast"/>
        <w:jc w:val="center"/>
        <w:rPr>
          <w:b/>
          <w:bCs/>
          <w:color w:val="000000"/>
          <w:szCs w:val="24"/>
        </w:rPr>
        <w:sectPr w:rsidR="00E32574" w:rsidSect="003C6612">
          <w:headerReference w:type="default" r:id="rId89"/>
          <w:pgSz w:w="11906" w:h="16838"/>
          <w:pgMar w:top="851" w:right="1418" w:bottom="851" w:left="1701" w:header="709" w:footer="709" w:gutter="0"/>
          <w:cols w:space="708"/>
          <w:docGrid w:linePitch="360"/>
        </w:sectPr>
      </w:pPr>
    </w:p>
    <w:p w:rsidR="008846C3" w:rsidRPr="00226813" w:rsidRDefault="0075744C" w:rsidP="004D6A9A">
      <w:pPr>
        <w:pStyle w:val="Legenda"/>
        <w:spacing w:after="0"/>
        <w:rPr>
          <w:b w:val="0"/>
          <w:sz w:val="12"/>
          <w:szCs w:val="12"/>
        </w:rPr>
      </w:pPr>
      <w:bookmarkStart w:id="223" w:name="_Toc372740526"/>
      <w:r>
        <w:lastRenderedPageBreak/>
        <w:t xml:space="preserve">Quadro </w:t>
      </w:r>
      <w:fldSimple w:instr=" SEQ Quadro \* ARABIC ">
        <w:r w:rsidR="004F77E2">
          <w:rPr>
            <w:noProof/>
          </w:rPr>
          <w:t>20</w:t>
        </w:r>
      </w:fldSimple>
      <w:r>
        <w:t xml:space="preserve"> - </w:t>
      </w:r>
      <w:r w:rsidRPr="00BC0946">
        <w:rPr>
          <w:noProof/>
        </w:rPr>
        <w:t>Síntese das informações disponíveis para as Estações de Tratamento de Água de Aimorés, referente ao mês de Agosto/2013</w:t>
      </w:r>
      <w:r>
        <w:rPr>
          <w:noProof/>
        </w:rPr>
        <w:t>.</w:t>
      </w:r>
      <w:bookmarkEnd w:id="223"/>
    </w:p>
    <w:tbl>
      <w:tblPr>
        <w:tblW w:w="15851" w:type="dxa"/>
        <w:jc w:val="center"/>
        <w:tblLayout w:type="fixed"/>
        <w:tblLook w:val="0000" w:firstRow="0" w:lastRow="0" w:firstColumn="0" w:lastColumn="0" w:noHBand="0" w:noVBand="0"/>
      </w:tblPr>
      <w:tblGrid>
        <w:gridCol w:w="567"/>
        <w:gridCol w:w="2127"/>
        <w:gridCol w:w="2977"/>
        <w:gridCol w:w="1272"/>
        <w:gridCol w:w="1412"/>
        <w:gridCol w:w="1418"/>
        <w:gridCol w:w="1542"/>
        <w:gridCol w:w="1559"/>
        <w:gridCol w:w="1559"/>
        <w:gridCol w:w="1418"/>
      </w:tblGrid>
      <w:tr w:rsidR="00E32574" w:rsidRPr="004D6A9A" w:rsidTr="00226813">
        <w:trPr>
          <w:trHeight w:val="715"/>
          <w:jc w:val="center"/>
        </w:trPr>
        <w:tc>
          <w:tcPr>
            <w:tcW w:w="567" w:type="dxa"/>
            <w:tcBorders>
              <w:top w:val="single" w:sz="6" w:space="0" w:color="000000"/>
              <w:left w:val="single" w:sz="2" w:space="0" w:color="000000"/>
              <w:bottom w:val="single" w:sz="6" w:space="0" w:color="000000"/>
              <w:right w:val="single" w:sz="4" w:space="0" w:color="000000"/>
            </w:tcBorders>
            <w:shd w:val="clear" w:color="auto" w:fill="E0E0E0"/>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b/>
                <w:bCs/>
                <w:sz w:val="18"/>
                <w:szCs w:val="18"/>
              </w:rPr>
              <w:t>ID</w:t>
            </w:r>
          </w:p>
        </w:tc>
        <w:tc>
          <w:tcPr>
            <w:tcW w:w="2127" w:type="dxa"/>
            <w:tcBorders>
              <w:top w:val="single" w:sz="6" w:space="0" w:color="000000"/>
              <w:left w:val="single" w:sz="4" w:space="0" w:color="000000"/>
              <w:bottom w:val="single" w:sz="6" w:space="0" w:color="000000"/>
              <w:right w:val="single" w:sz="4" w:space="0" w:color="000000"/>
            </w:tcBorders>
            <w:shd w:val="clear" w:color="auto" w:fill="E0E0E0"/>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b/>
                <w:bCs/>
                <w:sz w:val="18"/>
                <w:szCs w:val="18"/>
              </w:rPr>
              <w:t>Identificação</w:t>
            </w:r>
          </w:p>
        </w:tc>
        <w:tc>
          <w:tcPr>
            <w:tcW w:w="2977" w:type="dxa"/>
            <w:tcBorders>
              <w:top w:val="single" w:sz="6" w:space="0" w:color="000000"/>
              <w:left w:val="single" w:sz="4" w:space="0" w:color="000000"/>
              <w:bottom w:val="single" w:sz="6" w:space="0" w:color="000000"/>
              <w:right w:val="single" w:sz="4" w:space="0" w:color="000000"/>
            </w:tcBorders>
            <w:shd w:val="clear" w:color="auto" w:fill="E0E0E0"/>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b/>
                <w:bCs/>
                <w:sz w:val="18"/>
                <w:szCs w:val="18"/>
              </w:rPr>
              <w:t>Localização</w:t>
            </w:r>
          </w:p>
        </w:tc>
        <w:tc>
          <w:tcPr>
            <w:tcW w:w="1272" w:type="dxa"/>
            <w:tcBorders>
              <w:top w:val="single" w:sz="6" w:space="0" w:color="000000"/>
              <w:left w:val="single" w:sz="4" w:space="0" w:color="000000"/>
              <w:bottom w:val="single" w:sz="6" w:space="0" w:color="000000"/>
              <w:right w:val="single" w:sz="2" w:space="0" w:color="000000"/>
            </w:tcBorders>
            <w:shd w:val="clear" w:color="auto" w:fill="E0E0E0"/>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b/>
                <w:bCs/>
                <w:sz w:val="18"/>
                <w:szCs w:val="18"/>
              </w:rPr>
              <w:t>Capacidade de Tratamento (L.s</w:t>
            </w:r>
            <w:r w:rsidRPr="004D6A9A">
              <w:rPr>
                <w:rFonts w:ascii="Times New Roman" w:hAnsi="Times New Roman" w:cs="Times New Roman"/>
                <w:b/>
                <w:bCs/>
                <w:sz w:val="18"/>
                <w:szCs w:val="18"/>
                <w:vertAlign w:val="superscript"/>
              </w:rPr>
              <w:t>-1</w:t>
            </w:r>
            <w:r w:rsidRPr="004D6A9A">
              <w:rPr>
                <w:rFonts w:ascii="Times New Roman" w:hAnsi="Times New Roman" w:cs="Times New Roman"/>
                <w:b/>
                <w:bCs/>
                <w:sz w:val="18"/>
                <w:szCs w:val="18"/>
              </w:rPr>
              <w:t>)</w:t>
            </w:r>
          </w:p>
        </w:tc>
        <w:tc>
          <w:tcPr>
            <w:tcW w:w="1412" w:type="dxa"/>
            <w:tcBorders>
              <w:top w:val="single" w:sz="6" w:space="0" w:color="000000"/>
              <w:left w:val="single" w:sz="4" w:space="0" w:color="000000"/>
              <w:bottom w:val="single" w:sz="6" w:space="0" w:color="000000"/>
              <w:right w:val="single" w:sz="2" w:space="0" w:color="000000"/>
            </w:tcBorders>
            <w:shd w:val="clear" w:color="auto" w:fill="E0E0E0"/>
            <w:vAlign w:val="center"/>
          </w:tcPr>
          <w:p w:rsidR="00E32574" w:rsidRPr="004D6A9A" w:rsidRDefault="00E32574" w:rsidP="00226813">
            <w:pPr>
              <w:pStyle w:val="Default"/>
              <w:jc w:val="center"/>
              <w:rPr>
                <w:rFonts w:ascii="Times New Roman" w:hAnsi="Times New Roman" w:cs="Times New Roman"/>
                <w:b/>
                <w:bCs/>
                <w:sz w:val="18"/>
                <w:szCs w:val="18"/>
              </w:rPr>
            </w:pPr>
            <w:r w:rsidRPr="004D6A9A">
              <w:rPr>
                <w:rFonts w:ascii="Times New Roman" w:hAnsi="Times New Roman" w:cs="Times New Roman"/>
                <w:b/>
                <w:bCs/>
                <w:sz w:val="18"/>
                <w:szCs w:val="18"/>
              </w:rPr>
              <w:t>Operação (horas</w:t>
            </w:r>
            <w:r w:rsidR="00226813" w:rsidRPr="004D6A9A">
              <w:rPr>
                <w:rFonts w:ascii="Times New Roman" w:hAnsi="Times New Roman" w:cs="Times New Roman"/>
                <w:b/>
                <w:bCs/>
                <w:sz w:val="18"/>
                <w:szCs w:val="18"/>
              </w:rPr>
              <w:t>.</w:t>
            </w:r>
            <w:r w:rsidRPr="004D6A9A">
              <w:rPr>
                <w:rFonts w:ascii="Times New Roman" w:hAnsi="Times New Roman" w:cs="Times New Roman"/>
                <w:b/>
                <w:bCs/>
                <w:sz w:val="18"/>
                <w:szCs w:val="18"/>
              </w:rPr>
              <w:t>mês</w:t>
            </w:r>
            <w:r w:rsidR="00226813" w:rsidRPr="004D6A9A">
              <w:rPr>
                <w:rFonts w:ascii="Times New Roman" w:hAnsi="Times New Roman" w:cs="Times New Roman"/>
                <w:b/>
                <w:bCs/>
                <w:sz w:val="18"/>
                <w:szCs w:val="18"/>
                <w:vertAlign w:val="superscript"/>
              </w:rPr>
              <w:t>-1</w:t>
            </w:r>
            <w:r w:rsidRPr="004D6A9A">
              <w:rPr>
                <w:rFonts w:ascii="Times New Roman" w:hAnsi="Times New Roman" w:cs="Times New Roman"/>
                <w:b/>
                <w:bCs/>
                <w:sz w:val="18"/>
                <w:szCs w:val="18"/>
              </w:rPr>
              <w:t>)</w:t>
            </w:r>
          </w:p>
        </w:tc>
        <w:tc>
          <w:tcPr>
            <w:tcW w:w="1418" w:type="dxa"/>
            <w:tcBorders>
              <w:top w:val="single" w:sz="6" w:space="0" w:color="000000"/>
              <w:left w:val="single" w:sz="4" w:space="0" w:color="000000"/>
              <w:bottom w:val="single" w:sz="6" w:space="0" w:color="000000"/>
              <w:right w:val="single" w:sz="2" w:space="0" w:color="000000"/>
            </w:tcBorders>
            <w:shd w:val="clear" w:color="auto" w:fill="E0E0E0"/>
            <w:vAlign w:val="center"/>
          </w:tcPr>
          <w:p w:rsidR="00E32574" w:rsidRPr="004D6A9A" w:rsidRDefault="00E32574" w:rsidP="00226813">
            <w:pPr>
              <w:pStyle w:val="Default"/>
              <w:jc w:val="center"/>
              <w:rPr>
                <w:rFonts w:ascii="Times New Roman" w:hAnsi="Times New Roman" w:cs="Times New Roman"/>
                <w:b/>
                <w:bCs/>
                <w:sz w:val="18"/>
                <w:szCs w:val="18"/>
              </w:rPr>
            </w:pPr>
            <w:r w:rsidRPr="004D6A9A">
              <w:rPr>
                <w:rFonts w:ascii="Times New Roman" w:hAnsi="Times New Roman" w:cs="Times New Roman"/>
                <w:b/>
                <w:bCs/>
                <w:sz w:val="18"/>
                <w:szCs w:val="18"/>
              </w:rPr>
              <w:t>Média Operacional (horasdia</w:t>
            </w:r>
            <w:r w:rsidR="00226813" w:rsidRPr="004D6A9A">
              <w:rPr>
                <w:rFonts w:ascii="Times New Roman" w:hAnsi="Times New Roman" w:cs="Times New Roman"/>
                <w:b/>
                <w:bCs/>
                <w:sz w:val="18"/>
                <w:szCs w:val="18"/>
                <w:vertAlign w:val="superscript"/>
              </w:rPr>
              <w:t>-1</w:t>
            </w:r>
            <w:r w:rsidRPr="004D6A9A">
              <w:rPr>
                <w:rFonts w:ascii="Times New Roman" w:hAnsi="Times New Roman" w:cs="Times New Roman"/>
                <w:b/>
                <w:bCs/>
                <w:sz w:val="18"/>
                <w:szCs w:val="18"/>
              </w:rPr>
              <w:t>)</w:t>
            </w:r>
          </w:p>
        </w:tc>
        <w:tc>
          <w:tcPr>
            <w:tcW w:w="1542" w:type="dxa"/>
            <w:tcBorders>
              <w:top w:val="single" w:sz="6" w:space="0" w:color="000000"/>
              <w:left w:val="single" w:sz="4" w:space="0" w:color="000000"/>
              <w:bottom w:val="single" w:sz="6" w:space="0" w:color="000000"/>
              <w:right w:val="single" w:sz="2" w:space="0" w:color="000000"/>
            </w:tcBorders>
            <w:shd w:val="clear" w:color="auto" w:fill="E0E0E0"/>
            <w:vAlign w:val="center"/>
          </w:tcPr>
          <w:p w:rsidR="00E32574" w:rsidRPr="004D6A9A" w:rsidRDefault="00E32574" w:rsidP="00E32574">
            <w:pPr>
              <w:pStyle w:val="Default"/>
              <w:jc w:val="center"/>
              <w:rPr>
                <w:rFonts w:ascii="Times New Roman" w:hAnsi="Times New Roman" w:cs="Times New Roman"/>
                <w:b/>
                <w:bCs/>
                <w:sz w:val="18"/>
                <w:szCs w:val="18"/>
              </w:rPr>
            </w:pPr>
            <w:r w:rsidRPr="004D6A9A">
              <w:rPr>
                <w:rFonts w:ascii="Times New Roman" w:hAnsi="Times New Roman" w:cs="Times New Roman"/>
                <w:b/>
                <w:bCs/>
                <w:sz w:val="18"/>
                <w:szCs w:val="18"/>
              </w:rPr>
              <w:t>Volume Aduzido Estimado (m³)</w:t>
            </w:r>
          </w:p>
        </w:tc>
        <w:tc>
          <w:tcPr>
            <w:tcW w:w="1559" w:type="dxa"/>
            <w:tcBorders>
              <w:top w:val="single" w:sz="6" w:space="0" w:color="000000"/>
              <w:left w:val="single" w:sz="4" w:space="0" w:color="000000"/>
              <w:bottom w:val="single" w:sz="6" w:space="0" w:color="000000"/>
              <w:right w:val="single" w:sz="2" w:space="0" w:color="000000"/>
            </w:tcBorders>
            <w:shd w:val="clear" w:color="auto" w:fill="E0E0E0"/>
            <w:vAlign w:val="center"/>
          </w:tcPr>
          <w:p w:rsidR="00E32574" w:rsidRPr="004D6A9A" w:rsidRDefault="00E32574" w:rsidP="00E32574">
            <w:pPr>
              <w:pStyle w:val="Default"/>
              <w:jc w:val="center"/>
              <w:rPr>
                <w:rFonts w:ascii="Times New Roman" w:hAnsi="Times New Roman" w:cs="Times New Roman"/>
                <w:b/>
                <w:bCs/>
                <w:sz w:val="18"/>
                <w:szCs w:val="18"/>
              </w:rPr>
            </w:pPr>
            <w:r w:rsidRPr="004D6A9A">
              <w:rPr>
                <w:rFonts w:ascii="Times New Roman" w:hAnsi="Times New Roman" w:cs="Times New Roman"/>
                <w:b/>
                <w:bCs/>
                <w:sz w:val="18"/>
                <w:szCs w:val="18"/>
              </w:rPr>
              <w:t>Volume Hidrometrado Real (m³)</w:t>
            </w:r>
          </w:p>
        </w:tc>
        <w:tc>
          <w:tcPr>
            <w:tcW w:w="1559" w:type="dxa"/>
            <w:tcBorders>
              <w:top w:val="single" w:sz="6" w:space="0" w:color="000000"/>
              <w:left w:val="single" w:sz="4" w:space="0" w:color="000000"/>
              <w:bottom w:val="single" w:sz="6" w:space="0" w:color="000000"/>
              <w:right w:val="single" w:sz="2" w:space="0" w:color="000000"/>
            </w:tcBorders>
            <w:shd w:val="clear" w:color="auto" w:fill="E0E0E0"/>
            <w:vAlign w:val="center"/>
          </w:tcPr>
          <w:p w:rsidR="00E32574" w:rsidRPr="004D6A9A" w:rsidRDefault="00E32574" w:rsidP="00E32574">
            <w:pPr>
              <w:pStyle w:val="Default"/>
              <w:jc w:val="center"/>
              <w:rPr>
                <w:rFonts w:ascii="Times New Roman" w:hAnsi="Times New Roman" w:cs="Times New Roman"/>
                <w:b/>
                <w:bCs/>
                <w:sz w:val="18"/>
                <w:szCs w:val="18"/>
              </w:rPr>
            </w:pPr>
            <w:r w:rsidRPr="004D6A9A">
              <w:rPr>
                <w:rFonts w:ascii="Times New Roman" w:hAnsi="Times New Roman" w:cs="Times New Roman"/>
                <w:b/>
                <w:bCs/>
                <w:sz w:val="18"/>
                <w:szCs w:val="18"/>
              </w:rPr>
              <w:t>Volume Hidrometrado Estimado(m³)</w:t>
            </w:r>
          </w:p>
        </w:tc>
        <w:tc>
          <w:tcPr>
            <w:tcW w:w="1418" w:type="dxa"/>
            <w:tcBorders>
              <w:top w:val="single" w:sz="6" w:space="0" w:color="000000"/>
              <w:left w:val="single" w:sz="4" w:space="0" w:color="000000"/>
              <w:bottom w:val="single" w:sz="6" w:space="0" w:color="000000"/>
              <w:right w:val="single" w:sz="2" w:space="0" w:color="000000"/>
            </w:tcBorders>
            <w:shd w:val="clear" w:color="auto" w:fill="E0E0E0"/>
            <w:vAlign w:val="center"/>
          </w:tcPr>
          <w:p w:rsidR="00E32574" w:rsidRPr="004D6A9A" w:rsidRDefault="00E32574" w:rsidP="00E32574">
            <w:pPr>
              <w:pStyle w:val="Default"/>
              <w:jc w:val="center"/>
              <w:rPr>
                <w:rFonts w:ascii="Times New Roman" w:hAnsi="Times New Roman" w:cs="Times New Roman"/>
                <w:b/>
                <w:bCs/>
                <w:sz w:val="18"/>
                <w:szCs w:val="18"/>
              </w:rPr>
            </w:pPr>
            <w:r w:rsidRPr="004D6A9A">
              <w:rPr>
                <w:rFonts w:ascii="Times New Roman" w:hAnsi="Times New Roman" w:cs="Times New Roman"/>
                <w:b/>
                <w:bCs/>
                <w:sz w:val="18"/>
                <w:szCs w:val="18"/>
              </w:rPr>
              <w:t>Volume Faturado (m³)</w:t>
            </w:r>
          </w:p>
        </w:tc>
      </w:tr>
      <w:tr w:rsidR="00E32574" w:rsidRPr="004D6A9A" w:rsidTr="00226813">
        <w:trPr>
          <w:trHeight w:val="340"/>
          <w:jc w:val="center"/>
        </w:trPr>
        <w:tc>
          <w:tcPr>
            <w:tcW w:w="567" w:type="dxa"/>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 xml:space="preserve">01 </w:t>
            </w:r>
          </w:p>
        </w:tc>
        <w:tc>
          <w:tcPr>
            <w:tcW w:w="212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ETA Aimorés</w:t>
            </w:r>
          </w:p>
        </w:tc>
        <w:tc>
          <w:tcPr>
            <w:tcW w:w="297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 xml:space="preserve">Bairro Betel – Sede de Aimorés </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53</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589</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19</w:t>
            </w: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11.893,50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82.339,00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108.613,00</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110.808,00</w:t>
            </w:r>
          </w:p>
        </w:tc>
      </w:tr>
      <w:tr w:rsidR="00E32574" w:rsidRPr="004D6A9A" w:rsidTr="00226813">
        <w:trPr>
          <w:trHeight w:val="470"/>
          <w:jc w:val="center"/>
        </w:trPr>
        <w:tc>
          <w:tcPr>
            <w:tcW w:w="567" w:type="dxa"/>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 xml:space="preserve">02 </w:t>
            </w:r>
          </w:p>
        </w:tc>
        <w:tc>
          <w:tcPr>
            <w:tcW w:w="212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ETA Conceição do Capim</w:t>
            </w:r>
          </w:p>
        </w:tc>
        <w:tc>
          <w:tcPr>
            <w:tcW w:w="2977" w:type="dxa"/>
            <w:tcBorders>
              <w:top w:val="single" w:sz="6" w:space="0" w:color="000000"/>
              <w:left w:val="single" w:sz="4" w:space="0" w:color="000000"/>
              <w:bottom w:val="single" w:sz="6" w:space="0" w:color="000000"/>
              <w:right w:val="single" w:sz="4" w:space="0" w:color="000000"/>
            </w:tcBorders>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Distrito de Conceição do Capim</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5</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217</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07</w:t>
            </w: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3.906,00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3.632,00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5.356,00</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5.396,00</w:t>
            </w:r>
          </w:p>
        </w:tc>
      </w:tr>
      <w:tr w:rsidR="00E32574" w:rsidRPr="004D6A9A" w:rsidTr="00226813">
        <w:trPr>
          <w:trHeight w:val="340"/>
          <w:jc w:val="center"/>
        </w:trPr>
        <w:tc>
          <w:tcPr>
            <w:tcW w:w="567" w:type="dxa"/>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 xml:space="preserve">03 </w:t>
            </w:r>
          </w:p>
        </w:tc>
        <w:tc>
          <w:tcPr>
            <w:tcW w:w="212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ETA Penha do Capim</w:t>
            </w:r>
          </w:p>
        </w:tc>
        <w:tc>
          <w:tcPr>
            <w:tcW w:w="297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8846C3">
            <w:pPr>
              <w:pStyle w:val="Default"/>
              <w:jc w:val="center"/>
              <w:rPr>
                <w:rFonts w:ascii="Times New Roman" w:hAnsi="Times New Roman" w:cs="Times New Roman"/>
                <w:sz w:val="18"/>
                <w:szCs w:val="18"/>
              </w:rPr>
            </w:pPr>
            <w:r w:rsidRPr="004D6A9A">
              <w:rPr>
                <w:rFonts w:ascii="Times New Roman" w:hAnsi="Times New Roman" w:cs="Times New Roman"/>
                <w:sz w:val="18"/>
                <w:szCs w:val="18"/>
              </w:rPr>
              <w:t>Distrito de Penha do Capim</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5</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217</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07</w:t>
            </w: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3.906,00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3.378,00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5.153,00</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5.273,00</w:t>
            </w:r>
          </w:p>
        </w:tc>
      </w:tr>
      <w:tr w:rsidR="00E32574" w:rsidRPr="004D6A9A" w:rsidTr="00226813">
        <w:trPr>
          <w:trHeight w:val="470"/>
          <w:jc w:val="center"/>
        </w:trPr>
        <w:tc>
          <w:tcPr>
            <w:tcW w:w="567" w:type="dxa"/>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 xml:space="preserve">04 </w:t>
            </w:r>
          </w:p>
        </w:tc>
        <w:tc>
          <w:tcPr>
            <w:tcW w:w="212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ETA São Sebastião do Vala</w:t>
            </w:r>
          </w:p>
        </w:tc>
        <w:tc>
          <w:tcPr>
            <w:tcW w:w="297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Distrito de São Sebastião do Vala</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5</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217</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07</w:t>
            </w: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3.906,00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3.867,00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5.938,00</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6.108,00</w:t>
            </w:r>
          </w:p>
        </w:tc>
      </w:tr>
      <w:tr w:rsidR="00E32574" w:rsidRPr="004D6A9A" w:rsidTr="00226813">
        <w:trPr>
          <w:trHeight w:val="470"/>
          <w:jc w:val="center"/>
        </w:trPr>
        <w:tc>
          <w:tcPr>
            <w:tcW w:w="567" w:type="dxa"/>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05</w:t>
            </w:r>
          </w:p>
        </w:tc>
        <w:tc>
          <w:tcPr>
            <w:tcW w:w="212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ETA Santo Antônio do Rio Doce</w:t>
            </w:r>
          </w:p>
        </w:tc>
        <w:tc>
          <w:tcPr>
            <w:tcW w:w="297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Distrito de Santo Antônio do Rio Doce</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5,83</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341</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11</w:t>
            </w: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7.156,91</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6.686,00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8.486,00</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8.556,00</w:t>
            </w:r>
          </w:p>
        </w:tc>
      </w:tr>
      <w:tr w:rsidR="00E32574" w:rsidRPr="004D6A9A" w:rsidTr="00226813">
        <w:trPr>
          <w:trHeight w:val="397"/>
          <w:jc w:val="center"/>
        </w:trPr>
        <w:tc>
          <w:tcPr>
            <w:tcW w:w="567" w:type="dxa"/>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06</w:t>
            </w:r>
          </w:p>
        </w:tc>
        <w:tc>
          <w:tcPr>
            <w:tcW w:w="212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ETA Tabaúna</w:t>
            </w:r>
          </w:p>
        </w:tc>
        <w:tc>
          <w:tcPr>
            <w:tcW w:w="297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Distrito de Tabaúna</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3,05</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186</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06</w:t>
            </w: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2.042,28</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1.825,00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2.814,00</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2.844,00</w:t>
            </w:r>
          </w:p>
        </w:tc>
      </w:tr>
      <w:tr w:rsidR="00E32574" w:rsidRPr="004D6A9A" w:rsidTr="00226813">
        <w:trPr>
          <w:trHeight w:val="470"/>
          <w:jc w:val="center"/>
        </w:trPr>
        <w:tc>
          <w:tcPr>
            <w:tcW w:w="567" w:type="dxa"/>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07</w:t>
            </w:r>
          </w:p>
        </w:tc>
        <w:tc>
          <w:tcPr>
            <w:tcW w:w="212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ETA Expedicionário Alicio</w:t>
            </w:r>
          </w:p>
        </w:tc>
        <w:tc>
          <w:tcPr>
            <w:tcW w:w="297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Distrito de Expedicionário Alicio</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3,05</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248</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07</w:t>
            </w: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2.723,04</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2.843,00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3.776,00</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3.816,00</w:t>
            </w:r>
          </w:p>
        </w:tc>
      </w:tr>
      <w:tr w:rsidR="00E32574" w:rsidRPr="004D6A9A" w:rsidTr="00226813">
        <w:trPr>
          <w:trHeight w:val="397"/>
          <w:jc w:val="center"/>
        </w:trPr>
        <w:tc>
          <w:tcPr>
            <w:tcW w:w="567" w:type="dxa"/>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08</w:t>
            </w:r>
          </w:p>
        </w:tc>
        <w:tc>
          <w:tcPr>
            <w:tcW w:w="212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ETA Mundo Novo</w:t>
            </w:r>
          </w:p>
        </w:tc>
        <w:tc>
          <w:tcPr>
            <w:tcW w:w="297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Distrito de Mundo Novo de Minas</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2,0</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93</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03</w:t>
            </w: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669,60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656,00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1.025,00</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1.055,00</w:t>
            </w:r>
          </w:p>
        </w:tc>
      </w:tr>
      <w:tr w:rsidR="00E32574" w:rsidRPr="004D6A9A" w:rsidTr="00226813">
        <w:trPr>
          <w:trHeight w:val="397"/>
          <w:jc w:val="center"/>
        </w:trPr>
        <w:tc>
          <w:tcPr>
            <w:tcW w:w="567" w:type="dxa"/>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09</w:t>
            </w:r>
          </w:p>
        </w:tc>
        <w:tc>
          <w:tcPr>
            <w:tcW w:w="212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ETA Alto Capim</w:t>
            </w:r>
          </w:p>
        </w:tc>
        <w:tc>
          <w:tcPr>
            <w:tcW w:w="297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Distrito de Alto Capim</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0,8</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341</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11</w:t>
            </w: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982,08</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1.026,00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1.463,00</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1.463,00</w:t>
            </w:r>
          </w:p>
        </w:tc>
      </w:tr>
      <w:tr w:rsidR="00E32574" w:rsidRPr="004D6A9A" w:rsidTr="00226813">
        <w:trPr>
          <w:trHeight w:val="470"/>
          <w:jc w:val="center"/>
        </w:trPr>
        <w:tc>
          <w:tcPr>
            <w:tcW w:w="567" w:type="dxa"/>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10</w:t>
            </w:r>
          </w:p>
        </w:tc>
        <w:tc>
          <w:tcPr>
            <w:tcW w:w="212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ETA São João do Capim</w:t>
            </w:r>
          </w:p>
        </w:tc>
        <w:tc>
          <w:tcPr>
            <w:tcW w:w="297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Zona Rural</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0,5</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124</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04</w:t>
            </w: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223,20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202,00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282,00</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282,00</w:t>
            </w:r>
          </w:p>
        </w:tc>
      </w:tr>
      <w:tr w:rsidR="00E32574" w:rsidRPr="004D6A9A" w:rsidTr="00226813">
        <w:trPr>
          <w:trHeight w:val="470"/>
          <w:jc w:val="center"/>
        </w:trPr>
        <w:tc>
          <w:tcPr>
            <w:tcW w:w="567" w:type="dxa"/>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11</w:t>
            </w:r>
          </w:p>
        </w:tc>
        <w:tc>
          <w:tcPr>
            <w:tcW w:w="212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ETA São José do Limoeiro</w:t>
            </w:r>
          </w:p>
        </w:tc>
        <w:tc>
          <w:tcPr>
            <w:tcW w:w="297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Zona Rural</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1,5</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124</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04</w:t>
            </w: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669,60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598,00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888,00</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888,00</w:t>
            </w:r>
          </w:p>
        </w:tc>
      </w:tr>
      <w:tr w:rsidR="00E32574" w:rsidRPr="004D6A9A" w:rsidTr="00226813">
        <w:trPr>
          <w:trHeight w:val="369"/>
          <w:jc w:val="center"/>
        </w:trPr>
        <w:tc>
          <w:tcPr>
            <w:tcW w:w="567" w:type="dxa"/>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12</w:t>
            </w:r>
          </w:p>
        </w:tc>
        <w:tc>
          <w:tcPr>
            <w:tcW w:w="212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ETA Santa Terezinha</w:t>
            </w:r>
          </w:p>
        </w:tc>
        <w:tc>
          <w:tcPr>
            <w:tcW w:w="297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Zona Rural</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0,4</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w:t>
            </w: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w:t>
            </w:r>
          </w:p>
        </w:tc>
      </w:tr>
      <w:tr w:rsidR="00E32574" w:rsidRPr="004D6A9A" w:rsidTr="00226813">
        <w:trPr>
          <w:trHeight w:val="369"/>
          <w:jc w:val="center"/>
        </w:trPr>
        <w:tc>
          <w:tcPr>
            <w:tcW w:w="567" w:type="dxa"/>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p>
        </w:tc>
        <w:tc>
          <w:tcPr>
            <w:tcW w:w="212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Represa</w:t>
            </w:r>
          </w:p>
        </w:tc>
        <w:tc>
          <w:tcPr>
            <w:tcW w:w="297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Zona Rural</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1.779,00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2.167,00</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2.167,00</w:t>
            </w:r>
          </w:p>
        </w:tc>
      </w:tr>
      <w:tr w:rsidR="00E32574" w:rsidRPr="004D6A9A" w:rsidTr="00226813">
        <w:trPr>
          <w:trHeight w:val="369"/>
          <w:jc w:val="center"/>
        </w:trPr>
        <w:tc>
          <w:tcPr>
            <w:tcW w:w="2694" w:type="dxa"/>
            <w:gridSpan w:val="2"/>
            <w:tcBorders>
              <w:top w:val="single" w:sz="6" w:space="0" w:color="000000"/>
              <w:left w:val="single" w:sz="2"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b/>
                <w:sz w:val="18"/>
                <w:szCs w:val="18"/>
              </w:rPr>
            </w:pPr>
            <w:r w:rsidRPr="004D6A9A">
              <w:rPr>
                <w:rFonts w:ascii="Times New Roman" w:hAnsi="Times New Roman" w:cs="Times New Roman"/>
                <w:b/>
                <w:sz w:val="18"/>
                <w:szCs w:val="18"/>
              </w:rPr>
              <w:t>TOTAL</w:t>
            </w:r>
          </w:p>
        </w:tc>
        <w:tc>
          <w:tcPr>
            <w:tcW w:w="2977" w:type="dxa"/>
            <w:tcBorders>
              <w:top w:val="single" w:sz="6" w:space="0" w:color="000000"/>
              <w:left w:val="single" w:sz="4" w:space="0" w:color="000000"/>
              <w:bottom w:val="single" w:sz="6" w:space="0" w:color="000000"/>
              <w:right w:val="single" w:sz="4"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w:t>
            </w:r>
          </w:p>
        </w:tc>
        <w:tc>
          <w:tcPr>
            <w:tcW w:w="127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b/>
                <w:sz w:val="18"/>
                <w:szCs w:val="18"/>
              </w:rPr>
            </w:pPr>
            <w:r w:rsidRPr="004D6A9A">
              <w:rPr>
                <w:rFonts w:ascii="Times New Roman" w:hAnsi="Times New Roman" w:cs="Times New Roman"/>
                <w:b/>
                <w:sz w:val="18"/>
                <w:szCs w:val="18"/>
              </w:rPr>
              <w:t>85,13</w:t>
            </w:r>
          </w:p>
        </w:tc>
        <w:tc>
          <w:tcPr>
            <w:tcW w:w="141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sz w:val="18"/>
                <w:szCs w:val="18"/>
              </w:rPr>
            </w:pPr>
            <w:r w:rsidRPr="004D6A9A">
              <w:rPr>
                <w:rFonts w:ascii="Times New Roman" w:hAnsi="Times New Roman" w:cs="Times New Roman"/>
                <w:sz w:val="18"/>
                <w:szCs w:val="18"/>
              </w:rPr>
              <w:t>-</w:t>
            </w:r>
          </w:p>
        </w:tc>
        <w:tc>
          <w:tcPr>
            <w:tcW w:w="1542"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b/>
                <w:sz w:val="18"/>
                <w:szCs w:val="18"/>
              </w:rPr>
            </w:pPr>
            <w:r w:rsidRPr="004D6A9A">
              <w:rPr>
                <w:rFonts w:ascii="Times New Roman" w:hAnsi="Times New Roman" w:cs="Times New Roman"/>
                <w:b/>
                <w:sz w:val="18"/>
                <w:szCs w:val="18"/>
              </w:rPr>
              <w:t>138.078,21</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b/>
                <w:sz w:val="18"/>
                <w:szCs w:val="18"/>
              </w:rPr>
            </w:pPr>
            <w:r w:rsidRPr="004D6A9A">
              <w:rPr>
                <w:rFonts w:ascii="Times New Roman" w:hAnsi="Times New Roman" w:cs="Times New Roman"/>
                <w:b/>
                <w:sz w:val="18"/>
                <w:szCs w:val="18"/>
              </w:rPr>
              <w:t>108.831,00</w:t>
            </w:r>
          </w:p>
        </w:tc>
        <w:tc>
          <w:tcPr>
            <w:tcW w:w="1559"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b/>
                <w:sz w:val="18"/>
                <w:szCs w:val="18"/>
              </w:rPr>
            </w:pPr>
            <w:r w:rsidRPr="004D6A9A">
              <w:rPr>
                <w:rFonts w:ascii="Times New Roman" w:hAnsi="Times New Roman" w:cs="Times New Roman"/>
                <w:b/>
                <w:sz w:val="18"/>
                <w:szCs w:val="18"/>
              </w:rPr>
              <w:t>145.961,00</w:t>
            </w:r>
          </w:p>
        </w:tc>
        <w:tc>
          <w:tcPr>
            <w:tcW w:w="1418" w:type="dxa"/>
            <w:tcBorders>
              <w:top w:val="single" w:sz="6" w:space="0" w:color="000000"/>
              <w:left w:val="single" w:sz="4" w:space="0" w:color="000000"/>
              <w:bottom w:val="single" w:sz="6" w:space="0" w:color="000000"/>
              <w:right w:val="single" w:sz="2" w:space="0" w:color="000000"/>
            </w:tcBorders>
            <w:vAlign w:val="center"/>
          </w:tcPr>
          <w:p w:rsidR="00E32574" w:rsidRPr="004D6A9A" w:rsidRDefault="00E32574" w:rsidP="00E32574">
            <w:pPr>
              <w:pStyle w:val="Default"/>
              <w:jc w:val="center"/>
              <w:rPr>
                <w:rFonts w:ascii="Times New Roman" w:hAnsi="Times New Roman" w:cs="Times New Roman"/>
                <w:b/>
                <w:sz w:val="18"/>
                <w:szCs w:val="18"/>
              </w:rPr>
            </w:pPr>
            <w:r w:rsidRPr="004D6A9A">
              <w:rPr>
                <w:rFonts w:ascii="Times New Roman" w:hAnsi="Times New Roman" w:cs="Times New Roman"/>
                <w:b/>
                <w:sz w:val="18"/>
                <w:szCs w:val="18"/>
              </w:rPr>
              <w:t>148.656,00</w:t>
            </w:r>
          </w:p>
        </w:tc>
      </w:tr>
    </w:tbl>
    <w:p w:rsidR="00E32574" w:rsidRDefault="00E32574" w:rsidP="008846C3">
      <w:pPr>
        <w:pStyle w:val="Fonte"/>
      </w:pPr>
      <w:r>
        <w:t>Fonte: Adaptado de SAAE</w:t>
      </w:r>
      <w:r w:rsidR="00226813">
        <w:t>,</w:t>
      </w:r>
      <w:r>
        <w:t xml:space="preserve"> 2013. </w:t>
      </w:r>
      <w:r>
        <w:rPr>
          <w:u w:val="single"/>
        </w:rPr>
        <w:t>O</w:t>
      </w:r>
      <w:r w:rsidRPr="00CF2437">
        <w:rPr>
          <w:u w:val="single"/>
        </w:rPr>
        <w:t>bservação</w:t>
      </w:r>
      <w:r>
        <w:t>: A diferença entre faturado e hidrometrado se dá pelo consumo de água na Hidrelétrica.</w:t>
      </w:r>
    </w:p>
    <w:p w:rsidR="00E32574" w:rsidRDefault="00E32574" w:rsidP="00E32574">
      <w:pPr>
        <w:sectPr w:rsidR="00E32574" w:rsidSect="00E32574">
          <w:pgSz w:w="16838" w:h="11906" w:orient="landscape"/>
          <w:pgMar w:top="1701" w:right="1418" w:bottom="1701" w:left="1418" w:header="709" w:footer="709" w:gutter="0"/>
          <w:cols w:space="708"/>
          <w:docGrid w:linePitch="360"/>
        </w:sectPr>
      </w:pPr>
    </w:p>
    <w:p w:rsidR="00E32574" w:rsidRPr="00FA5ABF" w:rsidRDefault="00E32574" w:rsidP="00226813">
      <w:pPr>
        <w:pStyle w:val="CM71"/>
        <w:spacing w:line="360" w:lineRule="auto"/>
        <w:ind w:firstLine="709"/>
        <w:jc w:val="both"/>
        <w:rPr>
          <w:rFonts w:ascii="Times New Roman" w:hAnsi="Times New Roman" w:cs="Times New Roman"/>
        </w:rPr>
      </w:pPr>
      <w:r w:rsidRPr="00FA5ABF">
        <w:rPr>
          <w:rFonts w:ascii="Times New Roman" w:hAnsi="Times New Roman" w:cs="Times New Roman"/>
        </w:rPr>
        <w:lastRenderedPageBreak/>
        <w:t>As ETA</w:t>
      </w:r>
      <w:r w:rsidR="00226813">
        <w:rPr>
          <w:rFonts w:ascii="Times New Roman" w:hAnsi="Times New Roman" w:cs="Times New Roman"/>
        </w:rPr>
        <w:t>’s</w:t>
      </w:r>
      <w:r w:rsidRPr="00FA5ABF">
        <w:rPr>
          <w:rFonts w:ascii="Times New Roman" w:hAnsi="Times New Roman" w:cs="Times New Roman"/>
        </w:rPr>
        <w:t xml:space="preserve"> dão nome para os principais sistemas de abastecimento de água do município: o sistema Aimoré</w:t>
      </w:r>
      <w:r>
        <w:rPr>
          <w:rFonts w:ascii="Times New Roman" w:hAnsi="Times New Roman" w:cs="Times New Roman"/>
        </w:rPr>
        <w:t>s</w:t>
      </w:r>
      <w:r w:rsidRPr="00FA5ABF">
        <w:rPr>
          <w:rFonts w:ascii="Times New Roman" w:hAnsi="Times New Roman" w:cs="Times New Roman"/>
        </w:rPr>
        <w:t>, localizado na área urbana de Aimorés, o</w:t>
      </w:r>
      <w:r>
        <w:rPr>
          <w:rFonts w:ascii="Times New Roman" w:hAnsi="Times New Roman" w:cs="Times New Roman"/>
        </w:rPr>
        <w:t>s</w:t>
      </w:r>
      <w:r w:rsidRPr="00FA5ABF">
        <w:rPr>
          <w:rFonts w:ascii="Times New Roman" w:hAnsi="Times New Roman" w:cs="Times New Roman"/>
        </w:rPr>
        <w:t xml:space="preserve"> sistema</w:t>
      </w:r>
      <w:r>
        <w:rPr>
          <w:rFonts w:ascii="Times New Roman" w:hAnsi="Times New Roman" w:cs="Times New Roman"/>
        </w:rPr>
        <w:t>s</w:t>
      </w:r>
      <w:r w:rsidRPr="00FA5ABF">
        <w:rPr>
          <w:rFonts w:ascii="Times New Roman" w:hAnsi="Times New Roman" w:cs="Times New Roman"/>
        </w:rPr>
        <w:t xml:space="preserve"> </w:t>
      </w:r>
      <w:r>
        <w:rPr>
          <w:rFonts w:ascii="Times New Roman" w:hAnsi="Times New Roman" w:cs="Times New Roman"/>
        </w:rPr>
        <w:t>Penha do Capim, Alto Capim, Conceição do Capim, Expedicionário Alicio, Mundo Novo de Minas, São Sebastião da Vala, Santo Antônio do Rio Doce e Tabaúna estão localizados nos distritos com o mesmo nome. Os sistemas São José do Limoeiro, Santa Terezinha e São João do Capim estão localizados em povoados com o mesmo nome, todos na zona rural. Todas as</w:t>
      </w:r>
      <w:r w:rsidRPr="00FA5ABF">
        <w:rPr>
          <w:rFonts w:ascii="Times New Roman" w:hAnsi="Times New Roman" w:cs="Times New Roman"/>
        </w:rPr>
        <w:t xml:space="preserve"> ETA</w:t>
      </w:r>
      <w:r>
        <w:rPr>
          <w:rFonts w:ascii="Times New Roman" w:hAnsi="Times New Roman" w:cs="Times New Roman"/>
        </w:rPr>
        <w:t>’s</w:t>
      </w:r>
      <w:r w:rsidRPr="00FA5ABF">
        <w:rPr>
          <w:rFonts w:ascii="Times New Roman" w:hAnsi="Times New Roman" w:cs="Times New Roman"/>
        </w:rPr>
        <w:t xml:space="preserve"> do município faz</w:t>
      </w:r>
      <w:r>
        <w:rPr>
          <w:rFonts w:ascii="Times New Roman" w:hAnsi="Times New Roman" w:cs="Times New Roman"/>
        </w:rPr>
        <w:t>em a fluoretação da água</w:t>
      </w:r>
      <w:r w:rsidRPr="00FA5ABF">
        <w:rPr>
          <w:rFonts w:ascii="Times New Roman" w:hAnsi="Times New Roman" w:cs="Times New Roman"/>
        </w:rPr>
        <w:t xml:space="preserve"> e nenhuma faz o tratamento do lodo gerado. </w:t>
      </w:r>
    </w:p>
    <w:p w:rsidR="00E32574" w:rsidRPr="007D3051" w:rsidRDefault="00E32574" w:rsidP="00E32574">
      <w:pPr>
        <w:pStyle w:val="CM71"/>
        <w:spacing w:line="360" w:lineRule="auto"/>
        <w:ind w:firstLine="708"/>
        <w:jc w:val="both"/>
        <w:rPr>
          <w:rFonts w:ascii="Times New Roman" w:hAnsi="Times New Roman" w:cs="Times New Roman"/>
        </w:rPr>
      </w:pPr>
      <w:r w:rsidRPr="00FA5ABF">
        <w:rPr>
          <w:rFonts w:ascii="Times New Roman" w:hAnsi="Times New Roman" w:cs="Times New Roman"/>
        </w:rPr>
        <w:t>O estado de conservação das ETA</w:t>
      </w:r>
      <w:r>
        <w:rPr>
          <w:rFonts w:ascii="Times New Roman" w:hAnsi="Times New Roman" w:cs="Times New Roman"/>
        </w:rPr>
        <w:t>’s</w:t>
      </w:r>
      <w:r w:rsidRPr="00FA5ABF">
        <w:rPr>
          <w:rFonts w:ascii="Times New Roman" w:hAnsi="Times New Roman" w:cs="Times New Roman"/>
        </w:rPr>
        <w:t>, de maneira geral, foi considerado satisfatório. Entretanto, foi observado que algumas bombas de recalque estavam, no momento da visit</w:t>
      </w:r>
      <w:r>
        <w:rPr>
          <w:rFonts w:ascii="Times New Roman" w:hAnsi="Times New Roman" w:cs="Times New Roman"/>
        </w:rPr>
        <w:t>a, em mau estado de conservação; em alguns sistemas os pontos de captação no manancial estavam comprometidos devido o lançamento de esgoto doméstico; e em grande maioria dos sistemas no distritos, as ETA devem ser ampliadas</w:t>
      </w:r>
      <w:r w:rsidRPr="00FA5ABF">
        <w:rPr>
          <w:rFonts w:ascii="Times New Roman" w:hAnsi="Times New Roman" w:cs="Times New Roman"/>
        </w:rPr>
        <w:t xml:space="preserve"> Dessa maneira, o realinhamento e modernização dos equipamentos são necessários em todas as estações elevatórias de água nas ETA.</w:t>
      </w:r>
      <w:r w:rsidRPr="007D3051">
        <w:rPr>
          <w:rFonts w:ascii="Times New Roman" w:hAnsi="Times New Roman" w:cs="Times New Roman"/>
        </w:rPr>
        <w:t xml:space="preserve"> </w:t>
      </w:r>
      <w:r>
        <w:rPr>
          <w:rFonts w:ascii="Times New Roman" w:hAnsi="Times New Roman" w:cs="Times New Roman"/>
        </w:rPr>
        <w:t xml:space="preserve"> </w:t>
      </w:r>
    </w:p>
    <w:p w:rsidR="00E32574" w:rsidRPr="00E11E1B" w:rsidRDefault="00E32574" w:rsidP="00E32574">
      <w:pPr>
        <w:pStyle w:val="CM71"/>
        <w:spacing w:line="360" w:lineRule="auto"/>
        <w:ind w:firstLine="708"/>
        <w:jc w:val="both"/>
        <w:rPr>
          <w:rFonts w:ascii="Times New Roman" w:hAnsi="Times New Roman" w:cs="Times New Roman"/>
        </w:rPr>
      </w:pPr>
      <w:r w:rsidRPr="007D3051">
        <w:rPr>
          <w:rFonts w:ascii="Times New Roman" w:hAnsi="Times New Roman" w:cs="Times New Roman"/>
        </w:rPr>
        <w:t xml:space="preserve">Para a distribuição da água no município de Aimorés, segundo o SNIS (2010), o município conta com uma rede de aproximadamente </w:t>
      </w:r>
      <w:r w:rsidRPr="008220BF">
        <w:rPr>
          <w:rFonts w:ascii="Times New Roman" w:hAnsi="Times New Roman" w:cs="Times New Roman"/>
        </w:rPr>
        <w:t>62,52 km</w:t>
      </w:r>
      <w:r w:rsidRPr="007D3051">
        <w:rPr>
          <w:rFonts w:ascii="Times New Roman" w:hAnsi="Times New Roman" w:cs="Times New Roman"/>
        </w:rPr>
        <w:t xml:space="preserve">. Contudo, existe a necessidade de maior investimento para cadastro de rede, substituição de redes antigas e modernização do sistema como um todo. </w:t>
      </w:r>
      <w:r w:rsidRPr="00E11E1B">
        <w:rPr>
          <w:rFonts w:ascii="Times New Roman" w:hAnsi="Times New Roman" w:cs="Times New Roman"/>
        </w:rPr>
        <w:t>O município não conta com sistema de Telemetria</w:t>
      </w:r>
      <w:r>
        <w:rPr>
          <w:rStyle w:val="Refdenotaderodap"/>
          <w:rFonts w:ascii="Times New Roman" w:hAnsi="Times New Roman"/>
        </w:rPr>
        <w:footnoteReference w:id="14"/>
      </w:r>
      <w:r w:rsidRPr="00E11E1B">
        <w:rPr>
          <w:rFonts w:ascii="Times New Roman" w:hAnsi="Times New Roman" w:cs="Times New Roman"/>
        </w:rPr>
        <w:t xml:space="preserve">. </w:t>
      </w:r>
    </w:p>
    <w:p w:rsidR="00E32574" w:rsidRPr="00082391" w:rsidRDefault="00226813" w:rsidP="00971B37">
      <w:pPr>
        <w:pStyle w:val="Titulo"/>
      </w:pPr>
      <w:bookmarkStart w:id="224" w:name="_Toc372559099"/>
      <w:bookmarkStart w:id="225" w:name="_Toc372789531"/>
      <w:r>
        <w:t>11.</w:t>
      </w:r>
      <w:r w:rsidR="004D6A9A">
        <w:t>7</w:t>
      </w:r>
      <w:r>
        <w:t xml:space="preserve"> </w:t>
      </w:r>
      <w:r w:rsidR="00E32574" w:rsidRPr="00082391">
        <w:t xml:space="preserve">Principais Sistemas </w:t>
      </w:r>
      <w:r w:rsidR="00E32574" w:rsidRPr="00437716">
        <w:t>de</w:t>
      </w:r>
      <w:r w:rsidR="00E32574" w:rsidRPr="00082391">
        <w:t xml:space="preserve"> Abastecimento de Água do </w:t>
      </w:r>
      <w:r>
        <w:t>M</w:t>
      </w:r>
      <w:r w:rsidR="00E32574" w:rsidRPr="00082391">
        <w:t>unicípio</w:t>
      </w:r>
      <w:bookmarkEnd w:id="224"/>
      <w:bookmarkEnd w:id="225"/>
    </w:p>
    <w:p w:rsidR="00E32574" w:rsidRPr="00A275C9" w:rsidRDefault="00B853AD" w:rsidP="00971B37">
      <w:pPr>
        <w:pStyle w:val="Titulo"/>
      </w:pPr>
      <w:bookmarkStart w:id="226" w:name="_Toc372559100"/>
      <w:bookmarkStart w:id="227" w:name="_Toc372789532"/>
      <w:r w:rsidRPr="00A275C9">
        <w:t>11.</w:t>
      </w:r>
      <w:r w:rsidR="004D6A9A">
        <w:t>7</w:t>
      </w:r>
      <w:r w:rsidRPr="00A275C9">
        <w:t xml:space="preserve">.1 </w:t>
      </w:r>
      <w:r w:rsidR="00E32574" w:rsidRPr="00A275C9">
        <w:t>Sistema Aimorés</w:t>
      </w:r>
      <w:bookmarkEnd w:id="226"/>
      <w:bookmarkEnd w:id="227"/>
    </w:p>
    <w:p w:rsidR="00E32574" w:rsidRPr="00F36B77" w:rsidRDefault="00E32574" w:rsidP="00E32574">
      <w:pPr>
        <w:pStyle w:val="CM71"/>
        <w:spacing w:line="360" w:lineRule="auto"/>
        <w:ind w:firstLine="708"/>
        <w:jc w:val="both"/>
        <w:rPr>
          <w:rFonts w:ascii="Times New Roman" w:hAnsi="Times New Roman" w:cs="Times New Roman"/>
        </w:rPr>
      </w:pPr>
      <w:r w:rsidRPr="00F36B77">
        <w:rPr>
          <w:rFonts w:ascii="Times New Roman" w:hAnsi="Times New Roman" w:cs="Times New Roman"/>
        </w:rPr>
        <w:t xml:space="preserve">O sistema </w:t>
      </w:r>
      <w:r>
        <w:rPr>
          <w:rFonts w:ascii="Times New Roman" w:hAnsi="Times New Roman" w:cs="Times New Roman"/>
        </w:rPr>
        <w:t>Aimorés</w:t>
      </w:r>
      <w:r w:rsidRPr="00F36B77">
        <w:rPr>
          <w:rFonts w:ascii="Times New Roman" w:hAnsi="Times New Roman" w:cs="Times New Roman"/>
        </w:rPr>
        <w:t xml:space="preserve"> conta com</w:t>
      </w:r>
      <w:r w:rsidR="00226813">
        <w:rPr>
          <w:rFonts w:ascii="Times New Roman" w:hAnsi="Times New Roman" w:cs="Times New Roman"/>
        </w:rPr>
        <w:t>:</w:t>
      </w:r>
      <w:r w:rsidRPr="00F36B77">
        <w:rPr>
          <w:rFonts w:ascii="Times New Roman" w:hAnsi="Times New Roman" w:cs="Times New Roman"/>
        </w:rPr>
        <w:t xml:space="preserve"> </w:t>
      </w:r>
      <w:r>
        <w:rPr>
          <w:rFonts w:ascii="Times New Roman" w:hAnsi="Times New Roman" w:cs="Times New Roman"/>
        </w:rPr>
        <w:t>uma captação</w:t>
      </w:r>
      <w:r w:rsidR="00226813">
        <w:rPr>
          <w:rFonts w:ascii="Times New Roman" w:hAnsi="Times New Roman" w:cs="Times New Roman"/>
        </w:rPr>
        <w:t>;</w:t>
      </w:r>
      <w:r w:rsidRPr="00F36B77">
        <w:rPr>
          <w:rFonts w:ascii="Times New Roman" w:hAnsi="Times New Roman" w:cs="Times New Roman"/>
        </w:rPr>
        <w:t xml:space="preserve"> </w:t>
      </w:r>
      <w:r>
        <w:rPr>
          <w:rFonts w:ascii="Times New Roman" w:hAnsi="Times New Roman" w:cs="Times New Roman"/>
        </w:rPr>
        <w:t>três reservatório</w:t>
      </w:r>
      <w:r w:rsidR="00226813">
        <w:rPr>
          <w:rFonts w:ascii="Times New Roman" w:hAnsi="Times New Roman" w:cs="Times New Roman"/>
        </w:rPr>
        <w:t>;</w:t>
      </w:r>
      <w:r w:rsidRPr="00F36B77">
        <w:rPr>
          <w:rFonts w:ascii="Times New Roman" w:hAnsi="Times New Roman" w:cs="Times New Roman"/>
        </w:rPr>
        <w:t xml:space="preserve"> duas elevatórias, que também são utilizadas como reservatórios de distribuição</w:t>
      </w:r>
      <w:r w:rsidR="00226813">
        <w:rPr>
          <w:rFonts w:ascii="Times New Roman" w:hAnsi="Times New Roman" w:cs="Times New Roman"/>
        </w:rPr>
        <w:t>;</w:t>
      </w:r>
      <w:r w:rsidRPr="00F36B77">
        <w:rPr>
          <w:rFonts w:ascii="Times New Roman" w:hAnsi="Times New Roman" w:cs="Times New Roman"/>
        </w:rPr>
        <w:t xml:space="preserve"> e uma estação de t</w:t>
      </w:r>
      <w:r>
        <w:rPr>
          <w:rFonts w:ascii="Times New Roman" w:hAnsi="Times New Roman" w:cs="Times New Roman"/>
        </w:rPr>
        <w:t xml:space="preserve">ratamento de água. Dados </w:t>
      </w:r>
      <w:r w:rsidR="00226813">
        <w:rPr>
          <w:rFonts w:ascii="Times New Roman" w:hAnsi="Times New Roman" w:cs="Times New Roman"/>
        </w:rPr>
        <w:t xml:space="preserve">do ano </w:t>
      </w:r>
      <w:r>
        <w:rPr>
          <w:rFonts w:ascii="Times New Roman" w:hAnsi="Times New Roman" w:cs="Times New Roman"/>
        </w:rPr>
        <w:t>de 2011</w:t>
      </w:r>
      <w:r w:rsidR="00226813">
        <w:rPr>
          <w:rFonts w:ascii="Times New Roman" w:hAnsi="Times New Roman" w:cs="Times New Roman"/>
        </w:rPr>
        <w:t>,</w:t>
      </w:r>
      <w:r w:rsidRPr="00F36B77">
        <w:rPr>
          <w:rFonts w:ascii="Times New Roman" w:hAnsi="Times New Roman" w:cs="Times New Roman"/>
        </w:rPr>
        <w:t xml:space="preserve"> fornecidos pelo SAAE</w:t>
      </w:r>
      <w:r w:rsidR="00226813">
        <w:rPr>
          <w:rFonts w:ascii="Times New Roman" w:hAnsi="Times New Roman" w:cs="Times New Roman"/>
        </w:rPr>
        <w:t>,</w:t>
      </w:r>
      <w:r w:rsidRPr="00F36B77">
        <w:rPr>
          <w:rFonts w:ascii="Times New Roman" w:hAnsi="Times New Roman" w:cs="Times New Roman"/>
        </w:rPr>
        <w:t xml:space="preserve"> indicam que </w:t>
      </w:r>
      <w:r w:rsidRPr="00CF2437">
        <w:rPr>
          <w:rFonts w:ascii="Times New Roman" w:hAnsi="Times New Roman" w:cs="Times New Roman"/>
        </w:rPr>
        <w:t>96,7%</w:t>
      </w:r>
      <w:r w:rsidRPr="00F36B77">
        <w:rPr>
          <w:rFonts w:ascii="Times New Roman" w:hAnsi="Times New Roman" w:cs="Times New Roman"/>
        </w:rPr>
        <w:t xml:space="preserve"> da população urbana da sede (aproximadamente </w:t>
      </w:r>
      <w:r w:rsidR="00874333" w:rsidRPr="000F33C7">
        <w:rPr>
          <w:rFonts w:ascii="Times New Roman" w:hAnsi="Times New Roman" w:cs="Times New Roman"/>
        </w:rPr>
        <w:t>19</w:t>
      </w:r>
      <w:r w:rsidRPr="000F33C7">
        <w:rPr>
          <w:rFonts w:ascii="Times New Roman" w:hAnsi="Times New Roman" w:cs="Times New Roman"/>
        </w:rPr>
        <w:t>.</w:t>
      </w:r>
      <w:r w:rsidR="00874333" w:rsidRPr="000F33C7">
        <w:rPr>
          <w:rFonts w:ascii="Times New Roman" w:hAnsi="Times New Roman" w:cs="Times New Roman"/>
        </w:rPr>
        <w:t>050</w:t>
      </w:r>
      <w:r w:rsidRPr="000F33C7">
        <w:rPr>
          <w:rFonts w:ascii="Times New Roman" w:hAnsi="Times New Roman" w:cs="Times New Roman"/>
        </w:rPr>
        <w:t xml:space="preserve"> habitantes</w:t>
      </w:r>
      <w:r w:rsidRPr="00F36B77">
        <w:rPr>
          <w:rFonts w:ascii="Times New Roman" w:hAnsi="Times New Roman" w:cs="Times New Roman"/>
        </w:rPr>
        <w:t xml:space="preserve">) eram abastecidas por </w:t>
      </w:r>
      <w:r w:rsidRPr="00F36B77">
        <w:rPr>
          <w:rFonts w:ascii="Times New Roman" w:hAnsi="Times New Roman" w:cs="Times New Roman"/>
        </w:rPr>
        <w:lastRenderedPageBreak/>
        <w:t>este sistema, compreendendo</w:t>
      </w:r>
      <w:r>
        <w:rPr>
          <w:rFonts w:ascii="Times New Roman" w:hAnsi="Times New Roman" w:cs="Times New Roman"/>
        </w:rPr>
        <w:t xml:space="preserve"> todos os bairros da sede do município</w:t>
      </w:r>
      <w:r w:rsidRPr="00F36B77">
        <w:rPr>
          <w:rFonts w:ascii="Times New Roman" w:hAnsi="Times New Roman" w:cs="Times New Roman"/>
        </w:rPr>
        <w:t xml:space="preserve">. </w:t>
      </w:r>
    </w:p>
    <w:p w:rsidR="00E32574" w:rsidRPr="00BF5409" w:rsidRDefault="00E32574" w:rsidP="00E32574">
      <w:pPr>
        <w:pStyle w:val="CM71"/>
        <w:spacing w:line="360" w:lineRule="auto"/>
        <w:ind w:firstLine="708"/>
        <w:jc w:val="both"/>
        <w:rPr>
          <w:rFonts w:ascii="Times New Roman" w:hAnsi="Times New Roman" w:cs="Times New Roman"/>
        </w:rPr>
      </w:pPr>
      <w:r w:rsidRPr="00F36B77">
        <w:rPr>
          <w:rFonts w:ascii="Times New Roman" w:hAnsi="Times New Roman" w:cs="Times New Roman"/>
        </w:rPr>
        <w:t xml:space="preserve">A </w:t>
      </w:r>
      <w:r>
        <w:rPr>
          <w:rFonts w:ascii="Times New Roman" w:hAnsi="Times New Roman" w:cs="Times New Roman"/>
        </w:rPr>
        <w:t>captação</w:t>
      </w:r>
      <w:r w:rsidRPr="00F36B77">
        <w:rPr>
          <w:rFonts w:ascii="Times New Roman" w:hAnsi="Times New Roman" w:cs="Times New Roman"/>
        </w:rPr>
        <w:t xml:space="preserve"> deste sistema é superficial, e estão localizadas na bacia do rio </w:t>
      </w:r>
      <w:r>
        <w:rPr>
          <w:rFonts w:ascii="Times New Roman" w:hAnsi="Times New Roman" w:cs="Times New Roman"/>
        </w:rPr>
        <w:t>Manhuaçu</w:t>
      </w:r>
      <w:r w:rsidRPr="00F36B77">
        <w:rPr>
          <w:rFonts w:ascii="Times New Roman" w:hAnsi="Times New Roman" w:cs="Times New Roman"/>
        </w:rPr>
        <w:t xml:space="preserve">, </w:t>
      </w:r>
      <w:r>
        <w:rPr>
          <w:rFonts w:ascii="Times New Roman" w:hAnsi="Times New Roman" w:cs="Times New Roman"/>
        </w:rPr>
        <w:t xml:space="preserve">com uma vazão de </w:t>
      </w:r>
      <w:r w:rsidRPr="0047626B">
        <w:rPr>
          <w:rFonts w:ascii="Times New Roman" w:hAnsi="Times New Roman" w:cs="Times New Roman"/>
          <w:highlight w:val="yellow"/>
        </w:rPr>
        <w:t>56 l.s</w:t>
      </w:r>
      <w:r w:rsidRPr="0047626B">
        <w:rPr>
          <w:rFonts w:ascii="Times New Roman" w:hAnsi="Times New Roman" w:cs="Times New Roman"/>
          <w:highlight w:val="yellow"/>
          <w:vertAlign w:val="superscript"/>
        </w:rPr>
        <w:t>-1</w:t>
      </w:r>
      <w:r w:rsidRPr="00BF5409">
        <w:rPr>
          <w:rFonts w:ascii="Times New Roman" w:hAnsi="Times New Roman" w:cs="Times New Roman"/>
        </w:rPr>
        <w:t xml:space="preserve">, conforme Tabela </w:t>
      </w:r>
      <w:r w:rsidR="0068197C" w:rsidRPr="00BF5409">
        <w:rPr>
          <w:rFonts w:ascii="Times New Roman" w:hAnsi="Times New Roman" w:cs="Times New Roman"/>
        </w:rPr>
        <w:t>3</w:t>
      </w:r>
      <w:r w:rsidRPr="00BF5409">
        <w:rPr>
          <w:rFonts w:ascii="Times New Roman" w:hAnsi="Times New Roman" w:cs="Times New Roman"/>
        </w:rPr>
        <w:t xml:space="preserve">. </w:t>
      </w:r>
    </w:p>
    <w:p w:rsidR="00E32574" w:rsidRPr="00F36B77" w:rsidRDefault="00A80257" w:rsidP="00A80257">
      <w:pPr>
        <w:pStyle w:val="Legenda"/>
        <w:rPr>
          <w:color w:val="000000"/>
          <w:sz w:val="20"/>
        </w:rPr>
      </w:pPr>
      <w:bookmarkStart w:id="228" w:name="_Toc372740351"/>
      <w:r>
        <w:t xml:space="preserve">Tabela </w:t>
      </w:r>
      <w:fldSimple w:instr=" SEQ Tabela \* ARABIC ">
        <w:r w:rsidR="004F77E2">
          <w:rPr>
            <w:noProof/>
          </w:rPr>
          <w:t>3</w:t>
        </w:r>
      </w:fldSimple>
      <w:r>
        <w:t xml:space="preserve"> - </w:t>
      </w:r>
      <w:r w:rsidRPr="00151121">
        <w:rPr>
          <w:noProof/>
        </w:rPr>
        <w:t>Captações do Sistema Aimorés.</w:t>
      </w:r>
      <w:bookmarkEnd w:id="228"/>
    </w:p>
    <w:tbl>
      <w:tblPr>
        <w:tblW w:w="8585" w:type="dxa"/>
        <w:jc w:val="center"/>
        <w:tblLayout w:type="fixed"/>
        <w:tblLook w:val="0000" w:firstRow="0" w:lastRow="0" w:firstColumn="0" w:lastColumn="0" w:noHBand="0" w:noVBand="0"/>
      </w:tblPr>
      <w:tblGrid>
        <w:gridCol w:w="1509"/>
        <w:gridCol w:w="1132"/>
        <w:gridCol w:w="1415"/>
        <w:gridCol w:w="1293"/>
        <w:gridCol w:w="837"/>
        <w:gridCol w:w="1132"/>
        <w:gridCol w:w="1267"/>
      </w:tblGrid>
      <w:tr w:rsidR="00E32574" w:rsidRPr="00202B64" w:rsidTr="008846C3">
        <w:trPr>
          <w:trHeight w:val="715"/>
          <w:jc w:val="center"/>
        </w:trPr>
        <w:tc>
          <w:tcPr>
            <w:tcW w:w="1509" w:type="dxa"/>
            <w:tcBorders>
              <w:top w:val="single" w:sz="6" w:space="0" w:color="000000"/>
              <w:left w:val="single" w:sz="2" w:space="0" w:color="000000"/>
              <w:bottom w:val="single" w:sz="6" w:space="0" w:color="000000"/>
              <w:right w:val="single" w:sz="4" w:space="0" w:color="000000"/>
            </w:tcBorders>
            <w:shd w:val="clear" w:color="auto" w:fill="D9D9D9"/>
            <w:vAlign w:val="center"/>
          </w:tcPr>
          <w:p w:rsidR="00E32574" w:rsidRPr="0068197C" w:rsidRDefault="00E32574" w:rsidP="0068197C">
            <w:pPr>
              <w:pStyle w:val="Default"/>
              <w:spacing w:before="120" w:after="120"/>
              <w:jc w:val="center"/>
              <w:rPr>
                <w:rFonts w:ascii="Times New Roman" w:hAnsi="Times New Roman" w:cs="Times New Roman"/>
                <w:b/>
                <w:sz w:val="20"/>
                <w:szCs w:val="20"/>
              </w:rPr>
            </w:pPr>
            <w:r w:rsidRPr="0068197C">
              <w:rPr>
                <w:rFonts w:ascii="Times New Roman" w:hAnsi="Times New Roman" w:cs="Times New Roman"/>
                <w:b/>
                <w:sz w:val="20"/>
                <w:szCs w:val="20"/>
              </w:rPr>
              <w:t xml:space="preserve">Identificação </w:t>
            </w:r>
          </w:p>
        </w:tc>
        <w:tc>
          <w:tcPr>
            <w:tcW w:w="1132"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68197C" w:rsidRDefault="00E32574" w:rsidP="0068197C">
            <w:pPr>
              <w:pStyle w:val="Default"/>
              <w:spacing w:before="120" w:after="120"/>
              <w:jc w:val="center"/>
              <w:rPr>
                <w:rFonts w:ascii="Times New Roman" w:hAnsi="Times New Roman" w:cs="Times New Roman"/>
                <w:b/>
                <w:sz w:val="20"/>
                <w:szCs w:val="20"/>
              </w:rPr>
            </w:pPr>
            <w:r w:rsidRPr="0068197C">
              <w:rPr>
                <w:rFonts w:ascii="Times New Roman" w:hAnsi="Times New Roman" w:cs="Times New Roman"/>
                <w:b/>
                <w:sz w:val="20"/>
                <w:szCs w:val="20"/>
              </w:rPr>
              <w:t xml:space="preserve">Tipo de captação </w:t>
            </w:r>
          </w:p>
        </w:tc>
        <w:tc>
          <w:tcPr>
            <w:tcW w:w="1415"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68197C" w:rsidRDefault="00E32574" w:rsidP="0068197C">
            <w:pPr>
              <w:pStyle w:val="Default"/>
              <w:spacing w:before="120" w:after="120"/>
              <w:jc w:val="center"/>
              <w:rPr>
                <w:rFonts w:ascii="Times New Roman" w:hAnsi="Times New Roman" w:cs="Times New Roman"/>
                <w:b/>
                <w:sz w:val="20"/>
                <w:szCs w:val="20"/>
              </w:rPr>
            </w:pPr>
            <w:r w:rsidRPr="0068197C">
              <w:rPr>
                <w:rFonts w:ascii="Times New Roman" w:hAnsi="Times New Roman" w:cs="Times New Roman"/>
                <w:b/>
                <w:sz w:val="20"/>
                <w:szCs w:val="20"/>
              </w:rPr>
              <w:t xml:space="preserve">Manancial </w:t>
            </w:r>
          </w:p>
        </w:tc>
        <w:tc>
          <w:tcPr>
            <w:tcW w:w="1293"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68197C" w:rsidRDefault="00E32574" w:rsidP="0068197C">
            <w:pPr>
              <w:pStyle w:val="Default"/>
              <w:spacing w:before="120" w:after="120"/>
              <w:jc w:val="center"/>
              <w:rPr>
                <w:rFonts w:ascii="Times New Roman" w:hAnsi="Times New Roman" w:cs="Times New Roman"/>
                <w:b/>
                <w:sz w:val="20"/>
                <w:szCs w:val="20"/>
              </w:rPr>
            </w:pPr>
            <w:r w:rsidRPr="0068197C">
              <w:rPr>
                <w:rFonts w:ascii="Times New Roman" w:hAnsi="Times New Roman" w:cs="Times New Roman"/>
                <w:b/>
                <w:sz w:val="20"/>
                <w:szCs w:val="20"/>
              </w:rPr>
              <w:t xml:space="preserve">Bacia </w:t>
            </w:r>
          </w:p>
        </w:tc>
        <w:tc>
          <w:tcPr>
            <w:tcW w:w="837"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68197C" w:rsidRDefault="00E32574" w:rsidP="0068197C">
            <w:pPr>
              <w:pStyle w:val="Default"/>
              <w:spacing w:before="120" w:after="120"/>
              <w:jc w:val="center"/>
              <w:rPr>
                <w:rFonts w:ascii="Times New Roman" w:hAnsi="Times New Roman" w:cs="Times New Roman"/>
                <w:b/>
                <w:sz w:val="20"/>
                <w:szCs w:val="20"/>
              </w:rPr>
            </w:pPr>
            <w:r w:rsidRPr="0068197C">
              <w:rPr>
                <w:rFonts w:ascii="Times New Roman" w:hAnsi="Times New Roman" w:cs="Times New Roman"/>
                <w:b/>
                <w:sz w:val="20"/>
                <w:szCs w:val="20"/>
              </w:rPr>
              <w:t>Vazão (Q) L/s</w:t>
            </w:r>
          </w:p>
        </w:tc>
        <w:tc>
          <w:tcPr>
            <w:tcW w:w="1132"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68197C" w:rsidRDefault="00E32574" w:rsidP="0068197C">
            <w:pPr>
              <w:pStyle w:val="Default"/>
              <w:spacing w:before="120" w:after="120"/>
              <w:jc w:val="center"/>
              <w:rPr>
                <w:rFonts w:ascii="Times New Roman" w:hAnsi="Times New Roman" w:cs="Times New Roman"/>
                <w:b/>
                <w:sz w:val="20"/>
                <w:szCs w:val="20"/>
              </w:rPr>
            </w:pPr>
            <w:r w:rsidRPr="0068197C">
              <w:rPr>
                <w:rFonts w:ascii="Times New Roman" w:hAnsi="Times New Roman" w:cs="Times New Roman"/>
                <w:b/>
                <w:sz w:val="20"/>
                <w:szCs w:val="20"/>
              </w:rPr>
              <w:t xml:space="preserve">Tipo de adução </w:t>
            </w:r>
          </w:p>
        </w:tc>
        <w:tc>
          <w:tcPr>
            <w:tcW w:w="1267" w:type="dxa"/>
            <w:tcBorders>
              <w:top w:val="single" w:sz="6" w:space="0" w:color="000000"/>
              <w:left w:val="single" w:sz="4" w:space="0" w:color="000000"/>
              <w:bottom w:val="single" w:sz="6" w:space="0" w:color="000000"/>
              <w:right w:val="single" w:sz="2" w:space="0" w:color="000000"/>
            </w:tcBorders>
            <w:shd w:val="clear" w:color="auto" w:fill="D9D9D9"/>
            <w:vAlign w:val="center"/>
          </w:tcPr>
          <w:p w:rsidR="00E32574" w:rsidRPr="0068197C" w:rsidRDefault="00E32574" w:rsidP="0068197C">
            <w:pPr>
              <w:pStyle w:val="Default"/>
              <w:spacing w:before="120" w:after="120"/>
              <w:jc w:val="center"/>
              <w:rPr>
                <w:rFonts w:ascii="Times New Roman" w:hAnsi="Times New Roman" w:cs="Times New Roman"/>
                <w:b/>
                <w:sz w:val="20"/>
                <w:szCs w:val="20"/>
              </w:rPr>
            </w:pPr>
            <w:r w:rsidRPr="0068197C">
              <w:rPr>
                <w:rFonts w:ascii="Times New Roman" w:hAnsi="Times New Roman" w:cs="Times New Roman"/>
                <w:b/>
                <w:sz w:val="20"/>
                <w:szCs w:val="20"/>
              </w:rPr>
              <w:t xml:space="preserve">Barramento </w:t>
            </w:r>
          </w:p>
        </w:tc>
      </w:tr>
      <w:tr w:rsidR="00E32574" w:rsidRPr="00202B64" w:rsidTr="008846C3">
        <w:trPr>
          <w:trHeight w:val="470"/>
          <w:jc w:val="center"/>
        </w:trPr>
        <w:tc>
          <w:tcPr>
            <w:tcW w:w="1509"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68197C">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 xml:space="preserve">Captação Rio Manhuaçu </w:t>
            </w:r>
          </w:p>
        </w:tc>
        <w:tc>
          <w:tcPr>
            <w:tcW w:w="1132"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68197C">
            <w:pPr>
              <w:pStyle w:val="Default"/>
              <w:spacing w:before="120" w:after="120"/>
              <w:rPr>
                <w:rFonts w:ascii="Times New Roman" w:hAnsi="Times New Roman" w:cs="Times New Roman"/>
                <w:sz w:val="20"/>
                <w:szCs w:val="20"/>
              </w:rPr>
            </w:pPr>
            <w:r w:rsidRPr="00202B64">
              <w:rPr>
                <w:rFonts w:ascii="Times New Roman" w:hAnsi="Times New Roman" w:cs="Times New Roman"/>
                <w:sz w:val="20"/>
                <w:szCs w:val="20"/>
              </w:rPr>
              <w:t xml:space="preserve">Superficial </w:t>
            </w:r>
          </w:p>
        </w:tc>
        <w:tc>
          <w:tcPr>
            <w:tcW w:w="1415"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68197C">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Rio Manhuaçu</w:t>
            </w:r>
          </w:p>
        </w:tc>
        <w:tc>
          <w:tcPr>
            <w:tcW w:w="129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68197C">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Rio Manhuaçu/ Rio Doce</w:t>
            </w:r>
          </w:p>
        </w:tc>
        <w:tc>
          <w:tcPr>
            <w:tcW w:w="837"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68197C">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 xml:space="preserve">56 </w:t>
            </w:r>
          </w:p>
        </w:tc>
        <w:tc>
          <w:tcPr>
            <w:tcW w:w="1132"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68197C">
            <w:pPr>
              <w:pStyle w:val="Default"/>
              <w:spacing w:before="120" w:after="120"/>
              <w:rPr>
                <w:rFonts w:ascii="Times New Roman" w:hAnsi="Times New Roman" w:cs="Times New Roman"/>
                <w:sz w:val="20"/>
                <w:szCs w:val="20"/>
              </w:rPr>
            </w:pPr>
            <w:r w:rsidRPr="00202B64">
              <w:rPr>
                <w:rFonts w:ascii="Times New Roman" w:hAnsi="Times New Roman" w:cs="Times New Roman"/>
                <w:sz w:val="20"/>
                <w:szCs w:val="20"/>
              </w:rPr>
              <w:t xml:space="preserve">Recalque </w:t>
            </w:r>
          </w:p>
        </w:tc>
        <w:tc>
          <w:tcPr>
            <w:tcW w:w="1267"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68197C">
            <w:pPr>
              <w:pStyle w:val="Default"/>
              <w:spacing w:before="120" w:after="120"/>
              <w:jc w:val="center"/>
              <w:rPr>
                <w:rFonts w:ascii="Times New Roman" w:hAnsi="Times New Roman" w:cs="Times New Roman"/>
                <w:sz w:val="20"/>
                <w:szCs w:val="20"/>
                <w:highlight w:val="yellow"/>
              </w:rPr>
            </w:pPr>
            <w:r w:rsidRPr="00202B64">
              <w:rPr>
                <w:rFonts w:ascii="Times New Roman" w:hAnsi="Times New Roman" w:cs="Times New Roman"/>
                <w:sz w:val="20"/>
                <w:szCs w:val="20"/>
              </w:rPr>
              <w:t xml:space="preserve">Não Presente </w:t>
            </w:r>
          </w:p>
        </w:tc>
      </w:tr>
    </w:tbl>
    <w:p w:rsidR="00E32574" w:rsidRPr="00E11E1B" w:rsidRDefault="00E32574" w:rsidP="008846C3">
      <w:pPr>
        <w:pStyle w:val="Fonte"/>
      </w:pPr>
      <w:r w:rsidRPr="00E11E1B">
        <w:t>Fonte: SAAE, 2013.</w:t>
      </w:r>
    </w:p>
    <w:p w:rsidR="00E32574" w:rsidRPr="008846C3" w:rsidRDefault="00E32574" w:rsidP="0068197C">
      <w:pPr>
        <w:pStyle w:val="CM71"/>
        <w:spacing w:line="360" w:lineRule="auto"/>
        <w:ind w:firstLine="709"/>
        <w:jc w:val="both"/>
        <w:rPr>
          <w:rFonts w:ascii="Times New Roman" w:hAnsi="Times New Roman" w:cs="Times New Roman"/>
          <w:spacing w:val="-2"/>
        </w:rPr>
      </w:pPr>
      <w:r w:rsidRPr="008846C3">
        <w:rPr>
          <w:rFonts w:ascii="Times New Roman" w:hAnsi="Times New Roman" w:cs="Times New Roman"/>
          <w:spacing w:val="-2"/>
        </w:rPr>
        <w:t xml:space="preserve">A captação da ETA Aimorés está próximo ao Pontilhão da Estrada de Ferro Vitória-Minas e é feita no Rio Manhuaçu, na bacia do rio Manhuaçu (pertencente à bacia do rio Doce) (Figura </w:t>
      </w:r>
      <w:r w:rsidR="0068197C">
        <w:rPr>
          <w:rFonts w:ascii="Times New Roman" w:hAnsi="Times New Roman" w:cs="Times New Roman"/>
          <w:spacing w:val="-2"/>
        </w:rPr>
        <w:t>39</w:t>
      </w:r>
      <w:r w:rsidRPr="008846C3">
        <w:rPr>
          <w:rFonts w:ascii="Times New Roman" w:hAnsi="Times New Roman" w:cs="Times New Roman"/>
          <w:spacing w:val="-2"/>
        </w:rPr>
        <w:t>). O rendimento específico médio mensal da ETA Aimorés, ou sua contribuição unitária mínima com 10 anos de recorrência (Re), é de 20,86 l/s/km</w:t>
      </w:r>
      <w:r w:rsidRPr="008846C3">
        <w:rPr>
          <w:rFonts w:ascii="Times New Roman" w:hAnsi="Times New Roman" w:cs="Times New Roman"/>
          <w:spacing w:val="-2"/>
          <w:vertAlign w:val="superscript"/>
        </w:rPr>
        <w:t>2</w:t>
      </w:r>
      <w:r w:rsidRPr="008846C3">
        <w:rPr>
          <w:rFonts w:ascii="Times New Roman" w:hAnsi="Times New Roman" w:cs="Times New Roman"/>
          <w:spacing w:val="-2"/>
        </w:rPr>
        <w:t xml:space="preserve">. </w:t>
      </w:r>
    </w:p>
    <w:p w:rsidR="00E32574" w:rsidRPr="00F36B77" w:rsidRDefault="00CB07F3" w:rsidP="00CB07F3">
      <w:pPr>
        <w:pStyle w:val="Legenda"/>
        <w:rPr>
          <w:color w:val="000000"/>
        </w:rPr>
      </w:pPr>
      <w:bookmarkStart w:id="229" w:name="_Toc372740122"/>
      <w:r>
        <w:t xml:space="preserve">Figura </w:t>
      </w:r>
      <w:fldSimple w:instr=" SEQ Figura \* ARABIC ">
        <w:r w:rsidR="004F77E2">
          <w:rPr>
            <w:noProof/>
          </w:rPr>
          <w:t>39</w:t>
        </w:r>
      </w:fldSimple>
      <w:r>
        <w:t xml:space="preserve"> - </w:t>
      </w:r>
      <w:r w:rsidRPr="00D06DDF">
        <w:t>Local de Captação no rio Manhuaçu (Local: 24K 0279712 7844239/Altitude: 88 m)</w:t>
      </w:r>
      <w:bookmarkEnd w:id="229"/>
    </w:p>
    <w:p w:rsidR="00E32574" w:rsidRDefault="00E32574" w:rsidP="00E32574">
      <w:pPr>
        <w:jc w:val="center"/>
      </w:pPr>
      <w:r>
        <w:rPr>
          <w:noProof/>
          <w:lang w:eastAsia="pt-BR"/>
        </w:rPr>
        <w:drawing>
          <wp:inline distT="0" distB="0" distL="0" distR="0" wp14:anchorId="4C44135D" wp14:editId="6AA7B7F7">
            <wp:extent cx="4429600" cy="3363117"/>
            <wp:effectExtent l="19050" t="0" r="9050" b="0"/>
            <wp:docPr id="142" name="Imagem 142" descr="Foto 69 Ponto 134  Rio Manhuaçu local onde se capta agua para abastecimen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Foto 69 Ponto 134  Rio Manhuaçu local onde se capta agua para abastecimento.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461173" cy="3387088"/>
                    </a:xfrm>
                    <a:prstGeom prst="rect">
                      <a:avLst/>
                    </a:prstGeom>
                    <a:noFill/>
                    <a:ln>
                      <a:noFill/>
                    </a:ln>
                  </pic:spPr>
                </pic:pic>
              </a:graphicData>
            </a:graphic>
          </wp:inline>
        </w:drawing>
      </w:r>
    </w:p>
    <w:p w:rsidR="00E32574" w:rsidRDefault="00E32574" w:rsidP="00B244CE">
      <w:pPr>
        <w:pStyle w:val="Fonte"/>
        <w:ind w:left="709"/>
        <w:rPr>
          <w:lang w:eastAsia="pt-BR"/>
        </w:rPr>
      </w:pPr>
      <w:r w:rsidRPr="00192C99">
        <w:rPr>
          <w:lang w:eastAsia="pt-BR"/>
        </w:rPr>
        <w:t xml:space="preserve">Fonte: Fundação </w:t>
      </w:r>
      <w:r w:rsidRPr="008846C3">
        <w:t>Educacional</w:t>
      </w:r>
      <w:r w:rsidRPr="00192C99">
        <w:rPr>
          <w:lang w:eastAsia="pt-BR"/>
        </w:rPr>
        <w:t xml:space="preserve"> de Caratinga - FUNEC, 2013.</w:t>
      </w:r>
    </w:p>
    <w:p w:rsidR="00E32574" w:rsidRDefault="00E32574" w:rsidP="0068197C">
      <w:pPr>
        <w:spacing w:after="0" w:line="360" w:lineRule="auto"/>
        <w:ind w:firstLine="708"/>
        <w:jc w:val="both"/>
      </w:pPr>
      <w:r w:rsidRPr="00F834D8">
        <w:rPr>
          <w:lang w:eastAsia="pt-BR"/>
        </w:rPr>
        <w:lastRenderedPageBreak/>
        <w:t xml:space="preserve">Na Figura </w:t>
      </w:r>
      <w:r w:rsidR="0068197C">
        <w:rPr>
          <w:lang w:eastAsia="pt-BR"/>
        </w:rPr>
        <w:t>40</w:t>
      </w:r>
      <w:r w:rsidRPr="00F834D8">
        <w:rPr>
          <w:lang w:eastAsia="pt-BR"/>
        </w:rPr>
        <w:t xml:space="preserve"> pode se observar o gradeamento que é a operação de remoção de sólidos relativamente grosseiros, em suspensão ou flutuantes, retidos por meio de grades ou telas. O dispositivo foi colocado na entrada da casa de bombas do sistema de abastecimento de água.</w:t>
      </w:r>
    </w:p>
    <w:p w:rsidR="00E32574" w:rsidRPr="00454E04" w:rsidRDefault="00CB07F3" w:rsidP="00CB07F3">
      <w:pPr>
        <w:pStyle w:val="Legenda"/>
        <w:rPr>
          <w:b w:val="0"/>
          <w:bCs w:val="0"/>
        </w:rPr>
      </w:pPr>
      <w:bookmarkStart w:id="230" w:name="_Toc372740123"/>
      <w:r>
        <w:t xml:space="preserve">Figura </w:t>
      </w:r>
      <w:fldSimple w:instr=" SEQ Figura \* ARABIC ">
        <w:r w:rsidR="004F77E2">
          <w:rPr>
            <w:noProof/>
          </w:rPr>
          <w:t>40</w:t>
        </w:r>
      </w:fldSimple>
      <w:r>
        <w:t xml:space="preserve"> - </w:t>
      </w:r>
      <w:r w:rsidRPr="00192CEA">
        <w:t xml:space="preserve"> Vista da tomada de água no rio é realizada por uma caixa de coleta protegida por gradeamento. (Local: 24K 0279712 7844239/Altitude: 88 m).</w:t>
      </w:r>
      <w:bookmarkEnd w:id="230"/>
    </w:p>
    <w:p w:rsidR="00E32574" w:rsidRDefault="00E32574" w:rsidP="00E32574">
      <w:pPr>
        <w:jc w:val="center"/>
      </w:pPr>
      <w:r>
        <w:rPr>
          <w:noProof/>
          <w:lang w:eastAsia="pt-BR"/>
        </w:rPr>
        <w:drawing>
          <wp:inline distT="0" distB="0" distL="0" distR="0" wp14:anchorId="3F496F20" wp14:editId="7F38E3C8">
            <wp:extent cx="5173538" cy="3927944"/>
            <wp:effectExtent l="19050" t="0" r="8062" b="0"/>
            <wp:docPr id="141" name="Imagem 141" descr="Foto 70 Ponto 134  Gr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Foto 70 Ponto 134  Grade.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198189" cy="3946660"/>
                    </a:xfrm>
                    <a:prstGeom prst="rect">
                      <a:avLst/>
                    </a:prstGeom>
                    <a:noFill/>
                    <a:ln>
                      <a:noFill/>
                    </a:ln>
                  </pic:spPr>
                </pic:pic>
              </a:graphicData>
            </a:graphic>
          </wp:inline>
        </w:drawing>
      </w:r>
    </w:p>
    <w:p w:rsidR="00E32574" w:rsidRPr="00192C99" w:rsidRDefault="00B244CE" w:rsidP="00B244CE">
      <w:pPr>
        <w:pStyle w:val="Fonte"/>
        <w:rPr>
          <w:lang w:eastAsia="pt-BR"/>
        </w:rPr>
      </w:pPr>
      <w:r>
        <w:rPr>
          <w:lang w:eastAsia="pt-BR"/>
        </w:rPr>
        <w:t xml:space="preserve">   </w:t>
      </w:r>
      <w:r w:rsidR="00E32574" w:rsidRPr="00192C99">
        <w:rPr>
          <w:lang w:eastAsia="pt-BR"/>
        </w:rPr>
        <w:t>Fonte: Fundação Educacional de Caratinga - FUNEC, 2013.</w:t>
      </w:r>
    </w:p>
    <w:p w:rsidR="004D6A9A" w:rsidRDefault="00E32574" w:rsidP="00922902">
      <w:pPr>
        <w:pStyle w:val="CM71"/>
        <w:spacing w:line="360" w:lineRule="auto"/>
        <w:ind w:firstLine="709"/>
        <w:jc w:val="both"/>
        <w:rPr>
          <w:rFonts w:eastAsia="Times New Roman" w:cs="Tahoma"/>
          <w:b/>
          <w:bCs/>
          <w:szCs w:val="20"/>
        </w:rPr>
      </w:pPr>
      <w:r>
        <w:rPr>
          <w:rFonts w:ascii="Times New Roman" w:hAnsi="Times New Roman" w:cs="Times New Roman"/>
        </w:rPr>
        <w:t xml:space="preserve">Após o gradeamento, a água entra no tanque Desanerador que é um dispositivo para remover a areia presente nas águas brutas (Figura </w:t>
      </w:r>
      <w:r w:rsidR="00AE3D64">
        <w:rPr>
          <w:rFonts w:ascii="Times New Roman" w:hAnsi="Times New Roman" w:cs="Times New Roman"/>
        </w:rPr>
        <w:t>41</w:t>
      </w:r>
      <w:r>
        <w:rPr>
          <w:rFonts w:ascii="Times New Roman" w:hAnsi="Times New Roman" w:cs="Times New Roman"/>
        </w:rPr>
        <w:t xml:space="preserve">). Na Casa de Bombas (Figura </w:t>
      </w:r>
      <w:r w:rsidR="00AE3D64">
        <w:rPr>
          <w:rFonts w:ascii="Times New Roman" w:hAnsi="Times New Roman" w:cs="Times New Roman"/>
        </w:rPr>
        <w:t>42</w:t>
      </w:r>
      <w:r>
        <w:rPr>
          <w:rFonts w:ascii="Times New Roman" w:hAnsi="Times New Roman" w:cs="Times New Roman"/>
        </w:rPr>
        <w:t>), a</w:t>
      </w:r>
      <w:r w:rsidRPr="000B4647">
        <w:rPr>
          <w:rFonts w:ascii="Times New Roman" w:hAnsi="Times New Roman" w:cs="Times New Roman"/>
        </w:rPr>
        <w:t xml:space="preserve"> água captada é aduzida por </w:t>
      </w:r>
      <w:r>
        <w:rPr>
          <w:rFonts w:ascii="Times New Roman" w:hAnsi="Times New Roman" w:cs="Times New Roman"/>
        </w:rPr>
        <w:t>recalque, utilizando três bombas do tipo centrífuga (101 cv de potência, t</w:t>
      </w:r>
      <w:r w:rsidRPr="00CF2437">
        <w:rPr>
          <w:rFonts w:ascii="Times New Roman" w:hAnsi="Times New Roman" w:cs="Times New Roman"/>
          <w:vertAlign w:val="subscript"/>
        </w:rPr>
        <w:t>f</w:t>
      </w:r>
      <w:r>
        <w:rPr>
          <w:rFonts w:ascii="Times New Roman" w:hAnsi="Times New Roman" w:cs="Times New Roman"/>
        </w:rPr>
        <w:t xml:space="preserve"> 19 h/dia) (Figura </w:t>
      </w:r>
      <w:r w:rsidR="00AE3D64">
        <w:rPr>
          <w:rFonts w:ascii="Times New Roman" w:hAnsi="Times New Roman" w:cs="Times New Roman"/>
        </w:rPr>
        <w:t>43</w:t>
      </w:r>
      <w:r>
        <w:rPr>
          <w:rFonts w:ascii="Times New Roman" w:hAnsi="Times New Roman" w:cs="Times New Roman"/>
        </w:rPr>
        <w:t>), a energia elétrica é fornecida pela CEMIG, a vazão de cada bomba é de 53 L.s</w:t>
      </w:r>
      <w:r w:rsidRPr="000C7BE6">
        <w:rPr>
          <w:rFonts w:ascii="Times New Roman" w:hAnsi="Times New Roman" w:cs="Times New Roman"/>
          <w:vertAlign w:val="superscript"/>
        </w:rPr>
        <w:t>-1</w:t>
      </w:r>
      <w:r w:rsidRPr="000B4647">
        <w:rPr>
          <w:rFonts w:ascii="Times New Roman" w:hAnsi="Times New Roman" w:cs="Times New Roman"/>
        </w:rPr>
        <w:t xml:space="preserve"> </w:t>
      </w:r>
      <w:r>
        <w:rPr>
          <w:rFonts w:ascii="Times New Roman" w:hAnsi="Times New Roman" w:cs="Times New Roman"/>
        </w:rPr>
        <w:t xml:space="preserve">e a bomba possuem sete anos de uso (Figura </w:t>
      </w:r>
      <w:r w:rsidR="00AE3D64">
        <w:rPr>
          <w:rFonts w:ascii="Times New Roman" w:hAnsi="Times New Roman" w:cs="Times New Roman"/>
        </w:rPr>
        <w:t>44</w:t>
      </w:r>
      <w:r>
        <w:rPr>
          <w:rFonts w:ascii="Times New Roman" w:hAnsi="Times New Roman" w:cs="Times New Roman"/>
        </w:rPr>
        <w:t xml:space="preserve">). Uma das bombas funciona constantemente. A água captada é conduzida </w:t>
      </w:r>
      <w:r w:rsidRPr="000B4647">
        <w:rPr>
          <w:rFonts w:ascii="Times New Roman" w:hAnsi="Times New Roman" w:cs="Times New Roman"/>
        </w:rPr>
        <w:t>através de uma adutora de ferro fundido de</w:t>
      </w:r>
      <w:r>
        <w:rPr>
          <w:rFonts w:ascii="Times New Roman" w:hAnsi="Times New Roman" w:cs="Times New Roman"/>
        </w:rPr>
        <w:t xml:space="preserve"> 300 mm de diâmetro e 3,8</w:t>
      </w:r>
      <w:r w:rsidRPr="000B4647">
        <w:rPr>
          <w:rFonts w:ascii="Times New Roman" w:hAnsi="Times New Roman" w:cs="Times New Roman"/>
        </w:rPr>
        <w:t xml:space="preserve"> </w:t>
      </w:r>
      <w:r>
        <w:rPr>
          <w:rFonts w:ascii="Times New Roman" w:hAnsi="Times New Roman" w:cs="Times New Roman"/>
        </w:rPr>
        <w:t>k</w:t>
      </w:r>
      <w:r w:rsidRPr="000B4647">
        <w:rPr>
          <w:rFonts w:ascii="Times New Roman" w:hAnsi="Times New Roman" w:cs="Times New Roman"/>
        </w:rPr>
        <w:t>m de comprimento</w:t>
      </w:r>
      <w:r>
        <w:rPr>
          <w:rFonts w:ascii="Times New Roman" w:hAnsi="Times New Roman" w:cs="Times New Roman"/>
        </w:rPr>
        <w:t xml:space="preserve"> sob Regime Dc R(x)</w:t>
      </w:r>
      <w:r w:rsidRPr="000B4647">
        <w:rPr>
          <w:rFonts w:ascii="Times New Roman" w:hAnsi="Times New Roman" w:cs="Times New Roman"/>
        </w:rPr>
        <w:t xml:space="preserve"> até a estação de tratamento de água </w:t>
      </w:r>
      <w:r>
        <w:rPr>
          <w:rFonts w:ascii="Times New Roman" w:hAnsi="Times New Roman" w:cs="Times New Roman"/>
        </w:rPr>
        <w:t>de Aimorés</w:t>
      </w:r>
      <w:r w:rsidRPr="000B4647">
        <w:rPr>
          <w:rFonts w:ascii="Times New Roman" w:hAnsi="Times New Roman" w:cs="Times New Roman"/>
        </w:rPr>
        <w:t>, localizada na parte sul da sede e Aimorés.</w:t>
      </w:r>
    </w:p>
    <w:p w:rsidR="008846C3" w:rsidRPr="00454E04" w:rsidRDefault="00CB07F3" w:rsidP="00CB07F3">
      <w:pPr>
        <w:pStyle w:val="Legenda"/>
      </w:pPr>
      <w:bookmarkStart w:id="231" w:name="_Toc372740124"/>
      <w:r>
        <w:lastRenderedPageBreak/>
        <w:t xml:space="preserve">Figura </w:t>
      </w:r>
      <w:fldSimple w:instr=" SEQ Figura \* ARABIC ">
        <w:r w:rsidR="004F77E2">
          <w:rPr>
            <w:noProof/>
          </w:rPr>
          <w:t>41</w:t>
        </w:r>
      </w:fldSimple>
      <w:r>
        <w:t xml:space="preserve"> - </w:t>
      </w:r>
      <w:r w:rsidRPr="007E5940">
        <w:rPr>
          <w:noProof/>
        </w:rPr>
        <w:t>Vista de parte da estrutura do Desarenador (Local: 24K 0279712 7844239/Altitude: 88 m).</w:t>
      </w:r>
      <w:bookmarkEnd w:id="231"/>
    </w:p>
    <w:p w:rsidR="00E32574" w:rsidRDefault="00E32574" w:rsidP="00E32574">
      <w:pPr>
        <w:jc w:val="center"/>
        <w:rPr>
          <w:lang w:eastAsia="pt-BR"/>
        </w:rPr>
      </w:pPr>
      <w:r>
        <w:rPr>
          <w:noProof/>
          <w:lang w:eastAsia="pt-BR"/>
        </w:rPr>
        <w:drawing>
          <wp:inline distT="0" distB="0" distL="0" distR="0" wp14:anchorId="44876299" wp14:editId="18DE53A3">
            <wp:extent cx="3995479" cy="5318150"/>
            <wp:effectExtent l="0" t="0" r="5080" b="0"/>
            <wp:docPr id="140" name="Imagem 140" descr="Foto 72 Ponto 134  Desarenad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Foto 72 Ponto 134  Desarenador.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018570" cy="5348886"/>
                    </a:xfrm>
                    <a:prstGeom prst="rect">
                      <a:avLst/>
                    </a:prstGeom>
                    <a:noFill/>
                    <a:ln>
                      <a:noFill/>
                    </a:ln>
                  </pic:spPr>
                </pic:pic>
              </a:graphicData>
            </a:graphic>
          </wp:inline>
        </w:drawing>
      </w:r>
    </w:p>
    <w:p w:rsidR="00E32574" w:rsidRPr="00192C99" w:rsidRDefault="00CA0C81" w:rsidP="00B244CE">
      <w:pPr>
        <w:pStyle w:val="Fonte"/>
        <w:ind w:left="993"/>
        <w:rPr>
          <w:lang w:eastAsia="pt-BR"/>
        </w:rPr>
      </w:pPr>
      <w:r>
        <w:rPr>
          <w:lang w:eastAsia="pt-BR"/>
        </w:rPr>
        <w:t xml:space="preserve"> </w:t>
      </w:r>
      <w:r w:rsidR="00E32574" w:rsidRPr="00192C99">
        <w:rPr>
          <w:lang w:eastAsia="pt-BR"/>
        </w:rPr>
        <w:t>Fonte: Fundação Educacional de Caratinga - FUNEC, 2013.</w:t>
      </w:r>
    </w:p>
    <w:p w:rsidR="008846C3" w:rsidRDefault="008846C3">
      <w:pPr>
        <w:spacing w:after="200" w:line="276" w:lineRule="auto"/>
        <w:rPr>
          <w:rFonts w:eastAsiaTheme="minorEastAsia" w:cs="Times New Roman"/>
          <w:bCs/>
          <w:szCs w:val="24"/>
          <w:lang w:eastAsia="pt-BR"/>
        </w:rPr>
      </w:pPr>
      <w:r>
        <w:br w:type="page"/>
      </w:r>
    </w:p>
    <w:p w:rsidR="008846C3" w:rsidRDefault="00CB07F3" w:rsidP="00CB07F3">
      <w:pPr>
        <w:pStyle w:val="Legenda"/>
      </w:pPr>
      <w:bookmarkStart w:id="232" w:name="_Toc372740125"/>
      <w:r>
        <w:lastRenderedPageBreak/>
        <w:t xml:space="preserve">Figura </w:t>
      </w:r>
      <w:fldSimple w:instr=" SEQ Figura \* ARABIC ">
        <w:r w:rsidR="004F77E2">
          <w:rPr>
            <w:noProof/>
          </w:rPr>
          <w:t>42</w:t>
        </w:r>
      </w:fldSimple>
      <w:r>
        <w:t xml:space="preserve"> - </w:t>
      </w:r>
      <w:r w:rsidRPr="00F31B67">
        <w:t>Aspecto visual do bombeamento da água (Local: 24K 0279712 7844239/Altitude: 88 m).</w:t>
      </w:r>
      <w:bookmarkEnd w:id="232"/>
    </w:p>
    <w:p w:rsidR="00E32574" w:rsidRDefault="00E32574" w:rsidP="004B6B35">
      <w:pPr>
        <w:spacing w:after="0"/>
        <w:jc w:val="center"/>
        <w:rPr>
          <w:lang w:eastAsia="pt-BR"/>
        </w:rPr>
      </w:pPr>
      <w:r>
        <w:rPr>
          <w:noProof/>
          <w:lang w:eastAsia="pt-BR"/>
        </w:rPr>
        <w:drawing>
          <wp:inline distT="0" distB="0" distL="0" distR="0" wp14:anchorId="243B55B4" wp14:editId="1353AACB">
            <wp:extent cx="4356666" cy="3307743"/>
            <wp:effectExtent l="19050" t="0" r="5784" b="0"/>
            <wp:docPr id="139" name="Imagem 139" descr="Foto 66 Ponto 134 Bombeamento de á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Foto 66 Ponto 134 Bombeamento de água.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373252" cy="3320336"/>
                    </a:xfrm>
                    <a:prstGeom prst="rect">
                      <a:avLst/>
                    </a:prstGeom>
                    <a:noFill/>
                    <a:ln>
                      <a:noFill/>
                    </a:ln>
                  </pic:spPr>
                </pic:pic>
              </a:graphicData>
            </a:graphic>
          </wp:inline>
        </w:drawing>
      </w:r>
    </w:p>
    <w:p w:rsidR="00E32574" w:rsidRPr="00192C99" w:rsidRDefault="00E32574" w:rsidP="00B244CE">
      <w:pPr>
        <w:pStyle w:val="Fonte"/>
        <w:ind w:left="851"/>
        <w:rPr>
          <w:lang w:eastAsia="pt-BR"/>
        </w:rPr>
      </w:pPr>
      <w:r w:rsidRPr="00192C99">
        <w:rPr>
          <w:lang w:eastAsia="pt-BR"/>
        </w:rPr>
        <w:t>Fonte: Fundação Educacional de Caratinga - FUNEC, 2013.</w:t>
      </w:r>
    </w:p>
    <w:p w:rsidR="008846C3" w:rsidRDefault="00CB07F3" w:rsidP="00CB07F3">
      <w:pPr>
        <w:pStyle w:val="Legenda"/>
      </w:pPr>
      <w:bookmarkStart w:id="233" w:name="_Toc372740126"/>
      <w:r>
        <w:t xml:space="preserve">Figura </w:t>
      </w:r>
      <w:fldSimple w:instr=" SEQ Figura \* ARABIC ">
        <w:r w:rsidR="004F77E2">
          <w:rPr>
            <w:noProof/>
          </w:rPr>
          <w:t>43</w:t>
        </w:r>
      </w:fldSimple>
      <w:r>
        <w:t xml:space="preserve"> - </w:t>
      </w:r>
      <w:r w:rsidRPr="00F50D8B">
        <w:t>Casa de Bombas (Local: 24K 0279712 7844239/Altitude: 88 m).</w:t>
      </w:r>
      <w:bookmarkEnd w:id="233"/>
    </w:p>
    <w:p w:rsidR="00E32574" w:rsidRDefault="00E32574" w:rsidP="004B6B35">
      <w:pPr>
        <w:spacing w:after="0"/>
        <w:jc w:val="center"/>
        <w:rPr>
          <w:lang w:eastAsia="pt-BR"/>
        </w:rPr>
      </w:pPr>
      <w:r>
        <w:rPr>
          <w:noProof/>
          <w:lang w:eastAsia="pt-BR"/>
        </w:rPr>
        <w:drawing>
          <wp:inline distT="0" distB="0" distL="0" distR="0" wp14:anchorId="0BCBDD67" wp14:editId="26F97FFA">
            <wp:extent cx="4400692" cy="3341169"/>
            <wp:effectExtent l="19050" t="0" r="0" b="0"/>
            <wp:docPr id="138" name="Imagem 138" descr="Foto 76 Ponto 134 Casa de Bomb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Foto 76 Ponto 134 Casa de Bombas.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420191" cy="3355973"/>
                    </a:xfrm>
                    <a:prstGeom prst="rect">
                      <a:avLst/>
                    </a:prstGeom>
                    <a:noFill/>
                    <a:ln>
                      <a:noFill/>
                    </a:ln>
                  </pic:spPr>
                </pic:pic>
              </a:graphicData>
            </a:graphic>
          </wp:inline>
        </w:drawing>
      </w:r>
    </w:p>
    <w:p w:rsidR="00E32574" w:rsidRPr="00192C99" w:rsidRDefault="00CA0C81" w:rsidP="00B244CE">
      <w:pPr>
        <w:pStyle w:val="Fonte"/>
        <w:ind w:firstLine="709"/>
        <w:rPr>
          <w:lang w:eastAsia="pt-BR"/>
        </w:rPr>
      </w:pPr>
      <w:r>
        <w:rPr>
          <w:lang w:eastAsia="pt-BR"/>
        </w:rPr>
        <w:t xml:space="preserve"> </w:t>
      </w:r>
      <w:r w:rsidR="00E32574" w:rsidRPr="00192C99">
        <w:rPr>
          <w:lang w:eastAsia="pt-BR"/>
        </w:rPr>
        <w:t>Fonte: Fundação Educacional de Caratinga - FUNEC, 2013.</w:t>
      </w:r>
    </w:p>
    <w:p w:rsidR="008846C3" w:rsidRDefault="00CB07F3" w:rsidP="00CB07F3">
      <w:pPr>
        <w:pStyle w:val="Legenda"/>
      </w:pPr>
      <w:bookmarkStart w:id="234" w:name="_Toc372740127"/>
      <w:r>
        <w:lastRenderedPageBreak/>
        <w:t xml:space="preserve">Figura </w:t>
      </w:r>
      <w:fldSimple w:instr=" SEQ Figura \* ARABIC ">
        <w:r w:rsidR="004F77E2">
          <w:rPr>
            <w:noProof/>
          </w:rPr>
          <w:t>44</w:t>
        </w:r>
      </w:fldSimple>
      <w:r>
        <w:t xml:space="preserve"> - </w:t>
      </w:r>
      <w:r w:rsidRPr="008D4CD4">
        <w:rPr>
          <w:noProof/>
        </w:rPr>
        <w:t>Conjunto de Moto-Bombas (Local: 24K 0279712 7844239/Altitude: 88 m).</w:t>
      </w:r>
      <w:bookmarkEnd w:id="234"/>
    </w:p>
    <w:p w:rsidR="00E32574" w:rsidRDefault="00E32574" w:rsidP="00E32574">
      <w:pPr>
        <w:jc w:val="center"/>
        <w:rPr>
          <w:lang w:eastAsia="pt-BR"/>
        </w:rPr>
      </w:pPr>
      <w:r>
        <w:rPr>
          <w:noProof/>
          <w:lang w:eastAsia="pt-BR"/>
        </w:rPr>
        <w:drawing>
          <wp:inline distT="0" distB="0" distL="0" distR="0" wp14:anchorId="4CAF5F34" wp14:editId="7EE42F5E">
            <wp:extent cx="4262120" cy="3235960"/>
            <wp:effectExtent l="0" t="0" r="0" b="0"/>
            <wp:docPr id="137" name="Imagem 137" descr="Foto 65 Ponto 134 Casa de Bom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Foto 65 Ponto 134 Casa de Bomba.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262120" cy="3235960"/>
                    </a:xfrm>
                    <a:prstGeom prst="rect">
                      <a:avLst/>
                    </a:prstGeom>
                    <a:noFill/>
                    <a:ln>
                      <a:noFill/>
                    </a:ln>
                  </pic:spPr>
                </pic:pic>
              </a:graphicData>
            </a:graphic>
          </wp:inline>
        </w:drawing>
      </w:r>
    </w:p>
    <w:p w:rsidR="00E32574" w:rsidRPr="00192C99" w:rsidRDefault="00E32574" w:rsidP="00AE3D64">
      <w:pPr>
        <w:pStyle w:val="Fonte"/>
        <w:ind w:firstLine="851"/>
        <w:rPr>
          <w:lang w:eastAsia="pt-BR"/>
        </w:rPr>
      </w:pPr>
      <w:r w:rsidRPr="00192C99">
        <w:rPr>
          <w:lang w:eastAsia="pt-BR"/>
        </w:rPr>
        <w:t>Fonte: Fundação Educacional de Caratinga - FUNEC, 2013.</w:t>
      </w:r>
    </w:p>
    <w:p w:rsidR="00E32574" w:rsidRDefault="00E32574" w:rsidP="00E32574">
      <w:pPr>
        <w:pStyle w:val="CM71"/>
        <w:spacing w:line="360" w:lineRule="auto"/>
        <w:ind w:firstLine="708"/>
        <w:jc w:val="both"/>
        <w:rPr>
          <w:rFonts w:ascii="Times New Roman" w:hAnsi="Times New Roman" w:cs="Times New Roman"/>
        </w:rPr>
      </w:pPr>
      <w:r w:rsidRPr="000B4647">
        <w:rPr>
          <w:rFonts w:ascii="Times New Roman" w:hAnsi="Times New Roman" w:cs="Times New Roman"/>
        </w:rPr>
        <w:t xml:space="preserve">A ETA </w:t>
      </w:r>
      <w:r>
        <w:rPr>
          <w:rFonts w:ascii="Times New Roman" w:hAnsi="Times New Roman" w:cs="Times New Roman"/>
        </w:rPr>
        <w:t>Aimorés possui a capacidade de tratar 53 L.s</w:t>
      </w:r>
      <w:r w:rsidRPr="000C7BE6">
        <w:rPr>
          <w:rFonts w:ascii="Times New Roman" w:hAnsi="Times New Roman" w:cs="Times New Roman"/>
          <w:vertAlign w:val="superscript"/>
        </w:rPr>
        <w:t>-1</w:t>
      </w:r>
      <w:r w:rsidRPr="000B4647">
        <w:rPr>
          <w:rFonts w:ascii="Times New Roman" w:hAnsi="Times New Roman" w:cs="Times New Roman"/>
        </w:rPr>
        <w:t xml:space="preserve">. Nela, a água bruta captada passa primeiramente por uma mistura rápida em uma calha parshall onde recebe produtos químicos floculadores (sulfato de alumínio), em seguida a água é direcionada para o floculador hidráulico do tipo </w:t>
      </w:r>
      <w:r>
        <w:rPr>
          <w:rFonts w:ascii="Times New Roman" w:hAnsi="Times New Roman" w:cs="Times New Roman"/>
        </w:rPr>
        <w:t>Gicana n° 18 com capacidade de 4 m³</w:t>
      </w:r>
      <w:r w:rsidRPr="000B4647">
        <w:rPr>
          <w:rFonts w:ascii="Times New Roman" w:hAnsi="Times New Roman" w:cs="Times New Roman"/>
        </w:rPr>
        <w:t>. Após a etapa da floculação</w:t>
      </w:r>
      <w:r>
        <w:rPr>
          <w:rStyle w:val="Refdenotaderodap"/>
          <w:rFonts w:ascii="Times New Roman" w:hAnsi="Times New Roman"/>
        </w:rPr>
        <w:footnoteReference w:id="15"/>
      </w:r>
      <w:r w:rsidRPr="000B4647">
        <w:rPr>
          <w:rFonts w:ascii="Times New Roman" w:hAnsi="Times New Roman" w:cs="Times New Roman"/>
        </w:rPr>
        <w:t xml:space="preserve">, a água é conduzida por um canal até as duas unidades de decantadores com vazão de </w:t>
      </w:r>
      <w:r w:rsidRPr="00CF2437">
        <w:rPr>
          <w:rFonts w:ascii="Times New Roman" w:hAnsi="Times New Roman" w:cs="Times New Roman"/>
        </w:rPr>
        <w:t>28 Ls</w:t>
      </w:r>
      <w:r w:rsidR="00AE3D64" w:rsidRPr="00AE3D64">
        <w:rPr>
          <w:rFonts w:ascii="Times New Roman" w:hAnsi="Times New Roman" w:cs="Times New Roman"/>
          <w:vertAlign w:val="superscript"/>
        </w:rPr>
        <w:t>-1</w:t>
      </w:r>
      <w:r w:rsidRPr="000B4647">
        <w:rPr>
          <w:rFonts w:ascii="Times New Roman" w:hAnsi="Times New Roman" w:cs="Times New Roman"/>
        </w:rPr>
        <w:t xml:space="preserve"> cada e em seguida é direcionada para </w:t>
      </w:r>
      <w:r>
        <w:rPr>
          <w:rFonts w:ascii="Times New Roman" w:hAnsi="Times New Roman" w:cs="Times New Roman"/>
        </w:rPr>
        <w:t>quatro</w:t>
      </w:r>
      <w:r w:rsidRPr="000B4647">
        <w:rPr>
          <w:rFonts w:ascii="Times New Roman" w:hAnsi="Times New Roman" w:cs="Times New Roman"/>
        </w:rPr>
        <w:t xml:space="preserve"> unidades de filtros </w:t>
      </w:r>
      <w:r>
        <w:rPr>
          <w:rFonts w:ascii="Times New Roman" w:hAnsi="Times New Roman" w:cs="Times New Roman"/>
        </w:rPr>
        <w:t>lentos</w:t>
      </w:r>
      <w:r w:rsidRPr="000B4647">
        <w:rPr>
          <w:rFonts w:ascii="Times New Roman" w:hAnsi="Times New Roman" w:cs="Times New Roman"/>
        </w:rPr>
        <w:t xml:space="preserve">, com vazão de </w:t>
      </w:r>
      <w:r w:rsidRPr="00CF2437">
        <w:rPr>
          <w:rFonts w:ascii="Times New Roman" w:hAnsi="Times New Roman" w:cs="Times New Roman"/>
        </w:rPr>
        <w:t xml:space="preserve">10 </w:t>
      </w:r>
      <w:r w:rsidR="00AE3D64" w:rsidRPr="00CF2437">
        <w:rPr>
          <w:rFonts w:ascii="Times New Roman" w:hAnsi="Times New Roman" w:cs="Times New Roman"/>
        </w:rPr>
        <w:t>Ls</w:t>
      </w:r>
      <w:r w:rsidR="00AE3D64" w:rsidRPr="00AE3D64">
        <w:rPr>
          <w:rFonts w:ascii="Times New Roman" w:hAnsi="Times New Roman" w:cs="Times New Roman"/>
          <w:vertAlign w:val="superscript"/>
        </w:rPr>
        <w:t>-1</w:t>
      </w:r>
      <w:r>
        <w:rPr>
          <w:rFonts w:ascii="Times New Roman" w:hAnsi="Times New Roman" w:cs="Times New Roman"/>
        </w:rPr>
        <w:t xml:space="preserve"> cada e uma área de 24 m²</w:t>
      </w:r>
      <w:r w:rsidRPr="000B4647">
        <w:rPr>
          <w:rFonts w:ascii="Times New Roman" w:hAnsi="Times New Roman" w:cs="Times New Roman"/>
        </w:rPr>
        <w:t xml:space="preserve">. </w:t>
      </w:r>
      <w:r>
        <w:rPr>
          <w:rFonts w:ascii="Times New Roman" w:hAnsi="Times New Roman" w:cs="Times New Roman"/>
        </w:rPr>
        <w:t>Na etapa de desinfecção é utilizado Hipoclorito de Sódio</w:t>
      </w:r>
      <w:r>
        <w:rPr>
          <w:rStyle w:val="Refdenotaderodap"/>
          <w:rFonts w:ascii="Times New Roman" w:hAnsi="Times New Roman"/>
        </w:rPr>
        <w:footnoteReference w:id="16"/>
      </w:r>
      <w:r>
        <w:rPr>
          <w:rFonts w:ascii="Times New Roman" w:hAnsi="Times New Roman" w:cs="Times New Roman"/>
        </w:rPr>
        <w:t>. A Casa de Química possui dois Pav</w:t>
      </w:r>
      <w:r w:rsidR="00AE3D64">
        <w:rPr>
          <w:rFonts w:ascii="Times New Roman" w:hAnsi="Times New Roman" w:cs="Times New Roman"/>
        </w:rPr>
        <w:t>imen</w:t>
      </w:r>
      <w:r>
        <w:rPr>
          <w:rFonts w:ascii="Times New Roman" w:hAnsi="Times New Roman" w:cs="Times New Roman"/>
        </w:rPr>
        <w:t>tos. O consumo mensal de pr</w:t>
      </w:r>
      <w:r w:rsidR="00AE3D64">
        <w:rPr>
          <w:rFonts w:ascii="Times New Roman" w:hAnsi="Times New Roman" w:cs="Times New Roman"/>
        </w:rPr>
        <w:t>odutos químicos está descrito no Quadro 21</w:t>
      </w:r>
      <w:r>
        <w:rPr>
          <w:rFonts w:ascii="Times New Roman" w:hAnsi="Times New Roman" w:cs="Times New Roman"/>
        </w:rPr>
        <w:t xml:space="preserve"> abaixo:</w:t>
      </w:r>
    </w:p>
    <w:p w:rsidR="0058586C" w:rsidRDefault="0058586C">
      <w:pPr>
        <w:spacing w:after="200" w:line="276" w:lineRule="auto"/>
        <w:rPr>
          <w:rFonts w:eastAsiaTheme="minorEastAsia" w:cs="Times New Roman"/>
          <w:bCs/>
          <w:szCs w:val="24"/>
          <w:lang w:eastAsia="pt-BR"/>
        </w:rPr>
      </w:pPr>
      <w:r>
        <w:br w:type="page"/>
      </w:r>
    </w:p>
    <w:p w:rsidR="00E32574" w:rsidRPr="00AE3D64" w:rsidRDefault="0075744C" w:rsidP="0075744C">
      <w:pPr>
        <w:pStyle w:val="Legenda"/>
        <w:rPr>
          <w:b w:val="0"/>
          <w:color w:val="000000"/>
        </w:rPr>
      </w:pPr>
      <w:bookmarkStart w:id="235" w:name="_Toc372740527"/>
      <w:r>
        <w:lastRenderedPageBreak/>
        <w:t xml:space="preserve">Quadro </w:t>
      </w:r>
      <w:fldSimple w:instr=" SEQ Quadro \* ARABIC ">
        <w:r w:rsidR="004F77E2">
          <w:rPr>
            <w:noProof/>
          </w:rPr>
          <w:t>21</w:t>
        </w:r>
      </w:fldSimple>
      <w:r>
        <w:t xml:space="preserve"> - </w:t>
      </w:r>
      <w:r w:rsidRPr="008D0DEB">
        <w:rPr>
          <w:noProof/>
        </w:rPr>
        <w:t>Consumo Mensal de Produtos Químicos na ETA Aimorés</w:t>
      </w:r>
      <w:r>
        <w:rPr>
          <w:noProof/>
        </w:rPr>
        <w:t>.</w:t>
      </w:r>
      <w:bookmarkEnd w:id="235"/>
    </w:p>
    <w:tbl>
      <w:tblPr>
        <w:tblW w:w="5100" w:type="dxa"/>
        <w:jc w:val="center"/>
        <w:tblLayout w:type="fixed"/>
        <w:tblLook w:val="0000" w:firstRow="0" w:lastRow="0" w:firstColumn="0" w:lastColumn="0" w:noHBand="0" w:noVBand="0"/>
      </w:tblPr>
      <w:tblGrid>
        <w:gridCol w:w="2832"/>
        <w:gridCol w:w="2268"/>
      </w:tblGrid>
      <w:tr w:rsidR="00E32574" w:rsidRPr="00202B64" w:rsidTr="002E28D7">
        <w:trPr>
          <w:trHeight w:val="715"/>
          <w:jc w:val="center"/>
        </w:trPr>
        <w:tc>
          <w:tcPr>
            <w:tcW w:w="2832" w:type="dxa"/>
            <w:tcBorders>
              <w:top w:val="single" w:sz="6" w:space="0" w:color="000000"/>
              <w:left w:val="single" w:sz="2" w:space="0" w:color="000000"/>
              <w:bottom w:val="single" w:sz="6" w:space="0" w:color="000000"/>
              <w:right w:val="single" w:sz="4" w:space="0" w:color="000000"/>
            </w:tcBorders>
            <w:shd w:val="clear" w:color="auto" w:fill="D9D9D9"/>
            <w:vAlign w:val="center"/>
          </w:tcPr>
          <w:p w:rsidR="00E32574" w:rsidRPr="00202B64" w:rsidRDefault="00E32574" w:rsidP="002E28D7">
            <w:pPr>
              <w:pStyle w:val="Default"/>
              <w:spacing w:before="120" w:after="120"/>
              <w:rPr>
                <w:rFonts w:ascii="Times New Roman" w:hAnsi="Times New Roman" w:cs="Times New Roman"/>
              </w:rPr>
            </w:pPr>
            <w:r w:rsidRPr="00202B64">
              <w:rPr>
                <w:rFonts w:ascii="Times New Roman" w:hAnsi="Times New Roman" w:cs="Times New Roman"/>
              </w:rPr>
              <w:t xml:space="preserve">Produto Químico </w:t>
            </w:r>
          </w:p>
        </w:tc>
        <w:tc>
          <w:tcPr>
            <w:tcW w:w="2268"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202B64" w:rsidRDefault="00E32574" w:rsidP="002E28D7">
            <w:pPr>
              <w:pStyle w:val="Default"/>
              <w:spacing w:before="120" w:after="120"/>
              <w:jc w:val="center"/>
              <w:rPr>
                <w:rFonts w:ascii="Times New Roman" w:hAnsi="Times New Roman" w:cs="Times New Roman"/>
              </w:rPr>
            </w:pPr>
            <w:r w:rsidRPr="00202B64">
              <w:rPr>
                <w:rFonts w:ascii="Times New Roman" w:hAnsi="Times New Roman" w:cs="Times New Roman"/>
              </w:rPr>
              <w:t>Consumo Mensal</w:t>
            </w:r>
          </w:p>
        </w:tc>
      </w:tr>
      <w:tr w:rsidR="00E32574" w:rsidRPr="00202B64" w:rsidTr="002E28D7">
        <w:trPr>
          <w:trHeight w:val="470"/>
          <w:jc w:val="center"/>
        </w:trPr>
        <w:tc>
          <w:tcPr>
            <w:tcW w:w="2832"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2E28D7">
            <w:pPr>
              <w:pStyle w:val="Default"/>
              <w:spacing w:before="120" w:after="120"/>
              <w:rPr>
                <w:rFonts w:ascii="Times New Roman" w:hAnsi="Times New Roman" w:cs="Times New Roman"/>
              </w:rPr>
            </w:pPr>
            <w:r w:rsidRPr="00202B64">
              <w:rPr>
                <w:rFonts w:ascii="Times New Roman" w:hAnsi="Times New Roman" w:cs="Times New Roman"/>
              </w:rPr>
              <w:t>Cloro Gás</w:t>
            </w:r>
          </w:p>
        </w:tc>
        <w:tc>
          <w:tcPr>
            <w:tcW w:w="2268"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2E28D7">
            <w:pPr>
              <w:pStyle w:val="Default"/>
              <w:spacing w:before="120" w:after="120"/>
              <w:jc w:val="center"/>
              <w:rPr>
                <w:rFonts w:ascii="Times New Roman" w:hAnsi="Times New Roman" w:cs="Times New Roman"/>
              </w:rPr>
            </w:pPr>
            <w:r w:rsidRPr="00202B64">
              <w:rPr>
                <w:rFonts w:ascii="Times New Roman" w:hAnsi="Times New Roman" w:cs="Times New Roman"/>
              </w:rPr>
              <w:t xml:space="preserve">Não utiliza </w:t>
            </w:r>
          </w:p>
        </w:tc>
      </w:tr>
      <w:tr w:rsidR="00E32574" w:rsidRPr="00202B64" w:rsidTr="002E28D7">
        <w:trPr>
          <w:trHeight w:val="470"/>
          <w:jc w:val="center"/>
        </w:trPr>
        <w:tc>
          <w:tcPr>
            <w:tcW w:w="2832"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2E28D7">
            <w:pPr>
              <w:pStyle w:val="Default"/>
              <w:spacing w:before="120" w:after="120"/>
              <w:rPr>
                <w:rFonts w:ascii="Times New Roman" w:hAnsi="Times New Roman" w:cs="Times New Roman"/>
              </w:rPr>
            </w:pPr>
            <w:r w:rsidRPr="00202B64">
              <w:rPr>
                <w:rFonts w:ascii="Times New Roman" w:hAnsi="Times New Roman" w:cs="Times New Roman"/>
              </w:rPr>
              <w:t>Hipoclorito de Sódio</w:t>
            </w:r>
          </w:p>
        </w:tc>
        <w:tc>
          <w:tcPr>
            <w:tcW w:w="2268"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2E28D7">
            <w:pPr>
              <w:pStyle w:val="Default"/>
              <w:spacing w:before="120" w:after="120"/>
              <w:jc w:val="center"/>
              <w:rPr>
                <w:rFonts w:ascii="Times New Roman" w:hAnsi="Times New Roman" w:cs="Times New Roman"/>
              </w:rPr>
            </w:pPr>
            <w:r w:rsidRPr="00AD5E09">
              <w:rPr>
                <w:rFonts w:ascii="Times New Roman" w:hAnsi="Times New Roman" w:cs="Times New Roman"/>
              </w:rPr>
              <w:t>17.100</w:t>
            </w:r>
            <w:r>
              <w:rPr>
                <w:rFonts w:ascii="Times New Roman" w:hAnsi="Times New Roman" w:cs="Times New Roman"/>
              </w:rPr>
              <w:t xml:space="preserve"> L</w:t>
            </w:r>
          </w:p>
        </w:tc>
      </w:tr>
      <w:tr w:rsidR="00E32574" w:rsidRPr="00202B64" w:rsidTr="002E28D7">
        <w:trPr>
          <w:trHeight w:val="470"/>
          <w:jc w:val="center"/>
        </w:trPr>
        <w:tc>
          <w:tcPr>
            <w:tcW w:w="2832"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2E28D7">
            <w:pPr>
              <w:pStyle w:val="Default"/>
              <w:spacing w:before="120" w:after="120"/>
              <w:rPr>
                <w:rFonts w:ascii="Times New Roman" w:hAnsi="Times New Roman" w:cs="Times New Roman"/>
              </w:rPr>
            </w:pPr>
            <w:r w:rsidRPr="00202B64">
              <w:rPr>
                <w:rFonts w:ascii="Times New Roman" w:hAnsi="Times New Roman" w:cs="Times New Roman"/>
              </w:rPr>
              <w:t xml:space="preserve">Cal hidratada </w:t>
            </w:r>
          </w:p>
        </w:tc>
        <w:tc>
          <w:tcPr>
            <w:tcW w:w="2268"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2E28D7">
            <w:pPr>
              <w:pStyle w:val="Default"/>
              <w:spacing w:before="120" w:after="120"/>
              <w:jc w:val="center"/>
              <w:rPr>
                <w:rFonts w:ascii="Times New Roman" w:hAnsi="Times New Roman" w:cs="Times New Roman"/>
              </w:rPr>
            </w:pPr>
            <w:r w:rsidRPr="00202B64">
              <w:rPr>
                <w:rFonts w:ascii="Times New Roman" w:hAnsi="Times New Roman" w:cs="Times New Roman"/>
              </w:rPr>
              <w:t>600</w:t>
            </w:r>
            <w:r>
              <w:rPr>
                <w:rFonts w:ascii="Times New Roman" w:hAnsi="Times New Roman" w:cs="Times New Roman"/>
              </w:rPr>
              <w:t xml:space="preserve"> kg</w:t>
            </w:r>
          </w:p>
        </w:tc>
      </w:tr>
      <w:tr w:rsidR="00E32574" w:rsidRPr="00202B64" w:rsidTr="002E28D7">
        <w:trPr>
          <w:trHeight w:val="470"/>
          <w:jc w:val="center"/>
        </w:trPr>
        <w:tc>
          <w:tcPr>
            <w:tcW w:w="2832"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2E28D7">
            <w:pPr>
              <w:pStyle w:val="Default"/>
              <w:spacing w:before="120" w:after="120"/>
              <w:rPr>
                <w:rFonts w:ascii="Times New Roman" w:hAnsi="Times New Roman" w:cs="Times New Roman"/>
              </w:rPr>
            </w:pPr>
            <w:r w:rsidRPr="00202B64">
              <w:rPr>
                <w:rFonts w:ascii="Times New Roman" w:hAnsi="Times New Roman" w:cs="Times New Roman"/>
              </w:rPr>
              <w:t>Sulfato de Alumínio</w:t>
            </w:r>
          </w:p>
        </w:tc>
        <w:tc>
          <w:tcPr>
            <w:tcW w:w="2268"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2E28D7">
            <w:pPr>
              <w:pStyle w:val="Default"/>
              <w:spacing w:before="120" w:after="120"/>
              <w:jc w:val="center"/>
              <w:rPr>
                <w:rFonts w:ascii="Times New Roman" w:hAnsi="Times New Roman" w:cs="Times New Roman"/>
              </w:rPr>
            </w:pPr>
            <w:r w:rsidRPr="00202B64">
              <w:rPr>
                <w:rFonts w:ascii="Times New Roman" w:hAnsi="Times New Roman" w:cs="Times New Roman"/>
              </w:rPr>
              <w:t>1.200</w:t>
            </w:r>
            <w:r>
              <w:rPr>
                <w:rFonts w:ascii="Times New Roman" w:hAnsi="Times New Roman" w:cs="Times New Roman"/>
              </w:rPr>
              <w:t xml:space="preserve"> kg</w:t>
            </w:r>
          </w:p>
        </w:tc>
      </w:tr>
      <w:tr w:rsidR="00E32574" w:rsidRPr="00202B64" w:rsidTr="002E28D7">
        <w:trPr>
          <w:trHeight w:val="470"/>
          <w:jc w:val="center"/>
        </w:trPr>
        <w:tc>
          <w:tcPr>
            <w:tcW w:w="2832"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2E28D7">
            <w:pPr>
              <w:pStyle w:val="Default"/>
              <w:spacing w:before="120" w:after="120"/>
              <w:rPr>
                <w:rFonts w:ascii="Times New Roman" w:hAnsi="Times New Roman" w:cs="Times New Roman"/>
              </w:rPr>
            </w:pPr>
            <w:r w:rsidRPr="00202B64">
              <w:rPr>
                <w:rFonts w:ascii="Times New Roman" w:hAnsi="Times New Roman" w:cs="Times New Roman"/>
              </w:rPr>
              <w:t>Flúorsilicato de sódio</w:t>
            </w:r>
          </w:p>
        </w:tc>
        <w:tc>
          <w:tcPr>
            <w:tcW w:w="2268"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2E28D7">
            <w:pPr>
              <w:pStyle w:val="Default"/>
              <w:spacing w:before="120" w:after="120"/>
              <w:jc w:val="center"/>
              <w:rPr>
                <w:rFonts w:ascii="Times New Roman" w:hAnsi="Times New Roman" w:cs="Times New Roman"/>
              </w:rPr>
            </w:pPr>
            <w:r w:rsidRPr="00202B64">
              <w:rPr>
                <w:rFonts w:ascii="Times New Roman" w:hAnsi="Times New Roman" w:cs="Times New Roman"/>
              </w:rPr>
              <w:t>120</w:t>
            </w:r>
            <w:r>
              <w:rPr>
                <w:rFonts w:ascii="Times New Roman" w:hAnsi="Times New Roman" w:cs="Times New Roman"/>
              </w:rPr>
              <w:t xml:space="preserve"> kg</w:t>
            </w:r>
          </w:p>
        </w:tc>
      </w:tr>
    </w:tbl>
    <w:p w:rsidR="00E32574" w:rsidRPr="00082391" w:rsidRDefault="00E32574" w:rsidP="002E28D7">
      <w:pPr>
        <w:pStyle w:val="Fonte"/>
        <w:ind w:left="1701"/>
        <w:rPr>
          <w:lang w:eastAsia="pt-BR"/>
        </w:rPr>
      </w:pPr>
      <w:r w:rsidRPr="00082391">
        <w:rPr>
          <w:lang w:eastAsia="pt-BR"/>
        </w:rPr>
        <w:t>Fonte: SAAE, 2013.</w:t>
      </w:r>
    </w:p>
    <w:p w:rsidR="00E32574" w:rsidRDefault="00E32574" w:rsidP="00E32574">
      <w:pPr>
        <w:pStyle w:val="CM71"/>
        <w:spacing w:line="360" w:lineRule="auto"/>
        <w:ind w:firstLine="708"/>
        <w:jc w:val="both"/>
        <w:rPr>
          <w:rFonts w:ascii="Times New Roman" w:hAnsi="Times New Roman" w:cs="Times New Roman"/>
        </w:rPr>
      </w:pPr>
      <w:r w:rsidRPr="000B4647">
        <w:rPr>
          <w:rFonts w:ascii="Times New Roman" w:hAnsi="Times New Roman" w:cs="Times New Roman"/>
        </w:rPr>
        <w:t>A capacidade de tra</w:t>
      </w:r>
      <w:r>
        <w:rPr>
          <w:rFonts w:ascii="Times New Roman" w:hAnsi="Times New Roman" w:cs="Times New Roman"/>
        </w:rPr>
        <w:t xml:space="preserve">tamento da ETA Aimorés é de aproximadamente 53 </w:t>
      </w:r>
      <w:r w:rsidR="002E28D7" w:rsidRPr="00CF2437">
        <w:rPr>
          <w:rFonts w:ascii="Times New Roman" w:hAnsi="Times New Roman" w:cs="Times New Roman"/>
        </w:rPr>
        <w:t>Ls</w:t>
      </w:r>
      <w:r w:rsidR="002E28D7" w:rsidRPr="00AE3D64">
        <w:rPr>
          <w:rFonts w:ascii="Times New Roman" w:hAnsi="Times New Roman" w:cs="Times New Roman"/>
          <w:vertAlign w:val="superscript"/>
        </w:rPr>
        <w:t>-1</w:t>
      </w:r>
      <w:r>
        <w:rPr>
          <w:rFonts w:ascii="Times New Roman" w:hAnsi="Times New Roman" w:cs="Times New Roman"/>
        </w:rPr>
        <w:t xml:space="preserve">, mas a não possui controle de vazão. </w:t>
      </w:r>
      <w:r w:rsidRPr="000B4647">
        <w:rPr>
          <w:rFonts w:ascii="Times New Roman" w:hAnsi="Times New Roman" w:cs="Times New Roman"/>
        </w:rPr>
        <w:t>Como a ETA já capta 100% da vazão outorgável para o manancial superficial (</w:t>
      </w:r>
      <w:r>
        <w:rPr>
          <w:rFonts w:ascii="Times New Roman" w:hAnsi="Times New Roman" w:cs="Times New Roman"/>
        </w:rPr>
        <w:t>rio Manhuaçu</w:t>
      </w:r>
      <w:r w:rsidRPr="000B4647">
        <w:rPr>
          <w:rFonts w:ascii="Times New Roman" w:hAnsi="Times New Roman" w:cs="Times New Roman"/>
        </w:rPr>
        <w:t xml:space="preserve">), surge à impossibilidade de se conceber a ampliação de sua capacidade de tratamento sem que haja fornecimento adicional de água bruta por outro manancial. </w:t>
      </w:r>
      <w:r>
        <w:rPr>
          <w:rFonts w:ascii="Times New Roman" w:hAnsi="Times New Roman" w:cs="Times New Roman"/>
        </w:rPr>
        <w:t>O reservatório da ETA tem capacidade máxima de 450</w:t>
      </w:r>
      <w:r w:rsidR="002E28D7">
        <w:rPr>
          <w:rFonts w:ascii="Times New Roman" w:hAnsi="Times New Roman" w:cs="Times New Roman"/>
        </w:rPr>
        <w:t xml:space="preserve"> </w:t>
      </w:r>
      <w:r>
        <w:rPr>
          <w:rFonts w:ascii="Times New Roman" w:hAnsi="Times New Roman" w:cs="Times New Roman"/>
        </w:rPr>
        <w:t>m³ e um dos problemas é a falta de macromedição e o volume baixo do reservatório.</w:t>
      </w:r>
    </w:p>
    <w:p w:rsidR="00E32574" w:rsidRPr="000B4647" w:rsidRDefault="00E32574" w:rsidP="00E32574">
      <w:pPr>
        <w:pStyle w:val="CM71"/>
        <w:spacing w:line="360" w:lineRule="auto"/>
        <w:ind w:firstLine="708"/>
        <w:jc w:val="both"/>
        <w:rPr>
          <w:rFonts w:ascii="Times New Roman" w:hAnsi="Times New Roman" w:cs="Times New Roman"/>
        </w:rPr>
      </w:pPr>
      <w:r>
        <w:rPr>
          <w:rFonts w:ascii="Times New Roman" w:hAnsi="Times New Roman" w:cs="Times New Roman"/>
        </w:rPr>
        <w:t>O tempo médio de funcionamento anual da ETA é de aproximadamente 19 h</w:t>
      </w:r>
      <w:r w:rsidR="002E28D7">
        <w:rPr>
          <w:rFonts w:ascii="Times New Roman" w:hAnsi="Times New Roman" w:cs="Times New Roman"/>
        </w:rPr>
        <w:t>.dia</w:t>
      </w:r>
      <w:r w:rsidR="002E28D7" w:rsidRPr="002E28D7">
        <w:rPr>
          <w:rFonts w:ascii="Times New Roman" w:hAnsi="Times New Roman" w:cs="Times New Roman"/>
          <w:vertAlign w:val="superscript"/>
        </w:rPr>
        <w:t>-1</w:t>
      </w:r>
      <w:r>
        <w:rPr>
          <w:rFonts w:ascii="Times New Roman" w:hAnsi="Times New Roman" w:cs="Times New Roman"/>
        </w:rPr>
        <w:t xml:space="preserve"> equivalente a 570 h</w:t>
      </w:r>
      <w:r w:rsidR="00B853AD">
        <w:rPr>
          <w:rFonts w:ascii="Times New Roman" w:hAnsi="Times New Roman" w:cs="Times New Roman"/>
        </w:rPr>
        <w:t>.</w:t>
      </w:r>
      <w:r>
        <w:rPr>
          <w:rFonts w:ascii="Times New Roman" w:hAnsi="Times New Roman" w:cs="Times New Roman"/>
        </w:rPr>
        <w:t>mês</w:t>
      </w:r>
      <w:r w:rsidR="002E28D7" w:rsidRPr="002E28D7">
        <w:rPr>
          <w:rFonts w:ascii="Times New Roman" w:hAnsi="Times New Roman" w:cs="Times New Roman"/>
          <w:vertAlign w:val="superscript"/>
        </w:rPr>
        <w:t>-1</w:t>
      </w:r>
      <w:r>
        <w:rPr>
          <w:rFonts w:ascii="Times New Roman" w:hAnsi="Times New Roman" w:cs="Times New Roman"/>
        </w:rPr>
        <w:t>. Dos 3.625,2 m³</w:t>
      </w:r>
      <w:r w:rsidR="00B853AD">
        <w:rPr>
          <w:rFonts w:ascii="Times New Roman" w:hAnsi="Times New Roman" w:cs="Times New Roman"/>
        </w:rPr>
        <w:t>.</w:t>
      </w:r>
      <w:r>
        <w:rPr>
          <w:rFonts w:ascii="Times New Roman" w:hAnsi="Times New Roman" w:cs="Times New Roman"/>
        </w:rPr>
        <w:t>dia</w:t>
      </w:r>
      <w:r w:rsidR="002E28D7" w:rsidRPr="002E28D7">
        <w:rPr>
          <w:rFonts w:ascii="Times New Roman" w:hAnsi="Times New Roman" w:cs="Times New Roman"/>
          <w:vertAlign w:val="superscript"/>
        </w:rPr>
        <w:t>-1</w:t>
      </w:r>
      <w:r>
        <w:rPr>
          <w:rFonts w:ascii="Times New Roman" w:hAnsi="Times New Roman" w:cs="Times New Roman"/>
        </w:rPr>
        <w:t xml:space="preserve"> estima-se perda de 24,75 % (26.917,0 m³mês</w:t>
      </w:r>
      <w:r w:rsidR="002E28D7" w:rsidRPr="002E28D7">
        <w:rPr>
          <w:rFonts w:ascii="Times New Roman" w:hAnsi="Times New Roman" w:cs="Times New Roman"/>
          <w:vertAlign w:val="superscript"/>
        </w:rPr>
        <w:t>-1</w:t>
      </w:r>
      <w:r>
        <w:rPr>
          <w:rFonts w:ascii="Times New Roman" w:hAnsi="Times New Roman" w:cs="Times New Roman"/>
        </w:rPr>
        <w:t xml:space="preserve">). A eficiência do tratamento e do controle de qualidade atinge </w:t>
      </w:r>
      <w:r w:rsidRPr="002E28D7">
        <w:rPr>
          <w:rFonts w:ascii="Times New Roman" w:hAnsi="Times New Roman" w:cs="Times New Roman"/>
        </w:rPr>
        <w:t>98,74 %</w:t>
      </w:r>
      <w:r>
        <w:rPr>
          <w:rFonts w:ascii="Times New Roman" w:hAnsi="Times New Roman" w:cs="Times New Roman"/>
        </w:rPr>
        <w:t xml:space="preserve"> de controle operacional e laboratorial. </w:t>
      </w:r>
      <w:r w:rsidRPr="000B4647">
        <w:rPr>
          <w:rFonts w:ascii="Times New Roman" w:hAnsi="Times New Roman" w:cs="Times New Roman"/>
        </w:rPr>
        <w:t>A</w:t>
      </w:r>
      <w:r>
        <w:rPr>
          <w:rFonts w:ascii="Times New Roman" w:hAnsi="Times New Roman" w:cs="Times New Roman"/>
        </w:rPr>
        <w:t xml:space="preserve"> ETA Aimorés não possui Licenciamento Ambiental.</w:t>
      </w:r>
    </w:p>
    <w:p w:rsidR="00E32574" w:rsidRDefault="00E32574" w:rsidP="00E32574">
      <w:pPr>
        <w:pStyle w:val="CM71"/>
        <w:spacing w:line="360" w:lineRule="auto"/>
        <w:ind w:firstLine="708"/>
        <w:jc w:val="both"/>
        <w:rPr>
          <w:rFonts w:ascii="Times New Roman" w:hAnsi="Times New Roman" w:cs="Times New Roman"/>
        </w:rPr>
      </w:pPr>
      <w:r w:rsidRPr="000B4647">
        <w:rPr>
          <w:rFonts w:ascii="Times New Roman" w:hAnsi="Times New Roman" w:cs="Times New Roman"/>
        </w:rPr>
        <w:t xml:space="preserve">Após o tratamento, a água é conduzida e distribuída entre dez reservatórios e </w:t>
      </w:r>
      <w:r>
        <w:rPr>
          <w:rFonts w:ascii="Times New Roman" w:hAnsi="Times New Roman" w:cs="Times New Roman"/>
        </w:rPr>
        <w:t>duas</w:t>
      </w:r>
      <w:r w:rsidRPr="000B4647">
        <w:rPr>
          <w:rFonts w:ascii="Times New Roman" w:hAnsi="Times New Roman" w:cs="Times New Roman"/>
        </w:rPr>
        <w:t xml:space="preserve"> elevatória (</w:t>
      </w:r>
      <w:r>
        <w:rPr>
          <w:rFonts w:ascii="Times New Roman" w:hAnsi="Times New Roman" w:cs="Times New Roman"/>
        </w:rPr>
        <w:t>Betel e Caixa d’água</w:t>
      </w:r>
      <w:r w:rsidRPr="000B4647">
        <w:rPr>
          <w:rFonts w:ascii="Times New Roman" w:hAnsi="Times New Roman" w:cs="Times New Roman"/>
        </w:rPr>
        <w:t>)</w:t>
      </w:r>
      <w:r>
        <w:rPr>
          <w:rFonts w:ascii="Times New Roman" w:hAnsi="Times New Roman" w:cs="Times New Roman"/>
        </w:rPr>
        <w:t xml:space="preserve"> (Figura </w:t>
      </w:r>
      <w:r w:rsidR="00390AF3">
        <w:rPr>
          <w:rFonts w:ascii="Times New Roman" w:hAnsi="Times New Roman" w:cs="Times New Roman"/>
        </w:rPr>
        <w:t>45</w:t>
      </w:r>
      <w:r>
        <w:rPr>
          <w:rFonts w:ascii="Times New Roman" w:hAnsi="Times New Roman" w:cs="Times New Roman"/>
        </w:rPr>
        <w:t>)</w:t>
      </w:r>
      <w:r w:rsidRPr="000B4647">
        <w:rPr>
          <w:rFonts w:ascii="Times New Roman" w:hAnsi="Times New Roman" w:cs="Times New Roman"/>
        </w:rPr>
        <w:t xml:space="preserve"> com capacidade de reservação de </w:t>
      </w:r>
      <w:r>
        <w:rPr>
          <w:rFonts w:ascii="Times New Roman" w:hAnsi="Times New Roman" w:cs="Times New Roman"/>
        </w:rPr>
        <w:t xml:space="preserve">530 </w:t>
      </w:r>
      <w:r w:rsidRPr="000B4647">
        <w:rPr>
          <w:rFonts w:ascii="Times New Roman" w:hAnsi="Times New Roman" w:cs="Times New Roman"/>
        </w:rPr>
        <w:t>m³, para ser dist</w:t>
      </w:r>
      <w:r>
        <w:rPr>
          <w:rFonts w:ascii="Times New Roman" w:hAnsi="Times New Roman" w:cs="Times New Roman"/>
        </w:rPr>
        <w:t>ribuída à população. N</w:t>
      </w:r>
      <w:r w:rsidR="00390AF3">
        <w:rPr>
          <w:rFonts w:ascii="Times New Roman" w:hAnsi="Times New Roman" w:cs="Times New Roman"/>
        </w:rPr>
        <w:t>o Quadro 22</w:t>
      </w:r>
      <w:r>
        <w:rPr>
          <w:rFonts w:ascii="Times New Roman" w:hAnsi="Times New Roman" w:cs="Times New Roman"/>
        </w:rPr>
        <w:t xml:space="preserve"> demonstra a rede de distribuição de água. A </w:t>
      </w:r>
      <w:r w:rsidRPr="00BF5409">
        <w:rPr>
          <w:rFonts w:ascii="Times New Roman" w:hAnsi="Times New Roman" w:cs="Times New Roman"/>
        </w:rPr>
        <w:t>Tabela</w:t>
      </w:r>
      <w:r>
        <w:rPr>
          <w:rFonts w:ascii="Times New Roman" w:hAnsi="Times New Roman" w:cs="Times New Roman"/>
        </w:rPr>
        <w:t xml:space="preserve"> </w:t>
      </w:r>
      <w:r w:rsidR="00390AF3">
        <w:rPr>
          <w:rFonts w:ascii="Times New Roman" w:hAnsi="Times New Roman" w:cs="Times New Roman"/>
        </w:rPr>
        <w:t>4</w:t>
      </w:r>
      <w:r w:rsidRPr="000B4647">
        <w:rPr>
          <w:rFonts w:ascii="Times New Roman" w:hAnsi="Times New Roman" w:cs="Times New Roman"/>
        </w:rPr>
        <w:t xml:space="preserve"> demonstra os reservatórios e elevatórias do sistema </w:t>
      </w:r>
      <w:r>
        <w:rPr>
          <w:rFonts w:ascii="Times New Roman" w:hAnsi="Times New Roman" w:cs="Times New Roman"/>
        </w:rPr>
        <w:t>Aimorés</w:t>
      </w:r>
      <w:r w:rsidRPr="000B4647">
        <w:rPr>
          <w:rFonts w:ascii="Times New Roman" w:hAnsi="Times New Roman" w:cs="Times New Roman"/>
        </w:rPr>
        <w:t xml:space="preserve">. </w:t>
      </w:r>
    </w:p>
    <w:p w:rsidR="0058586C" w:rsidRDefault="0058586C">
      <w:pPr>
        <w:spacing w:after="200" w:line="276" w:lineRule="auto"/>
        <w:rPr>
          <w:rFonts w:eastAsiaTheme="minorEastAsia" w:cs="Times New Roman"/>
          <w:bCs/>
          <w:szCs w:val="24"/>
          <w:lang w:eastAsia="pt-BR"/>
        </w:rPr>
      </w:pPr>
      <w:r>
        <w:br w:type="page"/>
      </w:r>
    </w:p>
    <w:p w:rsidR="00390AF3" w:rsidRPr="00454E04" w:rsidRDefault="00892B00" w:rsidP="00892B00">
      <w:pPr>
        <w:pStyle w:val="Legenda"/>
      </w:pPr>
      <w:bookmarkStart w:id="236" w:name="_Toc372740128"/>
      <w:bookmarkStart w:id="237" w:name="_Toc372117266"/>
      <w:r>
        <w:lastRenderedPageBreak/>
        <w:t xml:space="preserve">Figura </w:t>
      </w:r>
      <w:fldSimple w:instr=" SEQ Figura \* ARABIC ">
        <w:r w:rsidR="004F77E2">
          <w:rPr>
            <w:noProof/>
          </w:rPr>
          <w:t>45</w:t>
        </w:r>
      </w:fldSimple>
      <w:r>
        <w:t xml:space="preserve"> - </w:t>
      </w:r>
      <w:r w:rsidRPr="003F6980">
        <w:rPr>
          <w:noProof/>
        </w:rPr>
        <w:t>Estação Elevatória do Sistema Aimorés no Morro do Anésio (Local: 24K 0281454 7842822/Altitude: 117 m).</w:t>
      </w:r>
      <w:bookmarkEnd w:id="236"/>
    </w:p>
    <w:p w:rsidR="00390AF3" w:rsidRDefault="00390AF3" w:rsidP="00390AF3">
      <w:pPr>
        <w:pStyle w:val="Default"/>
        <w:jc w:val="center"/>
      </w:pPr>
      <w:r>
        <w:rPr>
          <w:noProof/>
        </w:rPr>
        <w:drawing>
          <wp:inline distT="0" distB="0" distL="0" distR="0" wp14:anchorId="12FA356B" wp14:editId="23DFFE8C">
            <wp:extent cx="3803125" cy="5062118"/>
            <wp:effectExtent l="0" t="0" r="6985" b="5715"/>
            <wp:docPr id="135" name="Imagem 135" descr="Foto 99 Ponto 139 Elevatoria de Á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Foto 99 Ponto 139 Elevatoria de Água.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827508" cy="5094573"/>
                    </a:xfrm>
                    <a:prstGeom prst="rect">
                      <a:avLst/>
                    </a:prstGeom>
                    <a:noFill/>
                    <a:ln>
                      <a:noFill/>
                    </a:ln>
                  </pic:spPr>
                </pic:pic>
              </a:graphicData>
            </a:graphic>
          </wp:inline>
        </w:drawing>
      </w:r>
    </w:p>
    <w:p w:rsidR="00390AF3" w:rsidRPr="00192C99" w:rsidRDefault="00390AF3" w:rsidP="00B244CE">
      <w:pPr>
        <w:pStyle w:val="Fonte"/>
        <w:ind w:left="1416" w:hanging="423"/>
        <w:rPr>
          <w:lang w:eastAsia="pt-BR"/>
        </w:rPr>
      </w:pPr>
      <w:r>
        <w:rPr>
          <w:lang w:eastAsia="pt-BR"/>
        </w:rPr>
        <w:t xml:space="preserve">     </w:t>
      </w:r>
      <w:r w:rsidRPr="00192C99">
        <w:rPr>
          <w:lang w:eastAsia="pt-BR"/>
        </w:rPr>
        <w:t>Fonte: Fundação Educacional de Caratinga - FUNEC, 2013.</w:t>
      </w:r>
    </w:p>
    <w:p w:rsidR="00390AF3" w:rsidRDefault="00390AF3">
      <w:pPr>
        <w:spacing w:after="200" w:line="276" w:lineRule="auto"/>
        <w:rPr>
          <w:rFonts w:eastAsiaTheme="minorEastAsia" w:cs="Times New Roman"/>
          <w:bCs/>
          <w:szCs w:val="24"/>
          <w:lang w:eastAsia="pt-BR"/>
        </w:rPr>
      </w:pPr>
      <w:r>
        <w:br w:type="page"/>
      </w:r>
    </w:p>
    <w:p w:rsidR="00E32574" w:rsidRPr="008220BF" w:rsidRDefault="0075744C" w:rsidP="0075744C">
      <w:pPr>
        <w:pStyle w:val="Legenda"/>
        <w:rPr>
          <w:b w:val="0"/>
          <w:bCs w:val="0"/>
        </w:rPr>
      </w:pPr>
      <w:bookmarkStart w:id="238" w:name="_Toc372740528"/>
      <w:bookmarkEnd w:id="237"/>
      <w:r>
        <w:lastRenderedPageBreak/>
        <w:t xml:space="preserve">Quadro </w:t>
      </w:r>
      <w:fldSimple w:instr=" SEQ Quadro \* ARABIC ">
        <w:r w:rsidR="004F77E2">
          <w:rPr>
            <w:noProof/>
          </w:rPr>
          <w:t>22</w:t>
        </w:r>
      </w:fldSimple>
      <w:r>
        <w:t xml:space="preserve"> - </w:t>
      </w:r>
      <w:r w:rsidRPr="004762A8">
        <w:rPr>
          <w:noProof/>
        </w:rPr>
        <w:t>Rede Distribuição de água do município de Aimorés 2013.</w:t>
      </w:r>
      <w:bookmarkEnd w:id="2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5"/>
        <w:gridCol w:w="4249"/>
      </w:tblGrid>
      <w:tr w:rsidR="00E32574" w:rsidRPr="001929B6" w:rsidTr="00E32574">
        <w:tc>
          <w:tcPr>
            <w:tcW w:w="4245" w:type="dxa"/>
            <w:shd w:val="clear" w:color="auto" w:fill="D9D9D9"/>
          </w:tcPr>
          <w:p w:rsidR="00E32574" w:rsidRPr="001929B6" w:rsidRDefault="00E32574" w:rsidP="00390AF3">
            <w:pPr>
              <w:spacing w:before="120" w:after="120" w:line="240" w:lineRule="auto"/>
              <w:jc w:val="center"/>
              <w:rPr>
                <w:szCs w:val="24"/>
                <w:lang w:eastAsia="pt-BR"/>
              </w:rPr>
            </w:pPr>
            <w:r w:rsidRPr="001929B6">
              <w:rPr>
                <w:szCs w:val="24"/>
                <w:lang w:eastAsia="pt-BR"/>
              </w:rPr>
              <w:t>Dimensão Rede de Distribuição de Água (mm)</w:t>
            </w:r>
          </w:p>
        </w:tc>
        <w:tc>
          <w:tcPr>
            <w:tcW w:w="4249" w:type="dxa"/>
            <w:shd w:val="clear" w:color="auto" w:fill="D9D9D9"/>
          </w:tcPr>
          <w:p w:rsidR="00E32574" w:rsidRPr="001929B6" w:rsidRDefault="00E32574" w:rsidP="00390AF3">
            <w:pPr>
              <w:spacing w:before="120" w:after="120" w:line="240" w:lineRule="auto"/>
              <w:jc w:val="center"/>
              <w:rPr>
                <w:szCs w:val="24"/>
                <w:lang w:eastAsia="pt-BR"/>
              </w:rPr>
            </w:pPr>
            <w:r w:rsidRPr="001929B6">
              <w:rPr>
                <w:szCs w:val="24"/>
                <w:lang w:eastAsia="pt-BR"/>
              </w:rPr>
              <w:t>Comprimento Rede de Distribuição Água (m)</w:t>
            </w:r>
          </w:p>
        </w:tc>
      </w:tr>
      <w:tr w:rsidR="00E32574" w:rsidRPr="001929B6" w:rsidTr="00210A37">
        <w:trPr>
          <w:trHeight w:val="397"/>
        </w:trPr>
        <w:tc>
          <w:tcPr>
            <w:tcW w:w="4245"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20</w:t>
            </w:r>
          </w:p>
        </w:tc>
        <w:tc>
          <w:tcPr>
            <w:tcW w:w="4249"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782</w:t>
            </w:r>
          </w:p>
        </w:tc>
      </w:tr>
      <w:tr w:rsidR="00E32574" w:rsidRPr="001929B6" w:rsidTr="00210A37">
        <w:trPr>
          <w:trHeight w:val="397"/>
        </w:trPr>
        <w:tc>
          <w:tcPr>
            <w:tcW w:w="4245"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25</w:t>
            </w:r>
          </w:p>
        </w:tc>
        <w:tc>
          <w:tcPr>
            <w:tcW w:w="4249"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16.207</w:t>
            </w:r>
          </w:p>
        </w:tc>
      </w:tr>
      <w:tr w:rsidR="00E32574" w:rsidRPr="001929B6" w:rsidTr="00210A37">
        <w:trPr>
          <w:trHeight w:val="397"/>
        </w:trPr>
        <w:tc>
          <w:tcPr>
            <w:tcW w:w="4245"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32</w:t>
            </w:r>
          </w:p>
        </w:tc>
        <w:tc>
          <w:tcPr>
            <w:tcW w:w="4249"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3.968</w:t>
            </w:r>
          </w:p>
        </w:tc>
      </w:tr>
      <w:tr w:rsidR="00E32574" w:rsidRPr="001929B6" w:rsidTr="00210A37">
        <w:trPr>
          <w:trHeight w:val="397"/>
        </w:trPr>
        <w:tc>
          <w:tcPr>
            <w:tcW w:w="4245"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40</w:t>
            </w:r>
          </w:p>
        </w:tc>
        <w:tc>
          <w:tcPr>
            <w:tcW w:w="4249"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1.820</w:t>
            </w:r>
          </w:p>
        </w:tc>
      </w:tr>
      <w:tr w:rsidR="00E32574" w:rsidRPr="001929B6" w:rsidTr="00210A37">
        <w:trPr>
          <w:trHeight w:val="397"/>
        </w:trPr>
        <w:tc>
          <w:tcPr>
            <w:tcW w:w="4245"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60</w:t>
            </w:r>
          </w:p>
        </w:tc>
        <w:tc>
          <w:tcPr>
            <w:tcW w:w="4249"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1.748</w:t>
            </w:r>
          </w:p>
        </w:tc>
      </w:tr>
      <w:tr w:rsidR="00E32574" w:rsidRPr="001929B6" w:rsidTr="00210A37">
        <w:trPr>
          <w:trHeight w:val="397"/>
        </w:trPr>
        <w:tc>
          <w:tcPr>
            <w:tcW w:w="4245"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75</w:t>
            </w:r>
          </w:p>
        </w:tc>
        <w:tc>
          <w:tcPr>
            <w:tcW w:w="4249"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12.804</w:t>
            </w:r>
          </w:p>
        </w:tc>
      </w:tr>
      <w:tr w:rsidR="00E32574" w:rsidRPr="001929B6" w:rsidTr="00210A37">
        <w:trPr>
          <w:trHeight w:val="397"/>
        </w:trPr>
        <w:tc>
          <w:tcPr>
            <w:tcW w:w="4245"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100</w:t>
            </w:r>
          </w:p>
        </w:tc>
        <w:tc>
          <w:tcPr>
            <w:tcW w:w="4249"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21.370</w:t>
            </w:r>
          </w:p>
        </w:tc>
      </w:tr>
      <w:tr w:rsidR="00E32574" w:rsidRPr="001929B6" w:rsidTr="00210A37">
        <w:trPr>
          <w:trHeight w:val="397"/>
        </w:trPr>
        <w:tc>
          <w:tcPr>
            <w:tcW w:w="4245"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300</w:t>
            </w:r>
          </w:p>
        </w:tc>
        <w:tc>
          <w:tcPr>
            <w:tcW w:w="4249"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3.829</w:t>
            </w:r>
          </w:p>
        </w:tc>
      </w:tr>
      <w:tr w:rsidR="00E32574" w:rsidRPr="001929B6" w:rsidTr="00210A37">
        <w:trPr>
          <w:trHeight w:val="397"/>
        </w:trPr>
        <w:tc>
          <w:tcPr>
            <w:tcW w:w="4245"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TOTAL</w:t>
            </w:r>
          </w:p>
        </w:tc>
        <w:tc>
          <w:tcPr>
            <w:tcW w:w="4249" w:type="dxa"/>
            <w:vAlign w:val="center"/>
          </w:tcPr>
          <w:p w:rsidR="00E32574" w:rsidRPr="001929B6" w:rsidRDefault="00E32574" w:rsidP="00390AF3">
            <w:pPr>
              <w:spacing w:before="120" w:after="120" w:line="240" w:lineRule="auto"/>
              <w:jc w:val="center"/>
              <w:rPr>
                <w:szCs w:val="24"/>
                <w:lang w:eastAsia="pt-BR"/>
              </w:rPr>
            </w:pPr>
            <w:r w:rsidRPr="001929B6">
              <w:rPr>
                <w:szCs w:val="24"/>
                <w:lang w:eastAsia="pt-BR"/>
              </w:rPr>
              <w:t>62.528</w:t>
            </w:r>
          </w:p>
        </w:tc>
      </w:tr>
    </w:tbl>
    <w:p w:rsidR="00E32574" w:rsidRPr="00082391" w:rsidRDefault="00E32574" w:rsidP="0058586C">
      <w:pPr>
        <w:pStyle w:val="Fonte"/>
        <w:rPr>
          <w:lang w:eastAsia="pt-BR"/>
        </w:rPr>
      </w:pPr>
      <w:r w:rsidRPr="00082391">
        <w:rPr>
          <w:lang w:eastAsia="pt-BR"/>
        </w:rPr>
        <w:t>Fonte: SAAE, 2013.</w:t>
      </w:r>
    </w:p>
    <w:p w:rsidR="00E32574" w:rsidRDefault="00A80257" w:rsidP="00A80257">
      <w:pPr>
        <w:pStyle w:val="Legenda"/>
        <w:rPr>
          <w:rFonts w:ascii="Arial" w:hAnsi="Arial" w:cs="Arial"/>
          <w:color w:val="000000"/>
          <w:sz w:val="20"/>
        </w:rPr>
      </w:pPr>
      <w:bookmarkStart w:id="239" w:name="_Toc372117267"/>
      <w:bookmarkStart w:id="240" w:name="_Toc372740352"/>
      <w:r>
        <w:t xml:space="preserve">Tabela </w:t>
      </w:r>
      <w:fldSimple w:instr=" SEQ Tabela \* ARABIC ">
        <w:r w:rsidR="004F77E2">
          <w:rPr>
            <w:noProof/>
          </w:rPr>
          <w:t>4</w:t>
        </w:r>
      </w:fldSimple>
      <w:r>
        <w:t xml:space="preserve"> - </w:t>
      </w:r>
      <w:r w:rsidRPr="008F2A5E">
        <w:rPr>
          <w:noProof/>
        </w:rPr>
        <w:t>Reservatórios e Elevatórias do Sistema Aimorés</w:t>
      </w:r>
      <w:r w:rsidR="00E32574" w:rsidRPr="00390AF3">
        <w:rPr>
          <w:b w:val="0"/>
        </w:rPr>
        <w:t>.</w:t>
      </w:r>
      <w:bookmarkEnd w:id="239"/>
      <w:bookmarkEnd w:id="240"/>
    </w:p>
    <w:tbl>
      <w:tblPr>
        <w:tblW w:w="8801" w:type="dxa"/>
        <w:tblInd w:w="108" w:type="dxa"/>
        <w:tblLayout w:type="fixed"/>
        <w:tblLook w:val="0000" w:firstRow="0" w:lastRow="0" w:firstColumn="0" w:lastColumn="0" w:noHBand="0" w:noVBand="0"/>
      </w:tblPr>
      <w:tblGrid>
        <w:gridCol w:w="1134"/>
        <w:gridCol w:w="1560"/>
        <w:gridCol w:w="1559"/>
        <w:gridCol w:w="2551"/>
        <w:gridCol w:w="1997"/>
      </w:tblGrid>
      <w:tr w:rsidR="00E32574" w:rsidRPr="00210A37" w:rsidTr="00E32574">
        <w:trPr>
          <w:trHeight w:val="532"/>
        </w:trPr>
        <w:tc>
          <w:tcPr>
            <w:tcW w:w="1134" w:type="dxa"/>
            <w:tcBorders>
              <w:top w:val="single" w:sz="6" w:space="0" w:color="000000"/>
              <w:left w:val="single" w:sz="2" w:space="0" w:color="000000"/>
              <w:bottom w:val="single" w:sz="6" w:space="0" w:color="000000"/>
              <w:right w:val="single" w:sz="4" w:space="0" w:color="000000"/>
            </w:tcBorders>
            <w:shd w:val="clear" w:color="auto" w:fill="D9D9D9"/>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 xml:space="preserve">Nº </w:t>
            </w:r>
          </w:p>
        </w:tc>
        <w:tc>
          <w:tcPr>
            <w:tcW w:w="1560"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210A37" w:rsidRDefault="00E32574" w:rsidP="00E32574">
            <w:pPr>
              <w:pStyle w:val="Default"/>
              <w:rPr>
                <w:rFonts w:ascii="Times New Roman" w:hAnsi="Times New Roman" w:cs="Times New Roman"/>
              </w:rPr>
            </w:pPr>
            <w:r w:rsidRPr="00210A37">
              <w:rPr>
                <w:rFonts w:ascii="Times New Roman" w:hAnsi="Times New Roman" w:cs="Times New Roman"/>
              </w:rPr>
              <w:t xml:space="preserve">Identificação </w:t>
            </w:r>
          </w:p>
        </w:tc>
        <w:tc>
          <w:tcPr>
            <w:tcW w:w="1559"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 xml:space="preserve">Capacidade (m³) </w:t>
            </w:r>
          </w:p>
        </w:tc>
        <w:tc>
          <w:tcPr>
            <w:tcW w:w="2551"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210A37" w:rsidRDefault="00E32574" w:rsidP="00E32574">
            <w:pPr>
              <w:pStyle w:val="Default"/>
              <w:rPr>
                <w:rFonts w:ascii="Times New Roman" w:hAnsi="Times New Roman" w:cs="Times New Roman"/>
              </w:rPr>
            </w:pPr>
            <w:r w:rsidRPr="00210A37">
              <w:rPr>
                <w:rFonts w:ascii="Times New Roman" w:hAnsi="Times New Roman" w:cs="Times New Roman"/>
              </w:rPr>
              <w:t xml:space="preserve">Descrição </w:t>
            </w:r>
          </w:p>
        </w:tc>
        <w:tc>
          <w:tcPr>
            <w:tcW w:w="1997" w:type="dxa"/>
            <w:tcBorders>
              <w:top w:val="single" w:sz="6" w:space="0" w:color="000000"/>
              <w:left w:val="single" w:sz="4" w:space="0" w:color="000000"/>
              <w:bottom w:val="single" w:sz="6" w:space="0" w:color="000000"/>
              <w:right w:val="single" w:sz="2" w:space="0" w:color="000000"/>
            </w:tcBorders>
            <w:shd w:val="clear" w:color="auto" w:fill="D9D9D9"/>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 xml:space="preserve">Diagnóstico </w:t>
            </w:r>
          </w:p>
        </w:tc>
      </w:tr>
      <w:tr w:rsidR="00E32574" w:rsidRPr="00210A37" w:rsidTr="00E32574">
        <w:trPr>
          <w:trHeight w:val="930"/>
        </w:trPr>
        <w:tc>
          <w:tcPr>
            <w:tcW w:w="1134" w:type="dxa"/>
            <w:tcBorders>
              <w:top w:val="single" w:sz="6" w:space="0" w:color="000000"/>
              <w:left w:val="single" w:sz="2"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 xml:space="preserve">01 </w:t>
            </w:r>
          </w:p>
        </w:tc>
        <w:tc>
          <w:tcPr>
            <w:tcW w:w="1560"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Reservatório Caixa ‘água</w:t>
            </w:r>
          </w:p>
        </w:tc>
        <w:tc>
          <w:tcPr>
            <w:tcW w:w="1559"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450</w:t>
            </w:r>
          </w:p>
        </w:tc>
        <w:tc>
          <w:tcPr>
            <w:tcW w:w="2551"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rPr>
                <w:rFonts w:ascii="Times New Roman" w:hAnsi="Times New Roman" w:cs="Times New Roman"/>
              </w:rPr>
            </w:pPr>
            <w:r w:rsidRPr="00210A37">
              <w:rPr>
                <w:rFonts w:ascii="Times New Roman" w:hAnsi="Times New Roman" w:cs="Times New Roman"/>
              </w:rPr>
              <w:t>Aço, cilíndrico, suspenso</w:t>
            </w:r>
          </w:p>
        </w:tc>
        <w:tc>
          <w:tcPr>
            <w:tcW w:w="1997" w:type="dxa"/>
            <w:tcBorders>
              <w:top w:val="single" w:sz="6" w:space="0" w:color="000000"/>
              <w:left w:val="single" w:sz="4" w:space="0" w:color="000000"/>
              <w:bottom w:val="single" w:sz="6" w:space="0" w:color="000000"/>
              <w:right w:val="single" w:sz="2"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Regular</w:t>
            </w:r>
          </w:p>
        </w:tc>
      </w:tr>
      <w:tr w:rsidR="00E32574" w:rsidRPr="00210A37" w:rsidTr="00210A37">
        <w:trPr>
          <w:trHeight w:val="850"/>
        </w:trPr>
        <w:tc>
          <w:tcPr>
            <w:tcW w:w="1134" w:type="dxa"/>
            <w:tcBorders>
              <w:top w:val="single" w:sz="6" w:space="0" w:color="000000"/>
              <w:left w:val="single" w:sz="2"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 xml:space="preserve">02 </w:t>
            </w:r>
          </w:p>
        </w:tc>
        <w:tc>
          <w:tcPr>
            <w:tcW w:w="1560"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Reservatório Betel</w:t>
            </w:r>
          </w:p>
        </w:tc>
        <w:tc>
          <w:tcPr>
            <w:tcW w:w="1559"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70</w:t>
            </w:r>
          </w:p>
        </w:tc>
        <w:tc>
          <w:tcPr>
            <w:tcW w:w="2551"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rPr>
                <w:rFonts w:ascii="Times New Roman" w:hAnsi="Times New Roman" w:cs="Times New Roman"/>
              </w:rPr>
            </w:pPr>
            <w:r w:rsidRPr="00210A37">
              <w:rPr>
                <w:rFonts w:ascii="Times New Roman" w:hAnsi="Times New Roman" w:cs="Times New Roman"/>
              </w:rPr>
              <w:t xml:space="preserve">Aço, cilíndrico, suspenso </w:t>
            </w:r>
          </w:p>
        </w:tc>
        <w:tc>
          <w:tcPr>
            <w:tcW w:w="1997" w:type="dxa"/>
            <w:tcBorders>
              <w:top w:val="single" w:sz="6" w:space="0" w:color="000000"/>
              <w:left w:val="single" w:sz="4" w:space="0" w:color="000000"/>
              <w:bottom w:val="single" w:sz="6" w:space="0" w:color="000000"/>
              <w:right w:val="single" w:sz="2"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Regular</w:t>
            </w:r>
          </w:p>
        </w:tc>
      </w:tr>
      <w:tr w:rsidR="00E32574" w:rsidRPr="00210A37" w:rsidTr="00210A37">
        <w:trPr>
          <w:trHeight w:val="990"/>
        </w:trPr>
        <w:tc>
          <w:tcPr>
            <w:tcW w:w="1134" w:type="dxa"/>
            <w:tcBorders>
              <w:top w:val="single" w:sz="6" w:space="0" w:color="000000"/>
              <w:left w:val="single" w:sz="2"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 xml:space="preserve">03 </w:t>
            </w:r>
          </w:p>
        </w:tc>
        <w:tc>
          <w:tcPr>
            <w:tcW w:w="1560"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Reservatório Morro do Anésio</w:t>
            </w:r>
          </w:p>
        </w:tc>
        <w:tc>
          <w:tcPr>
            <w:tcW w:w="1559"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10</w:t>
            </w:r>
          </w:p>
        </w:tc>
        <w:tc>
          <w:tcPr>
            <w:tcW w:w="2551"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rPr>
                <w:rFonts w:ascii="Times New Roman" w:hAnsi="Times New Roman" w:cs="Times New Roman"/>
              </w:rPr>
            </w:pPr>
            <w:r w:rsidRPr="00210A37">
              <w:rPr>
                <w:rFonts w:ascii="Times New Roman" w:hAnsi="Times New Roman" w:cs="Times New Roman"/>
              </w:rPr>
              <w:t>Fibra, redondo, enterrado</w:t>
            </w:r>
          </w:p>
        </w:tc>
        <w:tc>
          <w:tcPr>
            <w:tcW w:w="1997" w:type="dxa"/>
            <w:tcBorders>
              <w:top w:val="single" w:sz="6" w:space="0" w:color="000000"/>
              <w:left w:val="single" w:sz="4" w:space="0" w:color="000000"/>
              <w:bottom w:val="single" w:sz="6" w:space="0" w:color="000000"/>
              <w:right w:val="single" w:sz="2"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Regular</w:t>
            </w:r>
          </w:p>
        </w:tc>
      </w:tr>
      <w:tr w:rsidR="00E32574" w:rsidRPr="00210A37" w:rsidTr="00210A37">
        <w:trPr>
          <w:trHeight w:val="762"/>
        </w:trPr>
        <w:tc>
          <w:tcPr>
            <w:tcW w:w="1134" w:type="dxa"/>
            <w:tcBorders>
              <w:top w:val="single" w:sz="6" w:space="0" w:color="000000"/>
              <w:left w:val="single" w:sz="2"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04</w:t>
            </w:r>
          </w:p>
        </w:tc>
        <w:tc>
          <w:tcPr>
            <w:tcW w:w="1560"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Elevatória Betel</w:t>
            </w:r>
          </w:p>
        </w:tc>
        <w:tc>
          <w:tcPr>
            <w:tcW w:w="1559"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w:t>
            </w:r>
          </w:p>
        </w:tc>
        <w:tc>
          <w:tcPr>
            <w:tcW w:w="2551"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rPr>
                <w:rFonts w:ascii="Times New Roman" w:hAnsi="Times New Roman" w:cs="Times New Roman"/>
              </w:rPr>
            </w:pPr>
            <w:r w:rsidRPr="00210A37">
              <w:rPr>
                <w:rFonts w:ascii="Times New Roman" w:hAnsi="Times New Roman" w:cs="Times New Roman"/>
              </w:rPr>
              <w:t>Aço, cilíndrico, horizontal</w:t>
            </w:r>
          </w:p>
        </w:tc>
        <w:tc>
          <w:tcPr>
            <w:tcW w:w="1997" w:type="dxa"/>
            <w:tcBorders>
              <w:top w:val="single" w:sz="6" w:space="0" w:color="000000"/>
              <w:left w:val="single" w:sz="4" w:space="0" w:color="000000"/>
              <w:bottom w:val="single" w:sz="6" w:space="0" w:color="000000"/>
              <w:right w:val="single" w:sz="2"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Regular</w:t>
            </w:r>
          </w:p>
        </w:tc>
      </w:tr>
      <w:tr w:rsidR="00E32574" w:rsidRPr="00210A37" w:rsidTr="00210A37">
        <w:trPr>
          <w:trHeight w:val="1027"/>
        </w:trPr>
        <w:tc>
          <w:tcPr>
            <w:tcW w:w="1134" w:type="dxa"/>
            <w:tcBorders>
              <w:top w:val="single" w:sz="6" w:space="0" w:color="000000"/>
              <w:left w:val="single" w:sz="2"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05</w:t>
            </w:r>
          </w:p>
        </w:tc>
        <w:tc>
          <w:tcPr>
            <w:tcW w:w="1560"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Elevatório Morro do Anésio</w:t>
            </w:r>
          </w:p>
        </w:tc>
        <w:tc>
          <w:tcPr>
            <w:tcW w:w="1559"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w:t>
            </w:r>
          </w:p>
        </w:tc>
        <w:tc>
          <w:tcPr>
            <w:tcW w:w="2551" w:type="dxa"/>
            <w:tcBorders>
              <w:top w:val="single" w:sz="6" w:space="0" w:color="000000"/>
              <w:left w:val="single" w:sz="4" w:space="0" w:color="000000"/>
              <w:bottom w:val="single" w:sz="6" w:space="0" w:color="000000"/>
              <w:right w:val="single" w:sz="4" w:space="0" w:color="000000"/>
            </w:tcBorders>
            <w:vAlign w:val="center"/>
          </w:tcPr>
          <w:p w:rsidR="00E32574" w:rsidRPr="00210A37" w:rsidRDefault="00E32574" w:rsidP="00E32574">
            <w:pPr>
              <w:pStyle w:val="Default"/>
              <w:rPr>
                <w:rFonts w:ascii="Times New Roman" w:hAnsi="Times New Roman" w:cs="Times New Roman"/>
              </w:rPr>
            </w:pPr>
            <w:r w:rsidRPr="00210A37">
              <w:rPr>
                <w:rFonts w:ascii="Times New Roman" w:hAnsi="Times New Roman" w:cs="Times New Roman"/>
              </w:rPr>
              <w:t>Concreto, retangular, horizontal</w:t>
            </w:r>
          </w:p>
        </w:tc>
        <w:tc>
          <w:tcPr>
            <w:tcW w:w="1997" w:type="dxa"/>
            <w:tcBorders>
              <w:top w:val="single" w:sz="6" w:space="0" w:color="000000"/>
              <w:left w:val="single" w:sz="4" w:space="0" w:color="000000"/>
              <w:bottom w:val="single" w:sz="6" w:space="0" w:color="000000"/>
              <w:right w:val="single" w:sz="2" w:space="0" w:color="000000"/>
            </w:tcBorders>
            <w:vAlign w:val="center"/>
          </w:tcPr>
          <w:p w:rsidR="00E32574" w:rsidRPr="00210A37" w:rsidRDefault="00E32574" w:rsidP="00E32574">
            <w:pPr>
              <w:pStyle w:val="Default"/>
              <w:jc w:val="center"/>
              <w:rPr>
                <w:rFonts w:ascii="Times New Roman" w:hAnsi="Times New Roman" w:cs="Times New Roman"/>
              </w:rPr>
            </w:pPr>
            <w:r w:rsidRPr="00210A37">
              <w:rPr>
                <w:rFonts w:ascii="Times New Roman" w:hAnsi="Times New Roman" w:cs="Times New Roman"/>
              </w:rPr>
              <w:t>Regular</w:t>
            </w:r>
          </w:p>
        </w:tc>
      </w:tr>
    </w:tbl>
    <w:p w:rsidR="00E32574" w:rsidRPr="00082391" w:rsidRDefault="00E32574" w:rsidP="0058586C">
      <w:pPr>
        <w:pStyle w:val="Fonte"/>
        <w:rPr>
          <w:lang w:eastAsia="pt-BR"/>
        </w:rPr>
      </w:pPr>
      <w:r w:rsidRPr="00082391">
        <w:rPr>
          <w:lang w:eastAsia="pt-BR"/>
        </w:rPr>
        <w:t>Fonte: SAAE, 2013.</w:t>
      </w:r>
    </w:p>
    <w:p w:rsidR="00E32574" w:rsidRDefault="00E32574" w:rsidP="00E32574">
      <w:pPr>
        <w:pStyle w:val="CM71"/>
        <w:spacing w:line="360" w:lineRule="auto"/>
        <w:ind w:firstLine="708"/>
        <w:jc w:val="both"/>
        <w:rPr>
          <w:rFonts w:ascii="Times New Roman" w:hAnsi="Times New Roman" w:cs="Times New Roman"/>
        </w:rPr>
      </w:pPr>
      <w:r w:rsidRPr="00AD1BF1">
        <w:rPr>
          <w:rFonts w:ascii="Times New Roman" w:hAnsi="Times New Roman" w:cs="Times New Roman"/>
        </w:rPr>
        <w:lastRenderedPageBreak/>
        <w:t>São utilizadas conjuntos de moto-bombas nas</w:t>
      </w:r>
      <w:r w:rsidR="008E1A58">
        <w:rPr>
          <w:rFonts w:ascii="Times New Roman" w:hAnsi="Times New Roman" w:cs="Times New Roman"/>
        </w:rPr>
        <w:t xml:space="preserve"> estações elevatórias do tipo mul</w:t>
      </w:r>
      <w:r w:rsidRPr="00AD1BF1">
        <w:rPr>
          <w:rFonts w:ascii="Times New Roman" w:hAnsi="Times New Roman" w:cs="Times New Roman"/>
        </w:rPr>
        <w:t>tiestágio (</w:t>
      </w:r>
      <w:r w:rsidRPr="005703B0">
        <w:rPr>
          <w:rFonts w:ascii="Times New Roman" w:hAnsi="Times New Roman" w:cs="Times New Roman"/>
        </w:rPr>
        <w:t>potência 1</w:t>
      </w:r>
      <w:r w:rsidR="00390AF3" w:rsidRPr="005703B0">
        <w:rPr>
          <w:rFonts w:ascii="Times New Roman" w:hAnsi="Times New Roman" w:cs="Times New Roman"/>
        </w:rPr>
        <w:t>,</w:t>
      </w:r>
      <w:r w:rsidR="005703B0" w:rsidRPr="005703B0">
        <w:rPr>
          <w:rFonts w:ascii="Times New Roman" w:hAnsi="Times New Roman" w:cs="Times New Roman"/>
        </w:rPr>
        <w:t>0</w:t>
      </w:r>
      <w:r w:rsidRPr="005703B0">
        <w:rPr>
          <w:rFonts w:ascii="Times New Roman" w:hAnsi="Times New Roman" w:cs="Times New Roman"/>
        </w:rPr>
        <w:t xml:space="preserve"> c/v),</w:t>
      </w:r>
      <w:r w:rsidRPr="00AD1BF1">
        <w:rPr>
          <w:rFonts w:ascii="Times New Roman" w:hAnsi="Times New Roman" w:cs="Times New Roman"/>
        </w:rPr>
        <w:t xml:space="preserve"> com energia elétrica fornecida pela CEMIG, com uma vazão de 200 L. h</w:t>
      </w:r>
      <w:r w:rsidRPr="00AD1BF1">
        <w:rPr>
          <w:rFonts w:ascii="Times New Roman" w:hAnsi="Times New Roman" w:cs="Times New Roman"/>
          <w:vertAlign w:val="superscript"/>
        </w:rPr>
        <w:t>-1</w:t>
      </w:r>
      <w:r w:rsidRPr="00AD1BF1">
        <w:rPr>
          <w:rFonts w:ascii="Times New Roman" w:hAnsi="Times New Roman" w:cs="Times New Roman"/>
        </w:rPr>
        <w:t>.</w:t>
      </w:r>
    </w:p>
    <w:p w:rsidR="00E32574" w:rsidRDefault="00E32574" w:rsidP="00E32574">
      <w:pPr>
        <w:pStyle w:val="CM71"/>
        <w:spacing w:line="360" w:lineRule="auto"/>
        <w:ind w:firstLine="708"/>
        <w:jc w:val="both"/>
        <w:rPr>
          <w:rFonts w:ascii="Times New Roman" w:hAnsi="Times New Roman" w:cs="Times New Roman"/>
        </w:rPr>
      </w:pPr>
      <w:r w:rsidRPr="00277051">
        <w:rPr>
          <w:rFonts w:ascii="Times New Roman" w:hAnsi="Times New Roman" w:cs="Times New Roman"/>
        </w:rPr>
        <w:t>Devido à falta de macromedi</w:t>
      </w:r>
      <w:r w:rsidR="008E1A58">
        <w:rPr>
          <w:rFonts w:ascii="Times New Roman" w:hAnsi="Times New Roman" w:cs="Times New Roman"/>
        </w:rPr>
        <w:t>ção</w:t>
      </w:r>
      <w:r w:rsidRPr="00277051">
        <w:rPr>
          <w:rFonts w:ascii="Times New Roman" w:hAnsi="Times New Roman" w:cs="Times New Roman"/>
        </w:rPr>
        <w:t xml:space="preserve"> não é possível saber certo o percentual de per</w:t>
      </w:r>
      <w:r>
        <w:rPr>
          <w:rFonts w:ascii="Times New Roman" w:hAnsi="Times New Roman" w:cs="Times New Roman"/>
        </w:rPr>
        <w:t>da, mas é estimado que seja 24,75 % e não há controle de perdas no sistema de distribuição.</w:t>
      </w:r>
    </w:p>
    <w:p w:rsidR="00E32574" w:rsidRDefault="008E1A58" w:rsidP="00971B37">
      <w:pPr>
        <w:pStyle w:val="Titulo"/>
      </w:pPr>
      <w:bookmarkStart w:id="241" w:name="_Toc372559101"/>
      <w:bookmarkStart w:id="242" w:name="_Toc372789533"/>
      <w:r>
        <w:t>11.</w:t>
      </w:r>
      <w:r w:rsidR="00B853AD">
        <w:t>7</w:t>
      </w:r>
      <w:r w:rsidR="00922902">
        <w:t>.2</w:t>
      </w:r>
      <w:r>
        <w:t xml:space="preserve"> </w:t>
      </w:r>
      <w:r w:rsidR="00E32574" w:rsidRPr="00082391">
        <w:t>Sistemas de Abastecimento de Água dos Distritos e Povoados</w:t>
      </w:r>
      <w:bookmarkEnd w:id="241"/>
      <w:bookmarkEnd w:id="242"/>
    </w:p>
    <w:p w:rsidR="00E32574" w:rsidRPr="00A275C9" w:rsidRDefault="00B853AD" w:rsidP="00971B37">
      <w:pPr>
        <w:pStyle w:val="Titulo"/>
      </w:pPr>
      <w:bookmarkStart w:id="243" w:name="_Toc372559102"/>
      <w:bookmarkStart w:id="244" w:name="_Toc372789534"/>
      <w:r w:rsidRPr="00A275C9">
        <w:t>11.7.</w:t>
      </w:r>
      <w:r w:rsidR="00922902">
        <w:t>3</w:t>
      </w:r>
      <w:r w:rsidRPr="00A275C9">
        <w:t xml:space="preserve"> </w:t>
      </w:r>
      <w:r w:rsidR="00E32574" w:rsidRPr="00A275C9">
        <w:t>Sistema Mundo Novo de Minas</w:t>
      </w:r>
      <w:bookmarkEnd w:id="243"/>
      <w:bookmarkEnd w:id="244"/>
    </w:p>
    <w:p w:rsidR="002C1C18" w:rsidRDefault="00E32574" w:rsidP="002C1C18">
      <w:pPr>
        <w:pStyle w:val="CM71"/>
        <w:spacing w:line="360" w:lineRule="auto"/>
        <w:ind w:firstLine="708"/>
        <w:jc w:val="both"/>
        <w:rPr>
          <w:rFonts w:ascii="Times New Roman" w:hAnsi="Times New Roman" w:cs="Times New Roman"/>
        </w:rPr>
      </w:pPr>
      <w:r w:rsidRPr="006E2571">
        <w:rPr>
          <w:rFonts w:ascii="Times New Roman" w:hAnsi="Times New Roman" w:cs="Times New Roman"/>
        </w:rPr>
        <w:t xml:space="preserve">O Sistema </w:t>
      </w:r>
      <w:r>
        <w:rPr>
          <w:rFonts w:ascii="Times New Roman" w:hAnsi="Times New Roman" w:cs="Times New Roman"/>
        </w:rPr>
        <w:t>Mundo Novo de Minas</w:t>
      </w:r>
      <w:r w:rsidRPr="006E2571">
        <w:rPr>
          <w:rFonts w:ascii="Times New Roman" w:hAnsi="Times New Roman" w:cs="Times New Roman"/>
        </w:rPr>
        <w:t xml:space="preserve"> localiza-se no distrito de </w:t>
      </w:r>
      <w:r>
        <w:rPr>
          <w:rFonts w:ascii="Times New Roman" w:hAnsi="Times New Roman" w:cs="Times New Roman"/>
        </w:rPr>
        <w:t>Mundo Novo de Minas</w:t>
      </w:r>
      <w:r w:rsidRPr="006E2571">
        <w:rPr>
          <w:rFonts w:ascii="Times New Roman" w:hAnsi="Times New Roman" w:cs="Times New Roman"/>
        </w:rPr>
        <w:t xml:space="preserve"> e abastece a parte urbana do distrito</w:t>
      </w:r>
      <w:r>
        <w:rPr>
          <w:rFonts w:ascii="Times New Roman" w:hAnsi="Times New Roman" w:cs="Times New Roman"/>
        </w:rPr>
        <w:t>.</w:t>
      </w:r>
    </w:p>
    <w:p w:rsidR="00E32574" w:rsidRDefault="00E32574" w:rsidP="002C1C18">
      <w:pPr>
        <w:pStyle w:val="CM71"/>
        <w:spacing w:line="360" w:lineRule="auto"/>
        <w:ind w:firstLine="708"/>
        <w:jc w:val="both"/>
        <w:rPr>
          <w:rFonts w:ascii="Times New Roman" w:hAnsi="Times New Roman" w:cs="Times New Roman"/>
        </w:rPr>
      </w:pPr>
      <w:r>
        <w:rPr>
          <w:rFonts w:ascii="Times New Roman" w:hAnsi="Times New Roman" w:cs="Times New Roman"/>
        </w:rPr>
        <w:t xml:space="preserve">A captação é subterrânea por meio de um poço artesiano com uma profundidade de aproximadamente 50 metros (Figura </w:t>
      </w:r>
      <w:r w:rsidR="002C1C18">
        <w:rPr>
          <w:rFonts w:ascii="Times New Roman" w:hAnsi="Times New Roman" w:cs="Times New Roman"/>
        </w:rPr>
        <w:t>46</w:t>
      </w:r>
      <w:r>
        <w:rPr>
          <w:rFonts w:ascii="Times New Roman" w:hAnsi="Times New Roman" w:cs="Times New Roman"/>
        </w:rPr>
        <w:t>) e com uma vazão de aproximadamente 1 L.s</w:t>
      </w:r>
      <w:r w:rsidRPr="006E2571">
        <w:rPr>
          <w:rFonts w:ascii="Times New Roman" w:hAnsi="Times New Roman" w:cs="Times New Roman"/>
          <w:vertAlign w:val="superscript"/>
        </w:rPr>
        <w:t>-1</w:t>
      </w:r>
      <w:r>
        <w:rPr>
          <w:rFonts w:ascii="Times New Roman" w:hAnsi="Times New Roman" w:cs="Times New Roman"/>
        </w:rPr>
        <w:t>.</w:t>
      </w:r>
    </w:p>
    <w:p w:rsidR="00210A37" w:rsidRPr="00454E04" w:rsidRDefault="00892B00" w:rsidP="00892B00">
      <w:pPr>
        <w:pStyle w:val="Legenda"/>
      </w:pPr>
      <w:bookmarkStart w:id="245" w:name="_Toc372740129"/>
      <w:r>
        <w:t xml:space="preserve">Figura </w:t>
      </w:r>
      <w:fldSimple w:instr=" SEQ Figura \* ARABIC ">
        <w:r w:rsidR="004F77E2">
          <w:rPr>
            <w:noProof/>
          </w:rPr>
          <w:t>46</w:t>
        </w:r>
      </w:fldSimple>
      <w:r>
        <w:t xml:space="preserve"> - </w:t>
      </w:r>
      <w:r w:rsidRPr="000954BA">
        <w:t>Aspecto visual da captação de água bruta por meio de poço artesiano (Local: 24K 0253242 7815185/Altitude: 259 m).</w:t>
      </w:r>
      <w:bookmarkEnd w:id="245"/>
    </w:p>
    <w:p w:rsidR="00E32574" w:rsidRDefault="00E32574" w:rsidP="00E32574">
      <w:pPr>
        <w:jc w:val="center"/>
        <w:rPr>
          <w:b/>
          <w:bCs/>
          <w:szCs w:val="24"/>
        </w:rPr>
      </w:pPr>
      <w:r>
        <w:rPr>
          <w:b/>
          <w:noProof/>
          <w:szCs w:val="24"/>
          <w:lang w:eastAsia="pt-BR"/>
        </w:rPr>
        <w:drawing>
          <wp:inline distT="0" distB="0" distL="0" distR="0" wp14:anchorId="63350EEF" wp14:editId="058ACB02">
            <wp:extent cx="4486972" cy="3363401"/>
            <wp:effectExtent l="19050" t="0" r="8828" b="0"/>
            <wp:docPr id="134" name="Image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509221" cy="3380079"/>
                    </a:xfrm>
                    <a:prstGeom prst="rect">
                      <a:avLst/>
                    </a:prstGeom>
                    <a:noFill/>
                    <a:ln>
                      <a:noFill/>
                    </a:ln>
                  </pic:spPr>
                </pic:pic>
              </a:graphicData>
            </a:graphic>
          </wp:inline>
        </w:drawing>
      </w:r>
    </w:p>
    <w:p w:rsidR="00E32574" w:rsidRPr="00192C99" w:rsidRDefault="00E32574" w:rsidP="00B244CE">
      <w:pPr>
        <w:pStyle w:val="Fonte"/>
        <w:ind w:firstLine="709"/>
        <w:rPr>
          <w:lang w:eastAsia="pt-BR"/>
        </w:rPr>
      </w:pPr>
      <w:r w:rsidRPr="00192C99">
        <w:rPr>
          <w:lang w:eastAsia="pt-BR"/>
        </w:rPr>
        <w:t>Fonte: Fundação Educacional de Caratinga - FUNEC, 2013.</w:t>
      </w:r>
    </w:p>
    <w:p w:rsidR="00E32574" w:rsidRDefault="00E32574" w:rsidP="002C1C18">
      <w:pPr>
        <w:pStyle w:val="CM71"/>
        <w:spacing w:line="360" w:lineRule="auto"/>
        <w:ind w:firstLine="709"/>
        <w:jc w:val="both"/>
        <w:rPr>
          <w:rFonts w:ascii="Times New Roman" w:hAnsi="Times New Roman" w:cs="Times New Roman"/>
        </w:rPr>
      </w:pPr>
      <w:r w:rsidRPr="002C1C18">
        <w:rPr>
          <w:rFonts w:ascii="Times New Roman" w:hAnsi="Times New Roman" w:cs="Times New Roman"/>
        </w:rPr>
        <w:t>A</w:t>
      </w:r>
      <w:r w:rsidR="002C1C18" w:rsidRPr="002C1C18">
        <w:rPr>
          <w:rFonts w:ascii="Times New Roman" w:hAnsi="Times New Roman" w:cs="Times New Roman"/>
        </w:rPr>
        <w:t xml:space="preserve"> </w:t>
      </w:r>
      <w:r>
        <w:rPr>
          <w:rFonts w:ascii="Times New Roman" w:hAnsi="Times New Roman" w:cs="Times New Roman"/>
        </w:rPr>
        <w:t xml:space="preserve">adução </w:t>
      </w:r>
      <w:r w:rsidR="002C1C18">
        <w:rPr>
          <w:rFonts w:ascii="Times New Roman" w:hAnsi="Times New Roman" w:cs="Times New Roman"/>
        </w:rPr>
        <w:t xml:space="preserve">da água bruta é realizada </w:t>
      </w:r>
      <w:r>
        <w:rPr>
          <w:rFonts w:ascii="Times New Roman" w:hAnsi="Times New Roman" w:cs="Times New Roman"/>
        </w:rPr>
        <w:t>por recalque de aproximadamente 250 metros</w:t>
      </w:r>
      <w:r w:rsidR="002C1C18">
        <w:rPr>
          <w:rFonts w:ascii="Times New Roman" w:hAnsi="Times New Roman" w:cs="Times New Roman"/>
        </w:rPr>
        <w:t xml:space="preserve"> </w:t>
      </w:r>
      <w:r w:rsidR="002C1C18">
        <w:rPr>
          <w:rFonts w:ascii="Times New Roman" w:hAnsi="Times New Roman" w:cs="Times New Roman"/>
        </w:rPr>
        <w:lastRenderedPageBreak/>
        <w:t>de comprimento</w:t>
      </w:r>
      <w:r>
        <w:rPr>
          <w:rFonts w:ascii="Times New Roman" w:hAnsi="Times New Roman" w:cs="Times New Roman"/>
        </w:rPr>
        <w:t>, com tubulações de cimento e amianto com 100 mm de diâmetro.</w:t>
      </w:r>
    </w:p>
    <w:p w:rsidR="00E32574" w:rsidRDefault="002C1C18" w:rsidP="002C1C18">
      <w:pPr>
        <w:pStyle w:val="CM71"/>
        <w:spacing w:line="360" w:lineRule="auto"/>
        <w:ind w:firstLine="709"/>
        <w:jc w:val="both"/>
        <w:rPr>
          <w:rFonts w:ascii="Times New Roman" w:hAnsi="Times New Roman" w:cs="Times New Roman"/>
        </w:rPr>
      </w:pPr>
      <w:r w:rsidRPr="002C1C18">
        <w:rPr>
          <w:rFonts w:ascii="Times New Roman" w:hAnsi="Times New Roman" w:cs="Times New Roman"/>
        </w:rPr>
        <w:t xml:space="preserve">A </w:t>
      </w:r>
      <w:r w:rsidR="00E32574" w:rsidRPr="002C1C18">
        <w:rPr>
          <w:rFonts w:ascii="Times New Roman" w:hAnsi="Times New Roman" w:cs="Times New Roman"/>
        </w:rPr>
        <w:t xml:space="preserve">Estação de Tratamento </w:t>
      </w:r>
      <w:r>
        <w:rPr>
          <w:rFonts w:ascii="Times New Roman" w:hAnsi="Times New Roman" w:cs="Times New Roman"/>
        </w:rPr>
        <w:t>de</w:t>
      </w:r>
      <w:r w:rsidR="00E32574" w:rsidRPr="002C1C18">
        <w:rPr>
          <w:rFonts w:ascii="Times New Roman" w:hAnsi="Times New Roman" w:cs="Times New Roman"/>
        </w:rPr>
        <w:t xml:space="preserve"> á</w:t>
      </w:r>
      <w:r w:rsidR="00E32574" w:rsidRPr="00AD5E09">
        <w:rPr>
          <w:rFonts w:ascii="Times New Roman" w:hAnsi="Times New Roman" w:cs="Times New Roman"/>
        </w:rPr>
        <w:t>gua bruta chega passando por um Aerador</w:t>
      </w:r>
      <w:r>
        <w:rPr>
          <w:rFonts w:ascii="Times New Roman" w:hAnsi="Times New Roman" w:cs="Times New Roman"/>
        </w:rPr>
        <w:t xml:space="preserve"> (Figura 47)</w:t>
      </w:r>
      <w:r w:rsidR="00E32574" w:rsidRPr="00AD5E09">
        <w:rPr>
          <w:rFonts w:ascii="Times New Roman" w:hAnsi="Times New Roman" w:cs="Times New Roman"/>
        </w:rPr>
        <w:t>, seguindo para um filtro (não se tem a vazão e a capacidade de nenhuma estrutura das ETA’s de Aimorés e distritos, exceto do reservatório)</w:t>
      </w:r>
      <w:r>
        <w:rPr>
          <w:rFonts w:ascii="Times New Roman" w:hAnsi="Times New Roman" w:cs="Times New Roman"/>
        </w:rPr>
        <w:t xml:space="preserve"> (Figura 48)</w:t>
      </w:r>
      <w:r w:rsidR="00E32574" w:rsidRPr="00AD5E09">
        <w:rPr>
          <w:rFonts w:ascii="Times New Roman" w:hAnsi="Times New Roman" w:cs="Times New Roman"/>
        </w:rPr>
        <w:t>, sendo transportada para ser adicionado hipoclorito de cálcio granular (1 kg por mês), seguindo então para o reservatório</w:t>
      </w:r>
      <w:r w:rsidR="00E32574">
        <w:rPr>
          <w:rFonts w:ascii="Times New Roman" w:hAnsi="Times New Roman" w:cs="Times New Roman"/>
        </w:rPr>
        <w:t xml:space="preserve">. </w:t>
      </w:r>
      <w:r w:rsidR="00E32574" w:rsidRPr="00AD5E09">
        <w:rPr>
          <w:rFonts w:ascii="Times New Roman" w:hAnsi="Times New Roman" w:cs="Times New Roman"/>
        </w:rPr>
        <w:t xml:space="preserve">Necessita de </w:t>
      </w:r>
      <w:r w:rsidR="00E32574">
        <w:rPr>
          <w:rFonts w:ascii="Times New Roman" w:hAnsi="Times New Roman" w:cs="Times New Roman"/>
        </w:rPr>
        <w:t>criar</w:t>
      </w:r>
      <w:r>
        <w:rPr>
          <w:rFonts w:ascii="Times New Roman" w:hAnsi="Times New Roman" w:cs="Times New Roman"/>
        </w:rPr>
        <w:t>-se</w:t>
      </w:r>
      <w:r w:rsidR="00E32574">
        <w:rPr>
          <w:rFonts w:ascii="Times New Roman" w:hAnsi="Times New Roman" w:cs="Times New Roman"/>
        </w:rPr>
        <w:t xml:space="preserve"> um sistema de macromedição</w:t>
      </w:r>
      <w:r w:rsidR="00E32574" w:rsidRPr="00AD5E09">
        <w:rPr>
          <w:rFonts w:ascii="Times New Roman" w:hAnsi="Times New Roman" w:cs="Times New Roman"/>
        </w:rPr>
        <w:t>, melhorar o acesso, pavimentar o pátio da ETA e substituir a bomba de captação.</w:t>
      </w:r>
      <w:r w:rsidR="00E32574">
        <w:rPr>
          <w:rFonts w:ascii="Times New Roman" w:hAnsi="Times New Roman" w:cs="Times New Roman"/>
        </w:rPr>
        <w:t xml:space="preserve"> É realizada</w:t>
      </w:r>
      <w:r w:rsidR="00E32574" w:rsidRPr="00561948">
        <w:rPr>
          <w:rFonts w:ascii="Times New Roman" w:hAnsi="Times New Roman" w:cs="Times New Roman"/>
        </w:rPr>
        <w:t xml:space="preserve"> análise</w:t>
      </w:r>
      <w:r w:rsidR="00E32574">
        <w:rPr>
          <w:rFonts w:ascii="Times New Roman" w:hAnsi="Times New Roman" w:cs="Times New Roman"/>
        </w:rPr>
        <w:t xml:space="preserve"> de água</w:t>
      </w:r>
      <w:r w:rsidR="00E32574" w:rsidRPr="00561948">
        <w:rPr>
          <w:rFonts w:ascii="Times New Roman" w:hAnsi="Times New Roman" w:cs="Times New Roman"/>
        </w:rPr>
        <w:t xml:space="preserve"> na ETA mensalmente e no ponto de captação a cada 6 meses</w:t>
      </w:r>
      <w:r w:rsidR="00E32574">
        <w:rPr>
          <w:rFonts w:ascii="Times New Roman" w:hAnsi="Times New Roman" w:cs="Times New Roman"/>
        </w:rPr>
        <w:t>.</w:t>
      </w:r>
    </w:p>
    <w:p w:rsidR="00210A37" w:rsidRPr="001E07EC" w:rsidRDefault="00892B00" w:rsidP="00892B00">
      <w:pPr>
        <w:pStyle w:val="Legenda"/>
      </w:pPr>
      <w:bookmarkStart w:id="246" w:name="_Toc372740130"/>
      <w:r>
        <w:t xml:space="preserve">Figura </w:t>
      </w:r>
      <w:fldSimple w:instr=" SEQ Figura \* ARABIC ">
        <w:r w:rsidR="004F77E2">
          <w:rPr>
            <w:noProof/>
          </w:rPr>
          <w:t>47</w:t>
        </w:r>
      </w:fldSimple>
      <w:r>
        <w:t xml:space="preserve"> - </w:t>
      </w:r>
      <w:r w:rsidRPr="00200C91">
        <w:t>Aerador (Local: 24K 0253045 7815118/Altitude: 263 m).</w:t>
      </w:r>
      <w:bookmarkEnd w:id="246"/>
    </w:p>
    <w:p w:rsidR="00E32574" w:rsidRDefault="00E32574" w:rsidP="00CE6EAD">
      <w:pPr>
        <w:spacing w:after="0"/>
        <w:jc w:val="center"/>
        <w:rPr>
          <w:lang w:eastAsia="pt-BR"/>
        </w:rPr>
      </w:pPr>
      <w:r>
        <w:rPr>
          <w:noProof/>
          <w:lang w:eastAsia="pt-BR"/>
        </w:rPr>
        <w:drawing>
          <wp:inline distT="0" distB="0" distL="0" distR="0" wp14:anchorId="389AB995" wp14:editId="22CE6944">
            <wp:extent cx="3549932" cy="4732934"/>
            <wp:effectExtent l="0" t="0" r="0" b="0"/>
            <wp:docPr id="133" name="Imagem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90736" cy="4787336"/>
                    </a:xfrm>
                    <a:prstGeom prst="rect">
                      <a:avLst/>
                    </a:prstGeom>
                    <a:noFill/>
                    <a:ln>
                      <a:noFill/>
                    </a:ln>
                  </pic:spPr>
                </pic:pic>
              </a:graphicData>
            </a:graphic>
          </wp:inline>
        </w:drawing>
      </w:r>
    </w:p>
    <w:p w:rsidR="00E32574" w:rsidRPr="00192C99" w:rsidRDefault="00E32574" w:rsidP="002C1C18">
      <w:pPr>
        <w:pStyle w:val="Fonte"/>
        <w:ind w:left="1416" w:firstLine="2"/>
        <w:rPr>
          <w:lang w:eastAsia="pt-BR"/>
        </w:rPr>
      </w:pPr>
      <w:r w:rsidRPr="00192C99">
        <w:rPr>
          <w:lang w:eastAsia="pt-BR"/>
        </w:rPr>
        <w:t>Fonte: Fundação Educacional de Caratinga - FUNEC, 2013.</w:t>
      </w:r>
    </w:p>
    <w:p w:rsidR="00210A37" w:rsidRPr="001E07EC" w:rsidRDefault="00892B00" w:rsidP="00892B00">
      <w:pPr>
        <w:pStyle w:val="Legenda"/>
      </w:pPr>
      <w:bookmarkStart w:id="247" w:name="_Toc372740131"/>
      <w:r>
        <w:t xml:space="preserve">Figura </w:t>
      </w:r>
      <w:fldSimple w:instr=" SEQ Figura \* ARABIC ">
        <w:r w:rsidR="004F77E2">
          <w:rPr>
            <w:noProof/>
          </w:rPr>
          <w:t>48</w:t>
        </w:r>
      </w:fldSimple>
      <w:r>
        <w:t xml:space="preserve"> - </w:t>
      </w:r>
      <w:r w:rsidRPr="005B2B65">
        <w:rPr>
          <w:noProof/>
        </w:rPr>
        <w:t>Unidade de Filtragem Lenta (Local: 24K 0253045 7815118/Altitude: 263 m).</w:t>
      </w:r>
      <w:bookmarkEnd w:id="247"/>
    </w:p>
    <w:p w:rsidR="00E32574" w:rsidRDefault="00E32574" w:rsidP="00E32574">
      <w:pPr>
        <w:jc w:val="center"/>
        <w:rPr>
          <w:lang w:eastAsia="pt-BR"/>
        </w:rPr>
      </w:pPr>
      <w:r>
        <w:rPr>
          <w:noProof/>
          <w:lang w:eastAsia="pt-BR"/>
        </w:rPr>
        <w:lastRenderedPageBreak/>
        <w:drawing>
          <wp:inline distT="0" distB="0" distL="0" distR="0" wp14:anchorId="63A90AE6" wp14:editId="67141868">
            <wp:extent cx="4157330" cy="3116303"/>
            <wp:effectExtent l="19050" t="0" r="0" b="0"/>
            <wp:docPr id="132" name="Image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159184" cy="3117693"/>
                    </a:xfrm>
                    <a:prstGeom prst="rect">
                      <a:avLst/>
                    </a:prstGeom>
                    <a:noFill/>
                    <a:ln>
                      <a:noFill/>
                    </a:ln>
                  </pic:spPr>
                </pic:pic>
              </a:graphicData>
            </a:graphic>
          </wp:inline>
        </w:drawing>
      </w:r>
    </w:p>
    <w:p w:rsidR="00E32574" w:rsidRPr="00192C99" w:rsidRDefault="00E32574" w:rsidP="002C1C18">
      <w:pPr>
        <w:pStyle w:val="Fonte"/>
        <w:ind w:left="993"/>
        <w:rPr>
          <w:lang w:eastAsia="pt-BR"/>
        </w:rPr>
      </w:pPr>
      <w:r w:rsidRPr="00192C99">
        <w:rPr>
          <w:lang w:eastAsia="pt-BR"/>
        </w:rPr>
        <w:t>Fonte: Fundação Educacional de Caratinga - FUNEC, 2013.</w:t>
      </w:r>
    </w:p>
    <w:p w:rsidR="00E32574" w:rsidRDefault="00E32574" w:rsidP="002C1C18">
      <w:pPr>
        <w:pStyle w:val="CM71"/>
        <w:spacing w:line="360" w:lineRule="auto"/>
        <w:ind w:firstLine="709"/>
        <w:jc w:val="both"/>
        <w:rPr>
          <w:rFonts w:ascii="Times New Roman" w:hAnsi="Times New Roman" w:cs="Times New Roman"/>
        </w:rPr>
      </w:pPr>
      <w:r w:rsidRPr="00DE38E9">
        <w:rPr>
          <w:rFonts w:ascii="Times New Roman" w:hAnsi="Times New Roman" w:cs="Times New Roman"/>
        </w:rPr>
        <w:t>A re</w:t>
      </w:r>
      <w:r>
        <w:rPr>
          <w:rFonts w:ascii="Times New Roman" w:hAnsi="Times New Roman" w:cs="Times New Roman"/>
        </w:rPr>
        <w:t>de de distribuição está em boas condições, somente havendo eventuais reparos. Não foram disponibilizados os diâmetros da tubulação.</w:t>
      </w:r>
    </w:p>
    <w:p w:rsidR="00E32574" w:rsidRPr="00A275C9" w:rsidRDefault="00B853AD" w:rsidP="00971B37">
      <w:pPr>
        <w:pStyle w:val="Titulo"/>
      </w:pPr>
      <w:bookmarkStart w:id="248" w:name="_Toc372559103"/>
      <w:bookmarkStart w:id="249" w:name="_Toc372789535"/>
      <w:r w:rsidRPr="00A275C9">
        <w:t>11.7.</w:t>
      </w:r>
      <w:r w:rsidR="00922902">
        <w:t>4</w:t>
      </w:r>
      <w:r w:rsidRPr="00A275C9">
        <w:t xml:space="preserve"> </w:t>
      </w:r>
      <w:r w:rsidR="00E32574" w:rsidRPr="00A275C9">
        <w:t>Sistema Conceição do Capim</w:t>
      </w:r>
      <w:bookmarkEnd w:id="248"/>
      <w:bookmarkEnd w:id="249"/>
    </w:p>
    <w:p w:rsidR="00C80994" w:rsidRDefault="00E32574" w:rsidP="00C80994">
      <w:pPr>
        <w:pStyle w:val="CM71"/>
        <w:spacing w:line="360" w:lineRule="auto"/>
        <w:ind w:firstLine="709"/>
        <w:jc w:val="both"/>
        <w:rPr>
          <w:rFonts w:ascii="Times New Roman" w:hAnsi="Times New Roman" w:cs="Times New Roman"/>
        </w:rPr>
      </w:pPr>
      <w:r w:rsidRPr="006E2571">
        <w:rPr>
          <w:rFonts w:ascii="Times New Roman" w:hAnsi="Times New Roman" w:cs="Times New Roman"/>
        </w:rPr>
        <w:t xml:space="preserve">O Sistema Conceição do Capim localiza-se no distrito de Conceição do Capim e abastece a parte urbana do distrito e os córregos </w:t>
      </w:r>
      <w:r>
        <w:rPr>
          <w:rFonts w:ascii="Times New Roman" w:hAnsi="Times New Roman" w:cs="Times New Roman"/>
        </w:rPr>
        <w:t>Barra do Capim, Pedra do Bugre, Igrejinha, Travessão e Córrego do Palmito.</w:t>
      </w:r>
    </w:p>
    <w:p w:rsidR="00E32574" w:rsidRDefault="00E32574" w:rsidP="00C80994">
      <w:pPr>
        <w:pStyle w:val="CM71"/>
        <w:spacing w:line="360" w:lineRule="auto"/>
        <w:ind w:firstLine="709"/>
        <w:jc w:val="both"/>
        <w:rPr>
          <w:rFonts w:ascii="Times New Roman" w:hAnsi="Times New Roman" w:cs="Times New Roman"/>
        </w:rPr>
      </w:pPr>
      <w:r>
        <w:rPr>
          <w:rFonts w:ascii="Times New Roman" w:hAnsi="Times New Roman" w:cs="Times New Roman"/>
        </w:rPr>
        <w:t xml:space="preserve">A captação é superficial no Rio Capim (Figura </w:t>
      </w:r>
      <w:r w:rsidR="00C80994">
        <w:rPr>
          <w:rFonts w:ascii="Times New Roman" w:hAnsi="Times New Roman" w:cs="Times New Roman"/>
        </w:rPr>
        <w:t>49</w:t>
      </w:r>
      <w:r>
        <w:rPr>
          <w:rFonts w:ascii="Times New Roman" w:hAnsi="Times New Roman" w:cs="Times New Roman"/>
        </w:rPr>
        <w:t>) com uma vazão de aproximadamente 5 L.s</w:t>
      </w:r>
      <w:r w:rsidRPr="006E2571">
        <w:rPr>
          <w:rFonts w:ascii="Times New Roman" w:hAnsi="Times New Roman" w:cs="Times New Roman"/>
          <w:vertAlign w:val="superscript"/>
        </w:rPr>
        <w:t>-1</w:t>
      </w:r>
      <w:r>
        <w:rPr>
          <w:rFonts w:ascii="Times New Roman" w:hAnsi="Times New Roman" w:cs="Times New Roman"/>
        </w:rPr>
        <w:t>.</w:t>
      </w:r>
    </w:p>
    <w:p w:rsidR="00C80994" w:rsidRDefault="00C80994">
      <w:pPr>
        <w:spacing w:after="200" w:line="276" w:lineRule="auto"/>
        <w:rPr>
          <w:rFonts w:eastAsiaTheme="minorEastAsia" w:cs="Times New Roman"/>
          <w:bCs/>
          <w:szCs w:val="24"/>
          <w:lang w:eastAsia="pt-BR"/>
        </w:rPr>
      </w:pPr>
      <w:bookmarkStart w:id="250" w:name="_Toc372117090"/>
      <w:r>
        <w:br w:type="page"/>
      </w:r>
    </w:p>
    <w:p w:rsidR="00210A37" w:rsidRPr="00454E04" w:rsidRDefault="00892B00" w:rsidP="00892B00">
      <w:pPr>
        <w:pStyle w:val="Legenda"/>
      </w:pPr>
      <w:bookmarkStart w:id="251" w:name="_Toc372740132"/>
      <w:bookmarkEnd w:id="250"/>
      <w:r>
        <w:lastRenderedPageBreak/>
        <w:t xml:space="preserve">Figura </w:t>
      </w:r>
      <w:fldSimple w:instr=" SEQ Figura \* ARABIC ">
        <w:r w:rsidR="004F77E2">
          <w:rPr>
            <w:noProof/>
          </w:rPr>
          <w:t>49</w:t>
        </w:r>
      </w:fldSimple>
      <w:r>
        <w:t xml:space="preserve"> - </w:t>
      </w:r>
      <w:r w:rsidRPr="00AC692D">
        <w:t>Aspecto visual da captação de água bruta localizado no rio Capim Anésio (Local: 24K 0265946 7834742/Altitude: 147 m).</w:t>
      </w:r>
      <w:bookmarkEnd w:id="251"/>
    </w:p>
    <w:p w:rsidR="00E32574" w:rsidRDefault="00E32574" w:rsidP="00E32574">
      <w:pPr>
        <w:jc w:val="center"/>
        <w:rPr>
          <w:lang w:eastAsia="pt-BR"/>
        </w:rPr>
      </w:pPr>
      <w:r>
        <w:rPr>
          <w:noProof/>
          <w:lang w:eastAsia="pt-BR"/>
        </w:rPr>
        <w:drawing>
          <wp:inline distT="0" distB="0" distL="0" distR="0" wp14:anchorId="08F93B7B" wp14:editId="5C6B8E29">
            <wp:extent cx="4237990" cy="3212465"/>
            <wp:effectExtent l="0" t="0" r="0" b="0"/>
            <wp:docPr id="129" name="Image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237990" cy="3212465"/>
                    </a:xfrm>
                    <a:prstGeom prst="rect">
                      <a:avLst/>
                    </a:prstGeom>
                    <a:noFill/>
                    <a:ln>
                      <a:noFill/>
                    </a:ln>
                  </pic:spPr>
                </pic:pic>
              </a:graphicData>
            </a:graphic>
          </wp:inline>
        </w:drawing>
      </w:r>
    </w:p>
    <w:p w:rsidR="00E32574" w:rsidRPr="00302FB7" w:rsidRDefault="00E32574" w:rsidP="00C80994">
      <w:pPr>
        <w:pStyle w:val="Fonte"/>
        <w:ind w:firstLine="993"/>
        <w:rPr>
          <w:lang w:eastAsia="pt-BR"/>
        </w:rPr>
      </w:pPr>
      <w:r w:rsidRPr="00192C99">
        <w:rPr>
          <w:lang w:eastAsia="pt-BR"/>
        </w:rPr>
        <w:t>Fonte: Fundação Educacional de Caratinga - FUNEC, 2013</w:t>
      </w:r>
    </w:p>
    <w:p w:rsidR="00E32574" w:rsidRDefault="00C80994" w:rsidP="00C80994">
      <w:pPr>
        <w:pStyle w:val="CM71"/>
        <w:spacing w:line="360" w:lineRule="auto"/>
        <w:ind w:firstLine="709"/>
        <w:jc w:val="both"/>
        <w:rPr>
          <w:rFonts w:ascii="Times New Roman" w:hAnsi="Times New Roman" w:cs="Times New Roman"/>
        </w:rPr>
      </w:pPr>
      <w:r>
        <w:rPr>
          <w:rFonts w:ascii="Times New Roman" w:hAnsi="Times New Roman" w:cs="Times New Roman"/>
        </w:rPr>
        <w:t xml:space="preserve">A </w:t>
      </w:r>
      <w:r w:rsidR="00E32574">
        <w:rPr>
          <w:rFonts w:ascii="Times New Roman" w:hAnsi="Times New Roman" w:cs="Times New Roman"/>
        </w:rPr>
        <w:t xml:space="preserve">adução </w:t>
      </w:r>
      <w:r>
        <w:rPr>
          <w:rFonts w:ascii="Times New Roman" w:hAnsi="Times New Roman" w:cs="Times New Roman"/>
        </w:rPr>
        <w:t xml:space="preserve">é realizada </w:t>
      </w:r>
      <w:r w:rsidR="00E32574">
        <w:rPr>
          <w:rFonts w:ascii="Times New Roman" w:hAnsi="Times New Roman" w:cs="Times New Roman"/>
        </w:rPr>
        <w:t>por recalque de aproximadamente 700 metros</w:t>
      </w:r>
      <w:r>
        <w:rPr>
          <w:rFonts w:ascii="Times New Roman" w:hAnsi="Times New Roman" w:cs="Times New Roman"/>
        </w:rPr>
        <w:t xml:space="preserve"> de comprimento</w:t>
      </w:r>
      <w:r w:rsidR="00E32574">
        <w:rPr>
          <w:rFonts w:ascii="Times New Roman" w:hAnsi="Times New Roman" w:cs="Times New Roman"/>
        </w:rPr>
        <w:t>, com tubulações de cimento e amianto com 100 mm de diâmetro, que deve ser trocada para uma tubulação de 150 mm para melhor atender o sistema.</w:t>
      </w:r>
    </w:p>
    <w:p w:rsidR="00E32574" w:rsidRDefault="00E32574" w:rsidP="00C80994">
      <w:pPr>
        <w:pStyle w:val="CM71"/>
        <w:spacing w:line="360" w:lineRule="auto"/>
        <w:ind w:firstLine="709"/>
        <w:jc w:val="both"/>
        <w:rPr>
          <w:rFonts w:ascii="Times New Roman" w:hAnsi="Times New Roman" w:cs="Times New Roman"/>
        </w:rPr>
      </w:pPr>
      <w:r w:rsidRPr="00491C80">
        <w:rPr>
          <w:rFonts w:ascii="Times New Roman" w:hAnsi="Times New Roman" w:cs="Times New Roman"/>
        </w:rPr>
        <w:t>A água bruta chega passando pela casa de química</w:t>
      </w:r>
      <w:r>
        <w:rPr>
          <w:rFonts w:ascii="Times New Roman" w:hAnsi="Times New Roman" w:cs="Times New Roman"/>
        </w:rPr>
        <w:t xml:space="preserve"> (Figura </w:t>
      </w:r>
      <w:r w:rsidR="00C80994">
        <w:rPr>
          <w:rFonts w:ascii="Times New Roman" w:hAnsi="Times New Roman" w:cs="Times New Roman"/>
        </w:rPr>
        <w:t>50</w:t>
      </w:r>
      <w:r>
        <w:rPr>
          <w:rFonts w:ascii="Times New Roman" w:hAnsi="Times New Roman" w:cs="Times New Roman"/>
        </w:rPr>
        <w:t>), local qu</w:t>
      </w:r>
      <w:r w:rsidRPr="00491C80">
        <w:rPr>
          <w:rFonts w:ascii="Times New Roman" w:hAnsi="Times New Roman" w:cs="Times New Roman"/>
        </w:rPr>
        <w:t>e se dosa e adiciona o sulfato de alumínio</w:t>
      </w:r>
      <w:r>
        <w:rPr>
          <w:rFonts w:ascii="Times New Roman" w:hAnsi="Times New Roman" w:cs="Times New Roman"/>
        </w:rPr>
        <w:t xml:space="preserve"> (150 kg por mês)</w:t>
      </w:r>
      <w:r w:rsidRPr="00491C80">
        <w:rPr>
          <w:rFonts w:ascii="Times New Roman" w:hAnsi="Times New Roman" w:cs="Times New Roman"/>
        </w:rPr>
        <w:t>, assim seguindo para um floculador</w:t>
      </w:r>
      <w:r>
        <w:rPr>
          <w:rFonts w:ascii="Times New Roman" w:hAnsi="Times New Roman" w:cs="Times New Roman"/>
        </w:rPr>
        <w:t xml:space="preserve"> (Figura </w:t>
      </w:r>
      <w:r w:rsidR="00C80994">
        <w:rPr>
          <w:rFonts w:ascii="Times New Roman" w:hAnsi="Times New Roman" w:cs="Times New Roman"/>
        </w:rPr>
        <w:t>51</w:t>
      </w:r>
      <w:r>
        <w:rPr>
          <w:rFonts w:ascii="Times New Roman" w:hAnsi="Times New Roman" w:cs="Times New Roman"/>
        </w:rPr>
        <w:t>)</w:t>
      </w:r>
      <w:r w:rsidRPr="00491C80">
        <w:rPr>
          <w:rFonts w:ascii="Times New Roman" w:hAnsi="Times New Roman" w:cs="Times New Roman"/>
        </w:rPr>
        <w:t>, seguindo para um decantador</w:t>
      </w:r>
      <w:r>
        <w:rPr>
          <w:rFonts w:ascii="Times New Roman" w:hAnsi="Times New Roman" w:cs="Times New Roman"/>
        </w:rPr>
        <w:t xml:space="preserve"> (Figura </w:t>
      </w:r>
      <w:r w:rsidR="00C80994">
        <w:rPr>
          <w:rFonts w:ascii="Times New Roman" w:hAnsi="Times New Roman" w:cs="Times New Roman"/>
        </w:rPr>
        <w:t>52</w:t>
      </w:r>
      <w:r>
        <w:rPr>
          <w:rFonts w:ascii="Times New Roman" w:hAnsi="Times New Roman" w:cs="Times New Roman"/>
        </w:rPr>
        <w:t>)</w:t>
      </w:r>
      <w:r w:rsidRPr="00491C80">
        <w:rPr>
          <w:rFonts w:ascii="Times New Roman" w:hAnsi="Times New Roman" w:cs="Times New Roman"/>
        </w:rPr>
        <w:t xml:space="preserve"> e assim seguindo para dois filtros lentos</w:t>
      </w:r>
      <w:r>
        <w:rPr>
          <w:rFonts w:ascii="Times New Roman" w:hAnsi="Times New Roman" w:cs="Times New Roman"/>
        </w:rPr>
        <w:t xml:space="preserve"> (Figura </w:t>
      </w:r>
      <w:r w:rsidR="00C80994">
        <w:rPr>
          <w:rFonts w:ascii="Times New Roman" w:hAnsi="Times New Roman" w:cs="Times New Roman"/>
        </w:rPr>
        <w:t>53</w:t>
      </w:r>
      <w:r>
        <w:rPr>
          <w:rFonts w:ascii="Times New Roman" w:hAnsi="Times New Roman" w:cs="Times New Roman"/>
        </w:rPr>
        <w:t xml:space="preserve">) por meio de uma caixa de passagem (Figura </w:t>
      </w:r>
      <w:r w:rsidR="00C80994">
        <w:rPr>
          <w:rFonts w:ascii="Times New Roman" w:hAnsi="Times New Roman" w:cs="Times New Roman"/>
        </w:rPr>
        <w:t>54</w:t>
      </w:r>
      <w:r>
        <w:rPr>
          <w:rFonts w:ascii="Times New Roman" w:hAnsi="Times New Roman" w:cs="Times New Roman"/>
        </w:rPr>
        <w:t>)</w:t>
      </w:r>
      <w:r w:rsidRPr="00491C80">
        <w:rPr>
          <w:rFonts w:ascii="Times New Roman" w:hAnsi="Times New Roman" w:cs="Times New Roman"/>
        </w:rPr>
        <w:t xml:space="preserve"> (não se tem a vazão e a capacidade de nenhuma estrutura das ETA’s de Aimorés e distritos, exceto do reservatório), passando por uma caixa de passagem que transporta a água para ser adicionado hipoclorito de cálcio granular (6 kg por mês) e flúor (4 kg por mês)</w:t>
      </w:r>
      <w:r>
        <w:rPr>
          <w:rFonts w:ascii="Times New Roman" w:hAnsi="Times New Roman" w:cs="Times New Roman"/>
        </w:rPr>
        <w:t xml:space="preserve"> (Figura </w:t>
      </w:r>
      <w:r w:rsidR="00C80994">
        <w:rPr>
          <w:rFonts w:ascii="Times New Roman" w:hAnsi="Times New Roman" w:cs="Times New Roman"/>
        </w:rPr>
        <w:t>55</w:t>
      </w:r>
      <w:r>
        <w:rPr>
          <w:rFonts w:ascii="Times New Roman" w:hAnsi="Times New Roman" w:cs="Times New Roman"/>
        </w:rPr>
        <w:t xml:space="preserve">). Há necessidade de criar mais um decantador, </w:t>
      </w:r>
      <w:r w:rsidRPr="00DE38E9">
        <w:rPr>
          <w:rFonts w:ascii="Times New Roman" w:hAnsi="Times New Roman" w:cs="Times New Roman"/>
        </w:rPr>
        <w:t xml:space="preserve">de se </w:t>
      </w:r>
      <w:r>
        <w:rPr>
          <w:rFonts w:ascii="Times New Roman" w:hAnsi="Times New Roman" w:cs="Times New Roman"/>
        </w:rPr>
        <w:t>criar um sistema de macromedição</w:t>
      </w:r>
      <w:r w:rsidRPr="00DE38E9">
        <w:rPr>
          <w:rFonts w:ascii="Times New Roman" w:hAnsi="Times New Roman" w:cs="Times New Roman"/>
        </w:rPr>
        <w:t>, melhorar o acesso, pavimentar o pátio e reformar/ampliar a ETA e substituir a bomba de captação.</w:t>
      </w:r>
      <w:r>
        <w:rPr>
          <w:rFonts w:ascii="Times New Roman" w:hAnsi="Times New Roman" w:cs="Times New Roman"/>
        </w:rPr>
        <w:t xml:space="preserve"> Feita análise na ETA mensalmente e no ponto de captação a cada 6 meses. </w:t>
      </w:r>
    </w:p>
    <w:p w:rsidR="00E32574" w:rsidRDefault="00E32574" w:rsidP="00E32574">
      <w:pPr>
        <w:rPr>
          <w:lang w:eastAsia="pt-BR"/>
        </w:rPr>
      </w:pPr>
    </w:p>
    <w:p w:rsidR="00892B00" w:rsidRDefault="00892B00" w:rsidP="00892B00">
      <w:pPr>
        <w:pStyle w:val="Legenda"/>
        <w:keepNext/>
      </w:pPr>
      <w:bookmarkStart w:id="252" w:name="_Toc372740133"/>
      <w:bookmarkStart w:id="253" w:name="_Toc372117091"/>
      <w:r>
        <w:lastRenderedPageBreak/>
        <w:t xml:space="preserve">Figura </w:t>
      </w:r>
      <w:fldSimple w:instr=" SEQ Figura \* ARABIC ">
        <w:r w:rsidR="004F77E2">
          <w:rPr>
            <w:noProof/>
          </w:rPr>
          <w:t>50</w:t>
        </w:r>
      </w:fldSimple>
      <w:r>
        <w:t xml:space="preserve"> - </w:t>
      </w:r>
      <w:r w:rsidRPr="004C6B9C">
        <w:rPr>
          <w:noProof/>
        </w:rPr>
        <w:t>Vista da Casa de Química (Local: 24K 0281372 7843151 /Altitude: 177 m).</w:t>
      </w:r>
      <w:bookmarkEnd w:id="252"/>
    </w:p>
    <w:bookmarkEnd w:id="253"/>
    <w:p w:rsidR="00E32574" w:rsidRDefault="00E32574" w:rsidP="00E32574">
      <w:pPr>
        <w:jc w:val="center"/>
        <w:rPr>
          <w:lang w:eastAsia="pt-BR"/>
        </w:rPr>
      </w:pPr>
      <w:r>
        <w:rPr>
          <w:noProof/>
          <w:lang w:eastAsia="pt-BR"/>
        </w:rPr>
        <w:drawing>
          <wp:inline distT="0" distB="0" distL="0" distR="0" wp14:anchorId="2539A8BE" wp14:editId="300B3F71">
            <wp:extent cx="4363683" cy="3307743"/>
            <wp:effectExtent l="19050" t="0" r="0" b="0"/>
            <wp:docPr id="128" name="Image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377061" cy="3317884"/>
                    </a:xfrm>
                    <a:prstGeom prst="rect">
                      <a:avLst/>
                    </a:prstGeom>
                    <a:noFill/>
                    <a:ln>
                      <a:noFill/>
                    </a:ln>
                  </pic:spPr>
                </pic:pic>
              </a:graphicData>
            </a:graphic>
          </wp:inline>
        </w:drawing>
      </w:r>
    </w:p>
    <w:p w:rsidR="00E32574" w:rsidRDefault="0050508A" w:rsidP="0050508A">
      <w:pPr>
        <w:pStyle w:val="Fonte"/>
        <w:ind w:firstLine="708"/>
        <w:rPr>
          <w:lang w:eastAsia="pt-BR"/>
        </w:rPr>
      </w:pPr>
      <w:r>
        <w:rPr>
          <w:lang w:eastAsia="pt-BR"/>
        </w:rPr>
        <w:t xml:space="preserve">    </w:t>
      </w:r>
      <w:r w:rsidR="00E32574" w:rsidRPr="00192C99">
        <w:rPr>
          <w:lang w:eastAsia="pt-BR"/>
        </w:rPr>
        <w:t>Fonte: Fundação Educacional de Caratinga - FUNEC, 2013</w:t>
      </w:r>
    </w:p>
    <w:p w:rsidR="00210A37" w:rsidRPr="001E07EC" w:rsidRDefault="00892B00" w:rsidP="00892B00">
      <w:pPr>
        <w:pStyle w:val="Legenda"/>
      </w:pPr>
      <w:bookmarkStart w:id="254" w:name="_Toc372740134"/>
      <w:r>
        <w:t xml:space="preserve">Figura </w:t>
      </w:r>
      <w:fldSimple w:instr=" SEQ Figura \* ARABIC ">
        <w:r w:rsidR="004F77E2">
          <w:rPr>
            <w:noProof/>
          </w:rPr>
          <w:t>51</w:t>
        </w:r>
      </w:fldSimple>
      <w:r>
        <w:t xml:space="preserve"> - </w:t>
      </w:r>
      <w:r w:rsidRPr="000F192C">
        <w:rPr>
          <w:noProof/>
        </w:rPr>
        <w:t>Floculador (Local: 24K 0281372 7843151 /Altitude: 177 m).</w:t>
      </w:r>
      <w:bookmarkEnd w:id="254"/>
    </w:p>
    <w:p w:rsidR="00E32574" w:rsidRDefault="00E32574" w:rsidP="00E32574">
      <w:pPr>
        <w:jc w:val="center"/>
        <w:rPr>
          <w:lang w:eastAsia="pt-BR"/>
        </w:rPr>
      </w:pPr>
      <w:r>
        <w:rPr>
          <w:noProof/>
          <w:lang w:eastAsia="pt-BR"/>
        </w:rPr>
        <w:drawing>
          <wp:inline distT="0" distB="0" distL="0" distR="0" wp14:anchorId="3A8D914A" wp14:editId="640BA969">
            <wp:extent cx="4293070" cy="3254217"/>
            <wp:effectExtent l="19050" t="0" r="0" b="0"/>
            <wp:docPr id="127" name="Image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300299" cy="3259696"/>
                    </a:xfrm>
                    <a:prstGeom prst="rect">
                      <a:avLst/>
                    </a:prstGeom>
                    <a:noFill/>
                    <a:ln>
                      <a:noFill/>
                    </a:ln>
                  </pic:spPr>
                </pic:pic>
              </a:graphicData>
            </a:graphic>
          </wp:inline>
        </w:drawing>
      </w:r>
    </w:p>
    <w:p w:rsidR="00E32574" w:rsidRDefault="00E32574" w:rsidP="00B244CE">
      <w:pPr>
        <w:pStyle w:val="Fonte"/>
        <w:ind w:firstLine="993"/>
        <w:rPr>
          <w:lang w:eastAsia="pt-BR"/>
        </w:rPr>
      </w:pPr>
      <w:r w:rsidRPr="00192C99">
        <w:rPr>
          <w:lang w:eastAsia="pt-BR"/>
        </w:rPr>
        <w:t>Fonte: Fundação Educacional de Caratinga - FUNEC, 2013</w:t>
      </w:r>
    </w:p>
    <w:p w:rsidR="00210A37" w:rsidRPr="001E07EC" w:rsidRDefault="00892B00" w:rsidP="00892B00">
      <w:pPr>
        <w:pStyle w:val="Legenda"/>
      </w:pPr>
      <w:bookmarkStart w:id="255" w:name="_Toc372740135"/>
      <w:r>
        <w:lastRenderedPageBreak/>
        <w:t xml:space="preserve">Figura </w:t>
      </w:r>
      <w:fldSimple w:instr=" SEQ Figura \* ARABIC ">
        <w:r w:rsidR="004F77E2">
          <w:rPr>
            <w:noProof/>
          </w:rPr>
          <w:t>52</w:t>
        </w:r>
      </w:fldSimple>
      <w:r>
        <w:t xml:space="preserve"> - </w:t>
      </w:r>
      <w:r w:rsidRPr="009570B7">
        <w:t>Decantador (Local: 24K 0281372 7843151 /Altitude: 177 m).</w:t>
      </w:r>
      <w:bookmarkEnd w:id="255"/>
    </w:p>
    <w:p w:rsidR="00E32574" w:rsidRDefault="00E32574" w:rsidP="00E32574">
      <w:pPr>
        <w:jc w:val="center"/>
        <w:rPr>
          <w:lang w:eastAsia="pt-BR"/>
        </w:rPr>
      </w:pPr>
      <w:r>
        <w:rPr>
          <w:noProof/>
          <w:lang w:eastAsia="pt-BR"/>
        </w:rPr>
        <w:drawing>
          <wp:inline distT="0" distB="0" distL="0" distR="0" wp14:anchorId="2E6EFFB5" wp14:editId="73547F12">
            <wp:extent cx="4487461" cy="3401568"/>
            <wp:effectExtent l="0" t="0" r="8890" b="8890"/>
            <wp:docPr id="126" name="Image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494587" cy="3406970"/>
                    </a:xfrm>
                    <a:prstGeom prst="rect">
                      <a:avLst/>
                    </a:prstGeom>
                    <a:noFill/>
                    <a:ln>
                      <a:noFill/>
                    </a:ln>
                  </pic:spPr>
                </pic:pic>
              </a:graphicData>
            </a:graphic>
          </wp:inline>
        </w:drawing>
      </w:r>
    </w:p>
    <w:p w:rsidR="00E32574" w:rsidRDefault="00E32574" w:rsidP="0050508A">
      <w:pPr>
        <w:pStyle w:val="Fonte"/>
        <w:ind w:firstLine="708"/>
        <w:rPr>
          <w:lang w:eastAsia="pt-BR"/>
        </w:rPr>
      </w:pPr>
      <w:r w:rsidRPr="00192C99">
        <w:rPr>
          <w:lang w:eastAsia="pt-BR"/>
        </w:rPr>
        <w:t>Fonte: Fundação Educacional de Caratinga - FUNEC, 2013</w:t>
      </w:r>
    </w:p>
    <w:p w:rsidR="00210A37" w:rsidRPr="001E07EC" w:rsidRDefault="00892B00" w:rsidP="00892B00">
      <w:pPr>
        <w:pStyle w:val="Legenda"/>
      </w:pPr>
      <w:bookmarkStart w:id="256" w:name="_Toc372740136"/>
      <w:r>
        <w:t xml:space="preserve">Figura </w:t>
      </w:r>
      <w:fldSimple w:instr=" SEQ Figura \* ARABIC ">
        <w:r w:rsidR="004F77E2">
          <w:rPr>
            <w:noProof/>
          </w:rPr>
          <w:t>53</w:t>
        </w:r>
      </w:fldSimple>
      <w:r>
        <w:t xml:space="preserve"> - </w:t>
      </w:r>
      <w:r w:rsidRPr="00413245">
        <w:rPr>
          <w:noProof/>
        </w:rPr>
        <w:t>Caixa de Passagem (Local: 24K 0281372 7843151 /Altitude: 177 m).</w:t>
      </w:r>
      <w:bookmarkEnd w:id="256"/>
    </w:p>
    <w:p w:rsidR="00E32574" w:rsidRDefault="00E32574" w:rsidP="00E32574">
      <w:pPr>
        <w:jc w:val="center"/>
        <w:rPr>
          <w:lang w:eastAsia="pt-BR"/>
        </w:rPr>
      </w:pPr>
      <w:r>
        <w:rPr>
          <w:noProof/>
          <w:lang w:eastAsia="pt-BR"/>
        </w:rPr>
        <w:drawing>
          <wp:inline distT="0" distB="0" distL="0" distR="0" wp14:anchorId="0B9BB7D9" wp14:editId="6FE8BF4B">
            <wp:extent cx="4311234" cy="3267986"/>
            <wp:effectExtent l="19050" t="0" r="0" b="0"/>
            <wp:docPr id="125" name="Image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325670" cy="3278928"/>
                    </a:xfrm>
                    <a:prstGeom prst="rect">
                      <a:avLst/>
                    </a:prstGeom>
                    <a:noFill/>
                    <a:ln>
                      <a:noFill/>
                    </a:ln>
                  </pic:spPr>
                </pic:pic>
              </a:graphicData>
            </a:graphic>
          </wp:inline>
        </w:drawing>
      </w:r>
    </w:p>
    <w:p w:rsidR="00E32574" w:rsidRDefault="00E32574" w:rsidP="00B244CE">
      <w:pPr>
        <w:pStyle w:val="Fonte"/>
        <w:ind w:firstLine="851"/>
        <w:rPr>
          <w:lang w:eastAsia="pt-BR"/>
        </w:rPr>
      </w:pPr>
      <w:r w:rsidRPr="00192C99">
        <w:rPr>
          <w:lang w:eastAsia="pt-BR"/>
        </w:rPr>
        <w:t>Fonte: Fundação Educacional de Caratinga - FUNEC, 2013</w:t>
      </w:r>
    </w:p>
    <w:p w:rsidR="00210A37" w:rsidRPr="00210A37" w:rsidRDefault="00892B00" w:rsidP="00892B00">
      <w:pPr>
        <w:pStyle w:val="Legenda"/>
        <w:rPr>
          <w:spacing w:val="-6"/>
        </w:rPr>
      </w:pPr>
      <w:bookmarkStart w:id="257" w:name="_Toc372740137"/>
      <w:r>
        <w:lastRenderedPageBreak/>
        <w:t xml:space="preserve">Figura </w:t>
      </w:r>
      <w:fldSimple w:instr=" SEQ Figura \* ARABIC ">
        <w:r w:rsidR="004F77E2">
          <w:rPr>
            <w:noProof/>
          </w:rPr>
          <w:t>54</w:t>
        </w:r>
      </w:fldSimple>
      <w:r>
        <w:t xml:space="preserve"> - </w:t>
      </w:r>
      <w:r w:rsidRPr="00C67DD0">
        <w:rPr>
          <w:noProof/>
        </w:rPr>
        <w:t>Unidade de Filtragem Lenta (Local: 24K 0281372 7843151 /Altitude: 177 m).</w:t>
      </w:r>
      <w:bookmarkEnd w:id="257"/>
    </w:p>
    <w:p w:rsidR="00E32574" w:rsidRDefault="00E32574" w:rsidP="00E32574">
      <w:pPr>
        <w:jc w:val="center"/>
        <w:rPr>
          <w:lang w:eastAsia="pt-BR"/>
        </w:rPr>
      </w:pPr>
      <w:r>
        <w:rPr>
          <w:noProof/>
          <w:lang w:eastAsia="pt-BR"/>
        </w:rPr>
        <w:drawing>
          <wp:inline distT="0" distB="0" distL="0" distR="0" wp14:anchorId="4EFF9AAE" wp14:editId="3EDDD78F">
            <wp:extent cx="4284780" cy="3247933"/>
            <wp:effectExtent l="19050" t="0" r="1470" b="0"/>
            <wp:docPr id="124" name="Image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295935" cy="3256389"/>
                    </a:xfrm>
                    <a:prstGeom prst="rect">
                      <a:avLst/>
                    </a:prstGeom>
                    <a:noFill/>
                    <a:ln>
                      <a:noFill/>
                    </a:ln>
                  </pic:spPr>
                </pic:pic>
              </a:graphicData>
            </a:graphic>
          </wp:inline>
        </w:drawing>
      </w:r>
    </w:p>
    <w:p w:rsidR="00E32574" w:rsidRDefault="00E32574" w:rsidP="00B244CE">
      <w:pPr>
        <w:pStyle w:val="Fonte"/>
        <w:ind w:firstLine="851"/>
        <w:rPr>
          <w:lang w:eastAsia="pt-BR"/>
        </w:rPr>
      </w:pPr>
      <w:r w:rsidRPr="00192C99">
        <w:rPr>
          <w:lang w:eastAsia="pt-BR"/>
        </w:rPr>
        <w:t>Fonte: Fundação Educacional de Caratinga - FUNEC, 2013</w:t>
      </w:r>
    </w:p>
    <w:p w:rsidR="00210A37" w:rsidRPr="00210A37" w:rsidRDefault="00892B00" w:rsidP="00892B00">
      <w:pPr>
        <w:pStyle w:val="Legenda"/>
        <w:rPr>
          <w:spacing w:val="-8"/>
        </w:rPr>
      </w:pPr>
      <w:bookmarkStart w:id="258" w:name="_Toc372740138"/>
      <w:r>
        <w:t xml:space="preserve">Figura </w:t>
      </w:r>
      <w:fldSimple w:instr=" SEQ Figura \* ARABIC ">
        <w:r w:rsidR="004F77E2">
          <w:rPr>
            <w:noProof/>
          </w:rPr>
          <w:t>55</w:t>
        </w:r>
      </w:fldSimple>
      <w:r>
        <w:t xml:space="preserve"> - </w:t>
      </w:r>
      <w:r w:rsidRPr="00D10A28">
        <w:rPr>
          <w:noProof/>
        </w:rPr>
        <w:t>Área de adição de cloro e flúor (Local: 24K 0281372 7843151 /Altitude: 177 m).</w:t>
      </w:r>
      <w:bookmarkEnd w:id="258"/>
    </w:p>
    <w:p w:rsidR="00E32574" w:rsidRDefault="00E32574" w:rsidP="00CE6EAD">
      <w:pPr>
        <w:spacing w:after="0"/>
        <w:jc w:val="center"/>
        <w:rPr>
          <w:lang w:eastAsia="pt-BR"/>
        </w:rPr>
      </w:pPr>
      <w:r>
        <w:rPr>
          <w:noProof/>
          <w:lang w:eastAsia="pt-BR"/>
        </w:rPr>
        <w:drawing>
          <wp:inline distT="0" distB="0" distL="0" distR="0" wp14:anchorId="5FA35453" wp14:editId="17E6EA04">
            <wp:extent cx="4197985" cy="3182140"/>
            <wp:effectExtent l="19050" t="0" r="0" b="0"/>
            <wp:docPr id="123" name="Image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01452" cy="3184768"/>
                    </a:xfrm>
                    <a:prstGeom prst="rect">
                      <a:avLst/>
                    </a:prstGeom>
                    <a:noFill/>
                    <a:ln>
                      <a:noFill/>
                    </a:ln>
                  </pic:spPr>
                </pic:pic>
              </a:graphicData>
            </a:graphic>
          </wp:inline>
        </w:drawing>
      </w:r>
    </w:p>
    <w:p w:rsidR="00E32574" w:rsidRDefault="0050508A" w:rsidP="0050508A">
      <w:pPr>
        <w:pStyle w:val="Fonte"/>
        <w:ind w:firstLine="708"/>
        <w:rPr>
          <w:lang w:eastAsia="pt-BR"/>
        </w:rPr>
      </w:pPr>
      <w:r>
        <w:rPr>
          <w:lang w:eastAsia="pt-BR"/>
        </w:rPr>
        <w:t xml:space="preserve">    </w:t>
      </w:r>
      <w:r w:rsidR="00E32574" w:rsidRPr="00192C99">
        <w:rPr>
          <w:lang w:eastAsia="pt-BR"/>
        </w:rPr>
        <w:t xml:space="preserve">Fonte: Fundação Educacional de Caratinga - </w:t>
      </w:r>
      <w:r w:rsidR="00E32574" w:rsidRPr="00210A37">
        <w:rPr>
          <w:rStyle w:val="ft"/>
        </w:rPr>
        <w:t>FUNEC</w:t>
      </w:r>
      <w:r w:rsidR="00E32574" w:rsidRPr="00192C99">
        <w:rPr>
          <w:lang w:eastAsia="pt-BR"/>
        </w:rPr>
        <w:t>, 2013</w:t>
      </w:r>
    </w:p>
    <w:p w:rsidR="003271CA" w:rsidRDefault="003271CA" w:rsidP="003271CA">
      <w:pPr>
        <w:pStyle w:val="CM71"/>
        <w:spacing w:line="360" w:lineRule="auto"/>
        <w:ind w:firstLine="709"/>
        <w:jc w:val="both"/>
        <w:rPr>
          <w:rFonts w:ascii="Times New Roman" w:hAnsi="Times New Roman" w:cs="Times New Roman"/>
        </w:rPr>
      </w:pPr>
      <w:r w:rsidRPr="003271CA">
        <w:rPr>
          <w:rFonts w:ascii="Times New Roman" w:hAnsi="Times New Roman" w:cs="Times New Roman"/>
        </w:rPr>
        <w:lastRenderedPageBreak/>
        <w:t xml:space="preserve">O </w:t>
      </w:r>
      <w:r w:rsidR="00E32574" w:rsidRPr="003271CA">
        <w:rPr>
          <w:rFonts w:ascii="Times New Roman" w:hAnsi="Times New Roman" w:cs="Times New Roman"/>
        </w:rPr>
        <w:t>Reservatório</w:t>
      </w:r>
      <w:r>
        <w:rPr>
          <w:rFonts w:ascii="Times New Roman" w:hAnsi="Times New Roman" w:cs="Times New Roman"/>
        </w:rPr>
        <w:t xml:space="preserve"> est</w:t>
      </w:r>
      <w:r w:rsidR="005F075C">
        <w:rPr>
          <w:rFonts w:ascii="Times New Roman" w:hAnsi="Times New Roman" w:cs="Times New Roman"/>
        </w:rPr>
        <w:t>á</w:t>
      </w:r>
      <w:r>
        <w:rPr>
          <w:rFonts w:ascii="Times New Roman" w:hAnsi="Times New Roman" w:cs="Times New Roman"/>
        </w:rPr>
        <w:t xml:space="preserve"> l</w:t>
      </w:r>
      <w:r w:rsidR="00E32574">
        <w:rPr>
          <w:rFonts w:ascii="Times New Roman" w:hAnsi="Times New Roman" w:cs="Times New Roman"/>
        </w:rPr>
        <w:t xml:space="preserve">ocalizado junto à ETA, tem capacidade de 80 m³. </w:t>
      </w:r>
      <w:r w:rsidR="00E32574" w:rsidRPr="00DE38E9">
        <w:rPr>
          <w:rFonts w:ascii="Times New Roman" w:hAnsi="Times New Roman" w:cs="Times New Roman"/>
        </w:rPr>
        <w:t>O reservatório deve-se ampliar de 80</w:t>
      </w:r>
      <w:r>
        <w:rPr>
          <w:rFonts w:ascii="Times New Roman" w:hAnsi="Times New Roman" w:cs="Times New Roman"/>
        </w:rPr>
        <w:t xml:space="preserve"> m³</w:t>
      </w:r>
      <w:r w:rsidR="00E32574">
        <w:rPr>
          <w:rFonts w:ascii="Times New Roman" w:hAnsi="Times New Roman" w:cs="Times New Roman"/>
        </w:rPr>
        <w:t xml:space="preserve"> litros para 100</w:t>
      </w:r>
      <w:r>
        <w:rPr>
          <w:rFonts w:ascii="Times New Roman" w:hAnsi="Times New Roman" w:cs="Times New Roman"/>
        </w:rPr>
        <w:t xml:space="preserve"> m³</w:t>
      </w:r>
      <w:r w:rsidR="00E32574">
        <w:rPr>
          <w:rFonts w:ascii="Times New Roman" w:hAnsi="Times New Roman" w:cs="Times New Roman"/>
        </w:rPr>
        <w:t xml:space="preserve"> litros (Figura </w:t>
      </w:r>
      <w:r>
        <w:rPr>
          <w:rFonts w:ascii="Times New Roman" w:hAnsi="Times New Roman" w:cs="Times New Roman"/>
        </w:rPr>
        <w:t>56</w:t>
      </w:r>
      <w:r w:rsidR="00E32574">
        <w:rPr>
          <w:rFonts w:ascii="Times New Roman" w:hAnsi="Times New Roman" w:cs="Times New Roman"/>
        </w:rPr>
        <w:t>).</w:t>
      </w:r>
    </w:p>
    <w:p w:rsidR="003271CA" w:rsidRPr="006E2571" w:rsidRDefault="003271CA" w:rsidP="003271CA">
      <w:pPr>
        <w:pStyle w:val="CM71"/>
        <w:spacing w:line="360" w:lineRule="auto"/>
        <w:ind w:firstLine="709"/>
        <w:jc w:val="both"/>
        <w:rPr>
          <w:rFonts w:ascii="Times New Roman" w:hAnsi="Times New Roman" w:cs="Times New Roman"/>
        </w:rPr>
      </w:pPr>
      <w:r w:rsidRPr="00DE38E9">
        <w:rPr>
          <w:rFonts w:ascii="Times New Roman" w:hAnsi="Times New Roman" w:cs="Times New Roman"/>
        </w:rPr>
        <w:t>A re</w:t>
      </w:r>
      <w:r>
        <w:rPr>
          <w:rFonts w:ascii="Times New Roman" w:hAnsi="Times New Roman" w:cs="Times New Roman"/>
        </w:rPr>
        <w:t>de de distribuição é mista PVC/</w:t>
      </w:r>
      <w:r w:rsidRPr="00DE38E9">
        <w:rPr>
          <w:rFonts w:ascii="Times New Roman" w:hAnsi="Times New Roman" w:cs="Times New Roman"/>
        </w:rPr>
        <w:t>Amianto de 100 mm de diâmetro. A adução é feito por gravidade</w:t>
      </w:r>
      <w:r>
        <w:rPr>
          <w:rFonts w:ascii="Times New Roman" w:hAnsi="Times New Roman" w:cs="Times New Roman"/>
        </w:rPr>
        <w:t>.</w:t>
      </w:r>
    </w:p>
    <w:p w:rsidR="00210A37" w:rsidRPr="001E07EC" w:rsidRDefault="00892B00" w:rsidP="00892B00">
      <w:pPr>
        <w:pStyle w:val="Legenda"/>
      </w:pPr>
      <w:bookmarkStart w:id="259" w:name="_Toc372740139"/>
      <w:r>
        <w:t xml:space="preserve">Figura </w:t>
      </w:r>
      <w:fldSimple w:instr=" SEQ Figura \* ARABIC ">
        <w:r w:rsidR="004F77E2">
          <w:rPr>
            <w:noProof/>
          </w:rPr>
          <w:t>56</w:t>
        </w:r>
      </w:fldSimple>
      <w:r>
        <w:t xml:space="preserve"> - </w:t>
      </w:r>
      <w:r w:rsidRPr="00A16ECB">
        <w:rPr>
          <w:noProof/>
        </w:rPr>
        <w:t>Reservatório do sistema (Local: 24K 0281372 7843151 /Altitude: 177 m).</w:t>
      </w:r>
      <w:bookmarkEnd w:id="259"/>
    </w:p>
    <w:p w:rsidR="00E32574" w:rsidRDefault="00E32574" w:rsidP="00E32574">
      <w:pPr>
        <w:jc w:val="center"/>
        <w:rPr>
          <w:lang w:eastAsia="pt-BR"/>
        </w:rPr>
      </w:pPr>
      <w:r>
        <w:rPr>
          <w:noProof/>
          <w:lang w:eastAsia="pt-BR"/>
        </w:rPr>
        <w:drawing>
          <wp:inline distT="0" distB="0" distL="0" distR="0" wp14:anchorId="10AC6A95" wp14:editId="41818269">
            <wp:extent cx="4311142" cy="3267915"/>
            <wp:effectExtent l="0" t="0" r="0" b="8890"/>
            <wp:docPr id="122" name="Image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314157" cy="3270200"/>
                    </a:xfrm>
                    <a:prstGeom prst="rect">
                      <a:avLst/>
                    </a:prstGeom>
                    <a:noFill/>
                    <a:ln>
                      <a:noFill/>
                    </a:ln>
                  </pic:spPr>
                </pic:pic>
              </a:graphicData>
            </a:graphic>
          </wp:inline>
        </w:drawing>
      </w:r>
    </w:p>
    <w:p w:rsidR="00E32574" w:rsidRDefault="00E32574" w:rsidP="003271CA">
      <w:pPr>
        <w:pStyle w:val="Fonte"/>
        <w:ind w:firstLine="851"/>
        <w:rPr>
          <w:lang w:eastAsia="pt-BR"/>
        </w:rPr>
      </w:pPr>
      <w:r w:rsidRPr="00192C99">
        <w:rPr>
          <w:lang w:eastAsia="pt-BR"/>
        </w:rPr>
        <w:t>Fonte: Fundação Educacional de Caratinga - FUNEC, 2013</w:t>
      </w:r>
    </w:p>
    <w:p w:rsidR="00E32574" w:rsidRPr="00A275C9" w:rsidRDefault="00B853AD" w:rsidP="00971B37">
      <w:pPr>
        <w:pStyle w:val="Titulo"/>
      </w:pPr>
      <w:bookmarkStart w:id="260" w:name="_Toc372559104"/>
      <w:bookmarkStart w:id="261" w:name="_Toc372789536"/>
      <w:r w:rsidRPr="00A275C9">
        <w:t>11.7.</w:t>
      </w:r>
      <w:r w:rsidR="00922902">
        <w:t>5</w:t>
      </w:r>
      <w:r w:rsidRPr="00A275C9">
        <w:t xml:space="preserve"> </w:t>
      </w:r>
      <w:r w:rsidR="00E32574" w:rsidRPr="00A275C9">
        <w:t>Sistema Penha do Capim</w:t>
      </w:r>
      <w:bookmarkEnd w:id="260"/>
      <w:bookmarkEnd w:id="261"/>
    </w:p>
    <w:p w:rsidR="003271CA" w:rsidRDefault="00E32574" w:rsidP="003271CA">
      <w:pPr>
        <w:pStyle w:val="CM71"/>
        <w:spacing w:line="360" w:lineRule="auto"/>
        <w:ind w:firstLine="708"/>
        <w:jc w:val="both"/>
        <w:rPr>
          <w:rFonts w:ascii="Times New Roman" w:hAnsi="Times New Roman" w:cs="Times New Roman"/>
        </w:rPr>
      </w:pPr>
      <w:r w:rsidRPr="009D0B15">
        <w:rPr>
          <w:rFonts w:ascii="Times New Roman" w:hAnsi="Times New Roman" w:cs="Times New Roman"/>
        </w:rPr>
        <w:t xml:space="preserve">O Sistema está inserido no distrito de Penha do Capim </w:t>
      </w:r>
      <w:r w:rsidRPr="006E2571">
        <w:rPr>
          <w:rFonts w:ascii="Times New Roman" w:hAnsi="Times New Roman" w:cs="Times New Roman"/>
        </w:rPr>
        <w:t xml:space="preserve">e abastece a parte urbana do distrito e os córregos </w:t>
      </w:r>
      <w:r>
        <w:rPr>
          <w:rFonts w:ascii="Times New Roman" w:hAnsi="Times New Roman" w:cs="Times New Roman"/>
        </w:rPr>
        <w:t>Ibiraçu e Aventureiro.</w:t>
      </w:r>
    </w:p>
    <w:p w:rsidR="00E32574" w:rsidRDefault="00E32574" w:rsidP="003271CA">
      <w:pPr>
        <w:pStyle w:val="CM71"/>
        <w:spacing w:line="360" w:lineRule="auto"/>
        <w:ind w:firstLine="708"/>
        <w:jc w:val="both"/>
      </w:pPr>
      <w:r>
        <w:rPr>
          <w:rFonts w:ascii="Times New Roman" w:hAnsi="Times New Roman" w:cs="Times New Roman"/>
        </w:rPr>
        <w:t xml:space="preserve">A captação é superficial no Rio Capim (Figura </w:t>
      </w:r>
      <w:r w:rsidR="003271CA">
        <w:rPr>
          <w:rFonts w:ascii="Times New Roman" w:hAnsi="Times New Roman" w:cs="Times New Roman"/>
        </w:rPr>
        <w:t>57</w:t>
      </w:r>
      <w:r>
        <w:rPr>
          <w:rFonts w:ascii="Times New Roman" w:hAnsi="Times New Roman" w:cs="Times New Roman"/>
        </w:rPr>
        <w:t>) com uma vazão de aproximadamente 5 L.s</w:t>
      </w:r>
      <w:r w:rsidRPr="006E2571">
        <w:rPr>
          <w:rFonts w:ascii="Times New Roman" w:hAnsi="Times New Roman" w:cs="Times New Roman"/>
          <w:vertAlign w:val="superscript"/>
        </w:rPr>
        <w:t>-1</w:t>
      </w:r>
      <w:r>
        <w:rPr>
          <w:rFonts w:ascii="Times New Roman" w:hAnsi="Times New Roman" w:cs="Times New Roman"/>
        </w:rPr>
        <w:t xml:space="preserve">. </w:t>
      </w:r>
      <w:r>
        <w:rPr>
          <w:rFonts w:ascii="Times New Roman" w:hAnsi="Times New Roman" w:cs="Times New Roman"/>
          <w:szCs w:val="22"/>
          <w:lang w:eastAsia="en-US"/>
        </w:rPr>
        <w:t xml:space="preserve">A captação é realizada em terreno particular de terceiros. Próximo ao local de captação, foi verificado pontos de lançamento de esgoto doméstico </w:t>
      </w:r>
      <w:r>
        <w:rPr>
          <w:rFonts w:ascii="Times New Roman" w:hAnsi="Times New Roman" w:cs="Times New Roman"/>
        </w:rPr>
        <w:t>(Figura</w:t>
      </w:r>
      <w:r w:rsidR="00DD779E">
        <w:rPr>
          <w:rFonts w:ascii="Times New Roman" w:hAnsi="Times New Roman" w:cs="Times New Roman"/>
        </w:rPr>
        <w:t>s</w:t>
      </w:r>
      <w:r>
        <w:rPr>
          <w:rFonts w:ascii="Times New Roman" w:hAnsi="Times New Roman" w:cs="Times New Roman"/>
        </w:rPr>
        <w:t xml:space="preserve"> </w:t>
      </w:r>
      <w:r w:rsidR="003271CA">
        <w:rPr>
          <w:rFonts w:ascii="Times New Roman" w:hAnsi="Times New Roman" w:cs="Times New Roman"/>
        </w:rPr>
        <w:t>58</w:t>
      </w:r>
      <w:r w:rsidR="00DD779E">
        <w:rPr>
          <w:rFonts w:ascii="Times New Roman" w:hAnsi="Times New Roman" w:cs="Times New Roman"/>
        </w:rPr>
        <w:t xml:space="preserve"> e 59</w:t>
      </w:r>
      <w:r>
        <w:rPr>
          <w:rFonts w:ascii="Times New Roman" w:hAnsi="Times New Roman" w:cs="Times New Roman"/>
        </w:rPr>
        <w:t>)</w:t>
      </w:r>
      <w:r>
        <w:rPr>
          <w:rFonts w:ascii="Times New Roman" w:hAnsi="Times New Roman" w:cs="Times New Roman"/>
          <w:szCs w:val="22"/>
          <w:lang w:eastAsia="en-US"/>
        </w:rPr>
        <w:t>.</w:t>
      </w:r>
    </w:p>
    <w:p w:rsidR="003271CA" w:rsidRDefault="003271CA">
      <w:pPr>
        <w:spacing w:after="200" w:line="276" w:lineRule="auto"/>
        <w:rPr>
          <w:rFonts w:eastAsiaTheme="minorEastAsia" w:cs="Times New Roman"/>
          <w:bCs/>
          <w:szCs w:val="24"/>
          <w:lang w:eastAsia="pt-BR"/>
        </w:rPr>
      </w:pPr>
      <w:bookmarkStart w:id="262" w:name="_Toc372117098"/>
      <w:r>
        <w:br w:type="page"/>
      </w:r>
    </w:p>
    <w:p w:rsidR="00210A37" w:rsidRPr="00707A63" w:rsidRDefault="00892B00" w:rsidP="00892B00">
      <w:pPr>
        <w:pStyle w:val="Legenda"/>
      </w:pPr>
      <w:bookmarkStart w:id="263" w:name="_Toc372740140"/>
      <w:bookmarkEnd w:id="262"/>
      <w:r>
        <w:lastRenderedPageBreak/>
        <w:t xml:space="preserve">Figura </w:t>
      </w:r>
      <w:fldSimple w:instr=" SEQ Figura \* ARABIC ">
        <w:r w:rsidR="004F77E2">
          <w:rPr>
            <w:noProof/>
          </w:rPr>
          <w:t>57</w:t>
        </w:r>
      </w:fldSimple>
      <w:r>
        <w:t xml:space="preserve"> </w:t>
      </w:r>
      <w:r>
        <w:rPr>
          <w:noProof/>
        </w:rPr>
        <w:t xml:space="preserve">- </w:t>
      </w:r>
      <w:r w:rsidRPr="00C25D27">
        <w:rPr>
          <w:noProof/>
        </w:rPr>
        <w:t>Aspecto visual da captação de água bruta localizado no rio Capim (Local: 24K 0263730 7823202 / Altitude: 202</w:t>
      </w:r>
      <w:r>
        <w:rPr>
          <w:noProof/>
        </w:rPr>
        <w:t xml:space="preserve"> m</w:t>
      </w:r>
      <w:r w:rsidRPr="00C25D27">
        <w:rPr>
          <w:noProof/>
        </w:rPr>
        <w:t>).</w:t>
      </w:r>
      <w:bookmarkEnd w:id="263"/>
    </w:p>
    <w:p w:rsidR="00E32574" w:rsidRDefault="00E32574" w:rsidP="00C77BF3">
      <w:pPr>
        <w:spacing w:after="0"/>
        <w:jc w:val="center"/>
        <w:rPr>
          <w:lang w:eastAsia="pt-BR"/>
        </w:rPr>
      </w:pPr>
      <w:r>
        <w:rPr>
          <w:noProof/>
          <w:lang w:eastAsia="pt-BR"/>
        </w:rPr>
        <w:drawing>
          <wp:inline distT="0" distB="0" distL="0" distR="0" wp14:anchorId="2074DD66" wp14:editId="3E5E5112">
            <wp:extent cx="4196098" cy="3116275"/>
            <wp:effectExtent l="0" t="0" r="0" b="8255"/>
            <wp:docPr id="121" name="Imagem 121" descr="Foto 26 - ETA de Penha do Capim Ponto 155 e 156 - Visão Panora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Foto 26 - ETA de Penha do Capim Ponto 155 e 156 - Visão Panoramica.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207221" cy="3124536"/>
                    </a:xfrm>
                    <a:prstGeom prst="rect">
                      <a:avLst/>
                    </a:prstGeom>
                    <a:noFill/>
                    <a:ln>
                      <a:noFill/>
                    </a:ln>
                  </pic:spPr>
                </pic:pic>
              </a:graphicData>
            </a:graphic>
          </wp:inline>
        </w:drawing>
      </w:r>
    </w:p>
    <w:p w:rsidR="00E32574" w:rsidRDefault="00E32574" w:rsidP="003271CA">
      <w:pPr>
        <w:pStyle w:val="Fonte"/>
        <w:ind w:firstLine="993"/>
        <w:rPr>
          <w:lang w:eastAsia="pt-BR"/>
        </w:rPr>
      </w:pPr>
      <w:r w:rsidRPr="00192C99">
        <w:rPr>
          <w:lang w:eastAsia="pt-BR"/>
        </w:rPr>
        <w:t>Fonte: Fundação Educacional de Caratinga - FUNEC, 2013</w:t>
      </w:r>
    </w:p>
    <w:p w:rsidR="00210A37" w:rsidRPr="009D0B15" w:rsidRDefault="00892B00" w:rsidP="00892B00">
      <w:pPr>
        <w:pStyle w:val="Legenda"/>
      </w:pPr>
      <w:bookmarkStart w:id="264" w:name="_Toc372740141"/>
      <w:r>
        <w:t xml:space="preserve">Figura </w:t>
      </w:r>
      <w:fldSimple w:instr=" SEQ Figura \* ARABIC ">
        <w:r w:rsidR="004F77E2">
          <w:rPr>
            <w:noProof/>
          </w:rPr>
          <w:t>58</w:t>
        </w:r>
      </w:fldSimple>
      <w:r>
        <w:t xml:space="preserve"> - </w:t>
      </w:r>
      <w:r w:rsidRPr="000F392F">
        <w:rPr>
          <w:noProof/>
        </w:rPr>
        <w:t>Aspecto visual do lançamento de esgoto doméstico próximo ao ponto de captação de água bruta no Rio Capim (Local: 24K 0263730 7823202 / Altitude: 202 m).</w:t>
      </w:r>
      <w:bookmarkEnd w:id="264"/>
    </w:p>
    <w:p w:rsidR="00E32574" w:rsidRDefault="00E32574" w:rsidP="00C77BF3">
      <w:pPr>
        <w:tabs>
          <w:tab w:val="left" w:pos="0"/>
        </w:tabs>
        <w:spacing w:after="0"/>
        <w:jc w:val="center"/>
        <w:rPr>
          <w:lang w:eastAsia="pt-BR"/>
        </w:rPr>
      </w:pPr>
      <w:r>
        <w:rPr>
          <w:noProof/>
          <w:lang w:eastAsia="pt-BR"/>
        </w:rPr>
        <w:drawing>
          <wp:inline distT="0" distB="0" distL="0" distR="0" wp14:anchorId="4358F029" wp14:editId="46023FD1">
            <wp:extent cx="4255198" cy="3160166"/>
            <wp:effectExtent l="0" t="0" r="0" b="2540"/>
            <wp:docPr id="120" name="Imagem 120" descr="Foto 18 - ETA de Penha do Capim Ponto 155 e 156 - Lançamento de Esgoto Perto do Ponto de Captação de Á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descr="Foto 18 - ETA de Penha do Capim Ponto 155 e 156 - Lançamento de Esgoto Perto do Ponto de Captação de Água.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263436" cy="3166284"/>
                    </a:xfrm>
                    <a:prstGeom prst="rect">
                      <a:avLst/>
                    </a:prstGeom>
                    <a:noFill/>
                    <a:ln>
                      <a:noFill/>
                    </a:ln>
                  </pic:spPr>
                </pic:pic>
              </a:graphicData>
            </a:graphic>
          </wp:inline>
        </w:drawing>
      </w:r>
    </w:p>
    <w:p w:rsidR="00E32574" w:rsidRDefault="00E32574" w:rsidP="00B244CE">
      <w:pPr>
        <w:pStyle w:val="Fonte"/>
        <w:ind w:left="993" w:hanging="142"/>
        <w:rPr>
          <w:lang w:eastAsia="pt-BR"/>
        </w:rPr>
      </w:pPr>
      <w:r w:rsidRPr="00192C99">
        <w:rPr>
          <w:lang w:eastAsia="pt-BR"/>
        </w:rPr>
        <w:t>Fonte: Fundação Educacional de Caratinga - FUNEC, 2013</w:t>
      </w:r>
    </w:p>
    <w:p w:rsidR="0014433B" w:rsidRPr="009D0B15" w:rsidRDefault="00892B00" w:rsidP="00892B00">
      <w:pPr>
        <w:pStyle w:val="Legenda"/>
      </w:pPr>
      <w:bookmarkStart w:id="265" w:name="_Toc372740142"/>
      <w:r>
        <w:lastRenderedPageBreak/>
        <w:t xml:space="preserve">Figura </w:t>
      </w:r>
      <w:fldSimple w:instr=" SEQ Figura \* ARABIC ">
        <w:r w:rsidR="004F77E2">
          <w:rPr>
            <w:noProof/>
          </w:rPr>
          <w:t>59</w:t>
        </w:r>
      </w:fldSimple>
      <w:r>
        <w:t xml:space="preserve"> - </w:t>
      </w:r>
      <w:r w:rsidRPr="00F57615">
        <w:t>Aspecto visual do lançamento de esgoto doméstico próximo ao ponto de captação de água bruta no rio Capim (Local: 24K 0263730 7823202 / Altitude: 202</w:t>
      </w:r>
      <w:r>
        <w:t xml:space="preserve"> m</w:t>
      </w:r>
      <w:r w:rsidRPr="00F57615">
        <w:t>).</w:t>
      </w:r>
      <w:bookmarkEnd w:id="265"/>
    </w:p>
    <w:p w:rsidR="00E32574" w:rsidRDefault="00E32574" w:rsidP="00DD779E">
      <w:pPr>
        <w:jc w:val="center"/>
        <w:rPr>
          <w:lang w:eastAsia="pt-BR"/>
        </w:rPr>
      </w:pPr>
      <w:r>
        <w:rPr>
          <w:noProof/>
          <w:lang w:eastAsia="pt-BR"/>
        </w:rPr>
        <w:drawing>
          <wp:inline distT="0" distB="0" distL="0" distR="0" wp14:anchorId="5F57167B" wp14:editId="2B06598E">
            <wp:extent cx="4491599" cy="3335731"/>
            <wp:effectExtent l="0" t="0" r="4445" b="0"/>
            <wp:docPr id="119" name="Imagem 119" descr="Foto 22 - ETA de Penha do Capim Ponto 155 e 156 - Visão Panora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Foto 22 - ETA de Penha do Capim Ponto 155 e 156 - Visão Panoramica.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494836" cy="3338135"/>
                    </a:xfrm>
                    <a:prstGeom prst="rect">
                      <a:avLst/>
                    </a:prstGeom>
                    <a:noFill/>
                    <a:ln>
                      <a:noFill/>
                    </a:ln>
                  </pic:spPr>
                </pic:pic>
              </a:graphicData>
            </a:graphic>
          </wp:inline>
        </w:drawing>
      </w:r>
    </w:p>
    <w:p w:rsidR="00E32574" w:rsidRDefault="00E32574" w:rsidP="00B244CE">
      <w:pPr>
        <w:pStyle w:val="Fonte"/>
        <w:ind w:firstLine="709"/>
        <w:rPr>
          <w:lang w:eastAsia="pt-BR"/>
        </w:rPr>
      </w:pPr>
      <w:r w:rsidRPr="00192C99">
        <w:rPr>
          <w:lang w:eastAsia="pt-BR"/>
        </w:rPr>
        <w:t>Fonte: Fundação Educacional de Caratinga - FUNEC, 2013</w:t>
      </w:r>
    </w:p>
    <w:p w:rsidR="00E32574" w:rsidRPr="00E91D4D" w:rsidRDefault="00E32574" w:rsidP="00A318C8">
      <w:pPr>
        <w:spacing w:after="0" w:line="360" w:lineRule="auto"/>
        <w:ind w:firstLine="709"/>
        <w:jc w:val="both"/>
        <w:rPr>
          <w:szCs w:val="24"/>
        </w:rPr>
      </w:pPr>
      <w:r w:rsidRPr="00E91D4D">
        <w:t>A</w:t>
      </w:r>
      <w:r w:rsidR="00E91D4D" w:rsidRPr="00E91D4D">
        <w:t xml:space="preserve"> </w:t>
      </w:r>
      <w:r w:rsidRPr="00E91D4D">
        <w:t>adução</w:t>
      </w:r>
      <w:r w:rsidRPr="00D345DF">
        <w:t xml:space="preserve"> </w:t>
      </w:r>
      <w:r w:rsidR="00E91D4D">
        <w:t xml:space="preserve">é feita </w:t>
      </w:r>
      <w:r w:rsidRPr="00D345DF">
        <w:t>por recalque</w:t>
      </w:r>
      <w:r>
        <w:t xml:space="preserve"> de aproximadamente 5</w:t>
      </w:r>
      <w:r w:rsidRPr="00D345DF">
        <w:t>00 metros</w:t>
      </w:r>
      <w:r>
        <w:t xml:space="preserve">. A </w:t>
      </w:r>
      <w:r w:rsidRPr="00D345DF">
        <w:t xml:space="preserve">adutora é de 75 mm </w:t>
      </w:r>
      <w:r w:rsidRPr="00E91D4D">
        <w:rPr>
          <w:szCs w:val="24"/>
        </w:rPr>
        <w:t xml:space="preserve">(Figura </w:t>
      </w:r>
      <w:r w:rsidR="00E91D4D">
        <w:rPr>
          <w:szCs w:val="24"/>
        </w:rPr>
        <w:t>60</w:t>
      </w:r>
      <w:r w:rsidRPr="00E91D4D">
        <w:rPr>
          <w:szCs w:val="24"/>
        </w:rPr>
        <w:t xml:space="preserve">) sendo necessário redimensiona-la para 150 mm. </w:t>
      </w:r>
    </w:p>
    <w:p w:rsidR="005F075C" w:rsidRDefault="005F075C" w:rsidP="005F075C">
      <w:pPr>
        <w:spacing w:after="0" w:line="360" w:lineRule="auto"/>
        <w:ind w:firstLine="709"/>
        <w:jc w:val="both"/>
      </w:pPr>
      <w:bookmarkStart w:id="266" w:name="_Toc372117101"/>
      <w:r w:rsidRPr="00A318C8">
        <w:rPr>
          <w:szCs w:val="24"/>
        </w:rPr>
        <w:t xml:space="preserve">A água bruta chega passando pela casa de química (Figura 61), local que se dosa e adiciona o sulfato de alumínio (150 kg por mês) (Figura 62), assim seguindo para um floculador modelo Gicana (Figura </w:t>
      </w:r>
      <w:r>
        <w:rPr>
          <w:szCs w:val="24"/>
        </w:rPr>
        <w:t>63</w:t>
      </w:r>
      <w:r w:rsidRPr="00A318C8">
        <w:rPr>
          <w:szCs w:val="24"/>
        </w:rPr>
        <w:t xml:space="preserve">), seguindo para dois decantadores independentes (Figura </w:t>
      </w:r>
      <w:r>
        <w:rPr>
          <w:szCs w:val="24"/>
        </w:rPr>
        <w:t>64</w:t>
      </w:r>
      <w:r w:rsidRPr="00A318C8">
        <w:rPr>
          <w:szCs w:val="24"/>
        </w:rPr>
        <w:t xml:space="preserve">) e assim seguindo para dois filtros lentos (Figura </w:t>
      </w:r>
      <w:r>
        <w:rPr>
          <w:szCs w:val="24"/>
        </w:rPr>
        <w:t>65</w:t>
      </w:r>
      <w:r w:rsidRPr="00A318C8">
        <w:rPr>
          <w:szCs w:val="24"/>
        </w:rPr>
        <w:t xml:space="preserve">) (não se tem a vazão e a capacidade de nenhuma estrutura das ETA’s de Aimorés e distritos, exceto do reservatório), passando por uma caixa de passagem que transporta a água para ser adicionado hipoclorito de cálcio granular (6 kg por mês) e flúor (4 kg por mês) (Figura </w:t>
      </w:r>
      <w:r>
        <w:rPr>
          <w:szCs w:val="24"/>
        </w:rPr>
        <w:t>66</w:t>
      </w:r>
      <w:r w:rsidRPr="00A318C8">
        <w:rPr>
          <w:szCs w:val="24"/>
        </w:rPr>
        <w:t xml:space="preserve">), seguindo então para o reservatório. Há uma elevatória no distrito na Rua José Jorge (Figura </w:t>
      </w:r>
      <w:r>
        <w:rPr>
          <w:szCs w:val="24"/>
        </w:rPr>
        <w:t>67</w:t>
      </w:r>
      <w:r w:rsidRPr="00A318C8">
        <w:rPr>
          <w:szCs w:val="24"/>
        </w:rPr>
        <w:t>). O floculador apresenta vazamentos sendo necessário reparo ou substituição, mas as outras estruturas aparentam estar em boa condição. Feita análise na ETA</w:t>
      </w:r>
      <w:r w:rsidRPr="00D345DF">
        <w:t xml:space="preserve"> mensalmente e no ponto de captação a cada 6 meses</w:t>
      </w:r>
      <w:r>
        <w:t xml:space="preserve">. </w:t>
      </w:r>
      <w:r w:rsidRPr="00D345DF">
        <w:t xml:space="preserve">Necessita de se criar um sistema de </w:t>
      </w:r>
      <w:r w:rsidRPr="00D345DF">
        <w:lastRenderedPageBreak/>
        <w:t>macromedidor, melhorar o acesso, pavimentar o pátio e reformar/ampliar o reservatório da ETA e substituir a bomba de captação.</w:t>
      </w:r>
    </w:p>
    <w:p w:rsidR="00E32574" w:rsidRPr="00A318C8" w:rsidRDefault="00892B00" w:rsidP="00892B00">
      <w:pPr>
        <w:pStyle w:val="Legenda"/>
        <w:rPr>
          <w:b w:val="0"/>
        </w:rPr>
      </w:pPr>
      <w:bookmarkStart w:id="267" w:name="_Toc372740143"/>
      <w:bookmarkEnd w:id="266"/>
      <w:r>
        <w:t xml:space="preserve">Figura </w:t>
      </w:r>
      <w:fldSimple w:instr=" SEQ Figura \* ARABIC ">
        <w:r w:rsidR="004F77E2">
          <w:rPr>
            <w:noProof/>
          </w:rPr>
          <w:t>60</w:t>
        </w:r>
      </w:fldSimple>
      <w:r>
        <w:t xml:space="preserve"> - </w:t>
      </w:r>
      <w:r w:rsidRPr="002C04DD">
        <w:rPr>
          <w:noProof/>
        </w:rPr>
        <w:t>Aspecto visual da captação de água bruta localizado no rio Capim (Local: 24K 0263730 7823202 / Altitude: 202</w:t>
      </w:r>
      <w:r>
        <w:rPr>
          <w:noProof/>
        </w:rPr>
        <w:t xml:space="preserve"> m</w:t>
      </w:r>
      <w:r w:rsidRPr="002C04DD">
        <w:rPr>
          <w:noProof/>
        </w:rPr>
        <w:t>).</w:t>
      </w:r>
      <w:bookmarkEnd w:id="267"/>
    </w:p>
    <w:p w:rsidR="00E32574" w:rsidRDefault="00E32574" w:rsidP="00A318C8">
      <w:pPr>
        <w:spacing w:after="0" w:line="240" w:lineRule="auto"/>
        <w:jc w:val="center"/>
        <w:rPr>
          <w:u w:val="single"/>
        </w:rPr>
      </w:pPr>
      <w:r w:rsidRPr="00B244CE">
        <w:rPr>
          <w:noProof/>
          <w:lang w:eastAsia="pt-BR"/>
        </w:rPr>
        <w:drawing>
          <wp:inline distT="0" distB="0" distL="0" distR="0" wp14:anchorId="2DA67381" wp14:editId="65A9EA50">
            <wp:extent cx="4285615" cy="3212465"/>
            <wp:effectExtent l="0" t="0" r="0" b="0"/>
            <wp:docPr id="118" name="Imagem 118" descr="Foto 20 - ETA de Penha do Capim Ponto 155 e 156 - Balsa da bomba de captaç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oto 20 - ETA de Penha do Capim Ponto 155 e 156 - Balsa da bomba de captação.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285615" cy="3212465"/>
                    </a:xfrm>
                    <a:prstGeom prst="rect">
                      <a:avLst/>
                    </a:prstGeom>
                    <a:noFill/>
                    <a:ln>
                      <a:noFill/>
                    </a:ln>
                  </pic:spPr>
                </pic:pic>
              </a:graphicData>
            </a:graphic>
          </wp:inline>
        </w:drawing>
      </w:r>
    </w:p>
    <w:p w:rsidR="00E32574" w:rsidRDefault="00E32574" w:rsidP="00A318C8">
      <w:pPr>
        <w:pStyle w:val="Fonte"/>
        <w:spacing w:before="120" w:after="120" w:line="360" w:lineRule="auto"/>
        <w:ind w:firstLine="851"/>
        <w:rPr>
          <w:lang w:eastAsia="pt-BR"/>
        </w:rPr>
      </w:pPr>
      <w:r w:rsidRPr="00192C99">
        <w:rPr>
          <w:lang w:eastAsia="pt-BR"/>
        </w:rPr>
        <w:t>Fonte: Fundação Educacional de Caratinga - FUNEC, 2013</w:t>
      </w:r>
    </w:p>
    <w:p w:rsidR="00A318C8" w:rsidRDefault="00A318C8">
      <w:pPr>
        <w:spacing w:after="200" w:line="276" w:lineRule="auto"/>
        <w:rPr>
          <w:rFonts w:eastAsiaTheme="minorEastAsia" w:cs="Times New Roman"/>
          <w:b/>
          <w:bCs/>
          <w:szCs w:val="24"/>
          <w:lang w:eastAsia="pt-BR"/>
        </w:rPr>
      </w:pPr>
      <w:bookmarkStart w:id="268" w:name="_Toc372117102"/>
      <w:r>
        <w:rPr>
          <w:b/>
        </w:rPr>
        <w:br w:type="page"/>
      </w:r>
    </w:p>
    <w:p w:rsidR="0014433B" w:rsidRPr="00A318C8" w:rsidRDefault="00892B00" w:rsidP="00892B00">
      <w:pPr>
        <w:pStyle w:val="Legenda"/>
        <w:rPr>
          <w:b w:val="0"/>
        </w:rPr>
      </w:pPr>
      <w:bookmarkStart w:id="269" w:name="_Toc372740144"/>
      <w:bookmarkEnd w:id="268"/>
      <w:r>
        <w:lastRenderedPageBreak/>
        <w:t xml:space="preserve">Figura </w:t>
      </w:r>
      <w:fldSimple w:instr=" SEQ Figura \* ARABIC ">
        <w:r w:rsidR="004F77E2">
          <w:rPr>
            <w:noProof/>
          </w:rPr>
          <w:t>61</w:t>
        </w:r>
      </w:fldSimple>
      <w:r>
        <w:t xml:space="preserve"> - </w:t>
      </w:r>
      <w:r w:rsidRPr="00A3234E">
        <w:rPr>
          <w:noProof/>
        </w:rPr>
        <w:t>Casa de Química (Local: 24K 0263973 7823449 / Altitude: 222 m)</w:t>
      </w:r>
      <w:bookmarkEnd w:id="269"/>
    </w:p>
    <w:p w:rsidR="00E32574" w:rsidRDefault="00E32574" w:rsidP="00A318C8">
      <w:pPr>
        <w:spacing w:after="0" w:line="360" w:lineRule="auto"/>
        <w:jc w:val="center"/>
        <w:rPr>
          <w:u w:val="single"/>
        </w:rPr>
      </w:pPr>
      <w:r w:rsidRPr="00B244CE">
        <w:rPr>
          <w:noProof/>
          <w:lang w:eastAsia="pt-BR"/>
        </w:rPr>
        <w:drawing>
          <wp:inline distT="0" distB="0" distL="0" distR="0" wp14:anchorId="428EDFB8" wp14:editId="7E297BD1">
            <wp:extent cx="4174434" cy="3129124"/>
            <wp:effectExtent l="19050" t="0" r="0" b="0"/>
            <wp:docPr id="117" name="Imagem 117" descr="Foto 2 - ETA de Penha do Capim Ponto 153 - Casa de Química (adição de Sulfato de Alumín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 descr="Foto 2 - ETA de Penha do Capim Ponto 153 - Casa de Química (adição de Sulfato de Alumínio).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180017" cy="3133309"/>
                    </a:xfrm>
                    <a:prstGeom prst="rect">
                      <a:avLst/>
                    </a:prstGeom>
                    <a:noFill/>
                    <a:ln>
                      <a:noFill/>
                    </a:ln>
                  </pic:spPr>
                </pic:pic>
              </a:graphicData>
            </a:graphic>
          </wp:inline>
        </w:drawing>
      </w:r>
    </w:p>
    <w:p w:rsidR="00E32574" w:rsidRDefault="00E32574" w:rsidP="00A318C8">
      <w:pPr>
        <w:pStyle w:val="Fonte"/>
        <w:spacing w:before="0" w:after="120"/>
        <w:ind w:firstLine="993"/>
        <w:rPr>
          <w:lang w:eastAsia="pt-BR"/>
        </w:rPr>
      </w:pPr>
      <w:r w:rsidRPr="00192C99">
        <w:rPr>
          <w:lang w:eastAsia="pt-BR"/>
        </w:rPr>
        <w:t>Fonte: Fundação Educacional de Caratinga - FUNEC, 2013</w:t>
      </w:r>
    </w:p>
    <w:p w:rsidR="0014433B" w:rsidRPr="009D0B15" w:rsidRDefault="00892B00" w:rsidP="00892B00">
      <w:pPr>
        <w:pStyle w:val="Legenda"/>
      </w:pPr>
      <w:bookmarkStart w:id="270" w:name="_Toc372740145"/>
      <w:r>
        <w:t xml:space="preserve">Figura </w:t>
      </w:r>
      <w:fldSimple w:instr=" SEQ Figura \* ARABIC ">
        <w:r w:rsidR="004F77E2">
          <w:rPr>
            <w:noProof/>
          </w:rPr>
          <w:t>62</w:t>
        </w:r>
      </w:fldSimple>
      <w:r>
        <w:t xml:space="preserve"> - </w:t>
      </w:r>
      <w:r w:rsidRPr="00AD5224">
        <w:t>Adição de Sulfeto de Alumínio (Local: 24K 0263973 7823449 / Altitude: 222 m).</w:t>
      </w:r>
      <w:bookmarkEnd w:id="270"/>
    </w:p>
    <w:p w:rsidR="00E32574" w:rsidRDefault="00E32574" w:rsidP="00E32574">
      <w:pPr>
        <w:spacing w:line="360" w:lineRule="auto"/>
        <w:jc w:val="center"/>
        <w:rPr>
          <w:u w:val="single"/>
        </w:rPr>
      </w:pPr>
      <w:r w:rsidRPr="00B244CE">
        <w:rPr>
          <w:noProof/>
          <w:lang w:eastAsia="pt-BR"/>
        </w:rPr>
        <w:drawing>
          <wp:inline distT="0" distB="0" distL="0" distR="0" wp14:anchorId="1880094C" wp14:editId="02F17291">
            <wp:extent cx="4405023" cy="3301971"/>
            <wp:effectExtent l="19050" t="0" r="0" b="0"/>
            <wp:docPr id="116" name="Imagem 116" descr="Foto 3 - ETA de Penha do Capim Ponto 153 - Adição do Sulfato de Alumínio na água bru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descr="Foto 3 - ETA de Penha do Capim Ponto 153 - Adição do Sulfato de Alumínio na água bruta.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423157" cy="3315564"/>
                    </a:xfrm>
                    <a:prstGeom prst="rect">
                      <a:avLst/>
                    </a:prstGeom>
                    <a:noFill/>
                    <a:ln>
                      <a:noFill/>
                    </a:ln>
                  </pic:spPr>
                </pic:pic>
              </a:graphicData>
            </a:graphic>
          </wp:inline>
        </w:drawing>
      </w:r>
    </w:p>
    <w:p w:rsidR="00E32574" w:rsidRDefault="0050508A" w:rsidP="0050508A">
      <w:pPr>
        <w:pStyle w:val="Fonte"/>
        <w:ind w:firstLine="708"/>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B244CE" w:rsidRDefault="00B244CE" w:rsidP="0050508A">
      <w:pPr>
        <w:pStyle w:val="Fonte"/>
        <w:ind w:firstLine="708"/>
        <w:rPr>
          <w:lang w:eastAsia="pt-BR"/>
        </w:rPr>
      </w:pPr>
    </w:p>
    <w:p w:rsidR="0014433B" w:rsidRPr="009D0B15" w:rsidRDefault="00892B00" w:rsidP="00892B00">
      <w:pPr>
        <w:pStyle w:val="Legenda"/>
      </w:pPr>
      <w:bookmarkStart w:id="271" w:name="_Toc372740146"/>
      <w:r>
        <w:lastRenderedPageBreak/>
        <w:t xml:space="preserve">Figura </w:t>
      </w:r>
      <w:fldSimple w:instr=" SEQ Figura \* ARABIC ">
        <w:r w:rsidR="004F77E2">
          <w:rPr>
            <w:noProof/>
          </w:rPr>
          <w:t>63</w:t>
        </w:r>
      </w:fldSimple>
      <w:r>
        <w:t xml:space="preserve"> - </w:t>
      </w:r>
      <w:r w:rsidRPr="0047601F">
        <w:rPr>
          <w:noProof/>
        </w:rPr>
        <w:t>Floculador (Local: 24K 0263973 7823449 / Altitude: 222 m).</w:t>
      </w:r>
      <w:bookmarkEnd w:id="271"/>
    </w:p>
    <w:p w:rsidR="00E32574" w:rsidRDefault="00E32574" w:rsidP="00833DC5">
      <w:pPr>
        <w:spacing w:after="0" w:line="360" w:lineRule="auto"/>
        <w:jc w:val="center"/>
        <w:rPr>
          <w:u w:val="single"/>
        </w:rPr>
      </w:pPr>
      <w:r w:rsidRPr="00B244CE">
        <w:rPr>
          <w:noProof/>
          <w:lang w:eastAsia="pt-BR"/>
        </w:rPr>
        <w:drawing>
          <wp:inline distT="0" distB="0" distL="0" distR="0" wp14:anchorId="03C4E2DF" wp14:editId="33402F5A">
            <wp:extent cx="4423162" cy="3315568"/>
            <wp:effectExtent l="19050" t="0" r="0" b="0"/>
            <wp:docPr id="115" name="Imagem 115" descr="Foto 6 - ETA de Penha do Capim Ponto 153 - Floculador modelo Gic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descr="Foto 6 - ETA de Penha do Capim Ponto 153 - Floculador modelo Gicana.JP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429879" cy="3320603"/>
                    </a:xfrm>
                    <a:prstGeom prst="rect">
                      <a:avLst/>
                    </a:prstGeom>
                    <a:noFill/>
                    <a:ln>
                      <a:noFill/>
                    </a:ln>
                  </pic:spPr>
                </pic:pic>
              </a:graphicData>
            </a:graphic>
          </wp:inline>
        </w:drawing>
      </w:r>
    </w:p>
    <w:p w:rsidR="00E32574" w:rsidRDefault="00E32574" w:rsidP="00B244CE">
      <w:pPr>
        <w:pStyle w:val="Fonte"/>
        <w:spacing w:before="0" w:after="120"/>
        <w:ind w:left="851"/>
        <w:rPr>
          <w:lang w:eastAsia="pt-BR"/>
        </w:rPr>
      </w:pPr>
      <w:r w:rsidRPr="00192C99">
        <w:rPr>
          <w:lang w:eastAsia="pt-BR"/>
        </w:rPr>
        <w:t>Fonte: Fundação Educacional de Caratinga - FUNEC, 2013</w:t>
      </w:r>
      <w:r>
        <w:rPr>
          <w:lang w:eastAsia="pt-BR"/>
        </w:rPr>
        <w:t>.</w:t>
      </w:r>
    </w:p>
    <w:p w:rsidR="0014433B" w:rsidRDefault="00892B00" w:rsidP="00892B00">
      <w:pPr>
        <w:pStyle w:val="Legenda"/>
        <w:rPr>
          <w:u w:val="single"/>
        </w:rPr>
      </w:pPr>
      <w:bookmarkStart w:id="272" w:name="_Toc372740147"/>
      <w:r>
        <w:t xml:space="preserve">Figura </w:t>
      </w:r>
      <w:fldSimple w:instr=" SEQ Figura \* ARABIC ">
        <w:r w:rsidR="004F77E2">
          <w:rPr>
            <w:noProof/>
          </w:rPr>
          <w:t>64</w:t>
        </w:r>
      </w:fldSimple>
      <w:r>
        <w:t xml:space="preserve"> - </w:t>
      </w:r>
      <w:r w:rsidRPr="009A006A">
        <w:rPr>
          <w:noProof/>
        </w:rPr>
        <w:t>Decantador (Local: 24K 0263973 7823449 / Altitude: 222 m).</w:t>
      </w:r>
      <w:bookmarkEnd w:id="272"/>
    </w:p>
    <w:p w:rsidR="00E32574" w:rsidRDefault="00E32574" w:rsidP="00833DC5">
      <w:pPr>
        <w:spacing w:after="0" w:line="360" w:lineRule="auto"/>
        <w:jc w:val="center"/>
        <w:rPr>
          <w:u w:val="single"/>
        </w:rPr>
      </w:pPr>
      <w:r w:rsidRPr="00B244CE">
        <w:rPr>
          <w:noProof/>
          <w:lang w:eastAsia="pt-BR"/>
        </w:rPr>
        <w:drawing>
          <wp:inline distT="0" distB="0" distL="0" distR="0" wp14:anchorId="40654BDB" wp14:editId="091BD5AF">
            <wp:extent cx="4505849" cy="3377551"/>
            <wp:effectExtent l="19050" t="0" r="9001" b="0"/>
            <wp:docPr id="114" name="Imagem 114" descr="Foto 9 - ETA de Penha do Capim Ponto 153 - Decantado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descr="Foto 9 - ETA de Penha do Capim Ponto 153 - Decantador 1.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516242" cy="3385342"/>
                    </a:xfrm>
                    <a:prstGeom prst="rect">
                      <a:avLst/>
                    </a:prstGeom>
                    <a:noFill/>
                    <a:ln>
                      <a:noFill/>
                    </a:ln>
                  </pic:spPr>
                </pic:pic>
              </a:graphicData>
            </a:graphic>
          </wp:inline>
        </w:drawing>
      </w:r>
    </w:p>
    <w:p w:rsidR="00E32574" w:rsidRDefault="00E32574" w:rsidP="0050508A">
      <w:pPr>
        <w:pStyle w:val="Fonte"/>
        <w:ind w:firstLine="708"/>
        <w:rPr>
          <w:lang w:eastAsia="pt-BR"/>
        </w:rPr>
      </w:pPr>
      <w:r w:rsidRPr="00192C99">
        <w:rPr>
          <w:lang w:eastAsia="pt-BR"/>
        </w:rPr>
        <w:t>Fonte: Fundação Educacional de Caratinga - FUNEC, 2013</w:t>
      </w:r>
      <w:r>
        <w:rPr>
          <w:lang w:eastAsia="pt-BR"/>
        </w:rPr>
        <w:t>.</w:t>
      </w:r>
    </w:p>
    <w:p w:rsidR="00E17118" w:rsidRPr="0014433B" w:rsidRDefault="00892B00" w:rsidP="00892B00">
      <w:pPr>
        <w:pStyle w:val="Legenda"/>
        <w:rPr>
          <w:spacing w:val="-4"/>
        </w:rPr>
      </w:pPr>
      <w:bookmarkStart w:id="273" w:name="_Toc372740148"/>
      <w:r>
        <w:lastRenderedPageBreak/>
        <w:t xml:space="preserve">Figura </w:t>
      </w:r>
      <w:fldSimple w:instr=" SEQ Figura \* ARABIC ">
        <w:r w:rsidR="004F77E2">
          <w:rPr>
            <w:noProof/>
          </w:rPr>
          <w:t>65</w:t>
        </w:r>
      </w:fldSimple>
      <w:r>
        <w:t xml:space="preserve"> - </w:t>
      </w:r>
      <w:r w:rsidRPr="00B07B2F">
        <w:rPr>
          <w:noProof/>
        </w:rPr>
        <w:t>Unidade de Filtragem Lenta (Local: 24K 0263973 7823449 / Altitude: 222 m).</w:t>
      </w:r>
      <w:bookmarkEnd w:id="273"/>
    </w:p>
    <w:p w:rsidR="00E32574" w:rsidRDefault="00E32574" w:rsidP="00833DC5">
      <w:pPr>
        <w:spacing w:after="0" w:line="240" w:lineRule="auto"/>
        <w:jc w:val="center"/>
        <w:rPr>
          <w:u w:val="single"/>
        </w:rPr>
      </w:pPr>
      <w:r w:rsidRPr="00B244CE">
        <w:rPr>
          <w:noProof/>
          <w:lang w:eastAsia="pt-BR"/>
        </w:rPr>
        <w:drawing>
          <wp:inline distT="0" distB="0" distL="0" distR="0" wp14:anchorId="0BE15087" wp14:editId="5DDAF620">
            <wp:extent cx="4285431" cy="3212327"/>
            <wp:effectExtent l="19050" t="0" r="819" b="0"/>
            <wp:docPr id="113" name="Imagem 113" descr="Foto 11 - ETA de Penha do Capim Ponto 153 - Filt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Foto 11 - ETA de Penha do Capim Ponto 153 - Filtros.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292536" cy="3217653"/>
                    </a:xfrm>
                    <a:prstGeom prst="rect">
                      <a:avLst/>
                    </a:prstGeom>
                    <a:noFill/>
                    <a:ln>
                      <a:noFill/>
                    </a:ln>
                  </pic:spPr>
                </pic:pic>
              </a:graphicData>
            </a:graphic>
          </wp:inline>
        </w:drawing>
      </w:r>
    </w:p>
    <w:p w:rsidR="00E32574" w:rsidRDefault="0050508A" w:rsidP="0050508A">
      <w:pPr>
        <w:pStyle w:val="Fonte"/>
        <w:ind w:firstLine="708"/>
        <w:rPr>
          <w:lang w:eastAsia="pt-BR"/>
        </w:rPr>
      </w:pPr>
      <w:r>
        <w:rPr>
          <w:lang w:eastAsia="pt-BR"/>
        </w:rPr>
        <w:t xml:space="preserve">  </w:t>
      </w:r>
      <w:r w:rsidR="00E32574" w:rsidRPr="00192C99">
        <w:rPr>
          <w:lang w:eastAsia="pt-BR"/>
        </w:rPr>
        <w:t>Fonte: Fundação Educacional de Caratinga - FUNEC, 2013</w:t>
      </w:r>
    </w:p>
    <w:p w:rsidR="00E17118" w:rsidRPr="00833DC5" w:rsidRDefault="00892B00" w:rsidP="00892B00">
      <w:pPr>
        <w:pStyle w:val="Legenda"/>
        <w:rPr>
          <w:b w:val="0"/>
        </w:rPr>
      </w:pPr>
      <w:bookmarkStart w:id="274" w:name="_Toc372740149"/>
      <w:r>
        <w:t xml:space="preserve">Figura </w:t>
      </w:r>
      <w:fldSimple w:instr=" SEQ Figura \* ARABIC ">
        <w:r w:rsidR="004F77E2">
          <w:rPr>
            <w:noProof/>
          </w:rPr>
          <w:t>66</w:t>
        </w:r>
      </w:fldSimple>
      <w:r>
        <w:t xml:space="preserve"> - </w:t>
      </w:r>
      <w:r w:rsidRPr="009073AF">
        <w:t>Vista de parte da estrutura onde é realizada a cloração da água bruta (Local: 24K 0263973 7823449 / Altitude: 222 m).</w:t>
      </w:r>
      <w:bookmarkEnd w:id="274"/>
    </w:p>
    <w:p w:rsidR="00E32574" w:rsidRDefault="00E32574" w:rsidP="0050508A">
      <w:pPr>
        <w:spacing w:after="0" w:line="360" w:lineRule="auto"/>
        <w:jc w:val="center"/>
        <w:rPr>
          <w:u w:val="single"/>
        </w:rPr>
      </w:pPr>
      <w:r w:rsidRPr="00B244CE">
        <w:rPr>
          <w:noProof/>
          <w:lang w:eastAsia="pt-BR"/>
        </w:rPr>
        <w:drawing>
          <wp:inline distT="0" distB="0" distL="0" distR="0" wp14:anchorId="34211479" wp14:editId="741B408B">
            <wp:extent cx="4261899" cy="3194685"/>
            <wp:effectExtent l="19050" t="0" r="5301" b="0"/>
            <wp:docPr id="112" name="Imagem 112" descr="Foto 14 - ETA de Penha do Capim Ponto 153 - Casa de Cloraç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descr="Foto 14 - ETA de Penha do Capim Ponto 153 - Casa de Cloração.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271485" cy="3201870"/>
                    </a:xfrm>
                    <a:prstGeom prst="rect">
                      <a:avLst/>
                    </a:prstGeom>
                    <a:noFill/>
                    <a:ln>
                      <a:noFill/>
                    </a:ln>
                  </pic:spPr>
                </pic:pic>
              </a:graphicData>
            </a:graphic>
          </wp:inline>
        </w:drawing>
      </w:r>
    </w:p>
    <w:p w:rsidR="00E32574" w:rsidRDefault="00E32574" w:rsidP="00B244CE">
      <w:pPr>
        <w:ind w:left="851"/>
        <w:rPr>
          <w:sz w:val="20"/>
          <w:lang w:eastAsia="pt-BR"/>
        </w:rPr>
      </w:pPr>
      <w:r w:rsidRPr="00192C99">
        <w:rPr>
          <w:sz w:val="20"/>
          <w:lang w:eastAsia="pt-BR"/>
        </w:rPr>
        <w:t>Fonte: Fundação Educacional de Caratinga - FUNEC, 2013</w:t>
      </w:r>
      <w:r>
        <w:rPr>
          <w:sz w:val="20"/>
          <w:lang w:eastAsia="pt-BR"/>
        </w:rPr>
        <w:t>.</w:t>
      </w:r>
    </w:p>
    <w:p w:rsidR="00E17118" w:rsidRPr="00E17118" w:rsidRDefault="00892B00" w:rsidP="00892B00">
      <w:pPr>
        <w:pStyle w:val="Legenda"/>
        <w:rPr>
          <w:spacing w:val="-4"/>
        </w:rPr>
      </w:pPr>
      <w:bookmarkStart w:id="275" w:name="_Toc372740150"/>
      <w:r>
        <w:lastRenderedPageBreak/>
        <w:t xml:space="preserve">Figura </w:t>
      </w:r>
      <w:fldSimple w:instr=" SEQ Figura \* ARABIC ">
        <w:r w:rsidR="004F77E2">
          <w:rPr>
            <w:noProof/>
          </w:rPr>
          <w:t>67</w:t>
        </w:r>
      </w:fldSimple>
      <w:r>
        <w:t xml:space="preserve"> - </w:t>
      </w:r>
      <w:r w:rsidRPr="000C3FA5">
        <w:rPr>
          <w:noProof/>
        </w:rPr>
        <w:t>Estação Elevatória de água (Local: 24K 0263973 7823449 / Altitude: 222 m).</w:t>
      </w:r>
      <w:bookmarkEnd w:id="275"/>
    </w:p>
    <w:p w:rsidR="00E32574" w:rsidRDefault="00E32574" w:rsidP="00833DC5">
      <w:pPr>
        <w:spacing w:after="0" w:line="240" w:lineRule="auto"/>
        <w:jc w:val="center"/>
        <w:rPr>
          <w:u w:val="single"/>
        </w:rPr>
      </w:pPr>
      <w:r w:rsidRPr="00B244CE">
        <w:rPr>
          <w:noProof/>
          <w:lang w:eastAsia="pt-BR"/>
        </w:rPr>
        <w:drawing>
          <wp:inline distT="0" distB="0" distL="0" distR="0" wp14:anchorId="5488057D" wp14:editId="014762F5">
            <wp:extent cx="4055166" cy="3039720"/>
            <wp:effectExtent l="19050" t="0" r="2484" b="0"/>
            <wp:docPr id="111" name="Imagem 111" descr="Foto 16 - ETA de Penha do Capim Ponto 154 - Elevatória de Ág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descr="Foto 16 - ETA de Penha do Capim Ponto 154 - Elevatória de Água.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065385" cy="3047380"/>
                    </a:xfrm>
                    <a:prstGeom prst="rect">
                      <a:avLst/>
                    </a:prstGeom>
                    <a:noFill/>
                    <a:ln>
                      <a:noFill/>
                    </a:ln>
                  </pic:spPr>
                </pic:pic>
              </a:graphicData>
            </a:graphic>
          </wp:inline>
        </w:drawing>
      </w:r>
    </w:p>
    <w:p w:rsidR="00E32574" w:rsidRDefault="00E32574" w:rsidP="00B244CE">
      <w:pPr>
        <w:tabs>
          <w:tab w:val="left" w:pos="1276"/>
        </w:tabs>
        <w:spacing w:before="120" w:line="240" w:lineRule="auto"/>
        <w:ind w:left="993"/>
        <w:rPr>
          <w:sz w:val="20"/>
          <w:lang w:eastAsia="pt-BR"/>
        </w:rPr>
      </w:pPr>
      <w:r w:rsidRPr="00192C99">
        <w:rPr>
          <w:sz w:val="20"/>
          <w:lang w:eastAsia="pt-BR"/>
        </w:rPr>
        <w:t>Fonte: Fundação Educacional de Caratinga - FUNEC, 2013</w:t>
      </w:r>
      <w:r>
        <w:rPr>
          <w:sz w:val="20"/>
          <w:lang w:eastAsia="pt-BR"/>
        </w:rPr>
        <w:t>.</w:t>
      </w:r>
    </w:p>
    <w:p w:rsidR="00E32574" w:rsidRPr="00833DC5" w:rsidRDefault="00833DC5" w:rsidP="00BF2E72">
      <w:pPr>
        <w:spacing w:after="0" w:line="360" w:lineRule="auto"/>
        <w:ind w:firstLine="709"/>
        <w:jc w:val="both"/>
        <w:rPr>
          <w:szCs w:val="24"/>
        </w:rPr>
      </w:pPr>
      <w:r w:rsidRPr="00833DC5">
        <w:rPr>
          <w:szCs w:val="24"/>
        </w:rPr>
        <w:t xml:space="preserve">O </w:t>
      </w:r>
      <w:r w:rsidR="00E32574" w:rsidRPr="00833DC5">
        <w:rPr>
          <w:szCs w:val="24"/>
        </w:rPr>
        <w:t>Reservatório</w:t>
      </w:r>
      <w:r w:rsidRPr="00833DC5">
        <w:rPr>
          <w:szCs w:val="24"/>
        </w:rPr>
        <w:t xml:space="preserve"> se </w:t>
      </w:r>
      <w:r w:rsidR="00E32574" w:rsidRPr="00833DC5">
        <w:rPr>
          <w:szCs w:val="24"/>
        </w:rPr>
        <w:t xml:space="preserve">Localiza junto à ETA, tem capacidade de 60 m³ (Figura </w:t>
      </w:r>
      <w:r>
        <w:rPr>
          <w:szCs w:val="24"/>
        </w:rPr>
        <w:t>68</w:t>
      </w:r>
      <w:r w:rsidR="00E32574" w:rsidRPr="00833DC5">
        <w:rPr>
          <w:szCs w:val="24"/>
        </w:rPr>
        <w:t>).</w:t>
      </w:r>
    </w:p>
    <w:p w:rsidR="00E17118" w:rsidRDefault="00892B00" w:rsidP="00892B00">
      <w:pPr>
        <w:pStyle w:val="Legenda"/>
      </w:pPr>
      <w:bookmarkStart w:id="276" w:name="_Toc372740151"/>
      <w:r>
        <w:t xml:space="preserve">Figura </w:t>
      </w:r>
      <w:fldSimple w:instr=" SEQ Figura \* ARABIC ">
        <w:r w:rsidR="004F77E2">
          <w:rPr>
            <w:noProof/>
          </w:rPr>
          <w:t>68</w:t>
        </w:r>
      </w:fldSimple>
      <w:r>
        <w:t xml:space="preserve"> - </w:t>
      </w:r>
      <w:r w:rsidRPr="00ED69F9">
        <w:rPr>
          <w:noProof/>
        </w:rPr>
        <w:t>Reservatório (Local: 24K 0263973 7823449 / Altitude: 222 m).</w:t>
      </w:r>
      <w:bookmarkEnd w:id="276"/>
    </w:p>
    <w:p w:rsidR="00E32574" w:rsidRDefault="00E32574" w:rsidP="00635085">
      <w:pPr>
        <w:pStyle w:val="TituloFiguras"/>
        <w:jc w:val="center"/>
        <w:rPr>
          <w:u w:val="single"/>
        </w:rPr>
      </w:pPr>
      <w:r w:rsidRPr="00B244CE">
        <w:rPr>
          <w:noProof/>
        </w:rPr>
        <w:drawing>
          <wp:inline distT="0" distB="0" distL="0" distR="0" wp14:anchorId="2AABFC9D" wp14:editId="2306E1F0">
            <wp:extent cx="4250800" cy="3186368"/>
            <wp:effectExtent l="19050" t="0" r="0" b="0"/>
            <wp:docPr id="110" name="Imagem 110" descr="Foto 15 - ETA de Penha do Capim Ponto 153 - Reservató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 descr="Foto 15 - ETA de Penha do Capim Ponto 153 - Reservatório.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268600" cy="3199711"/>
                    </a:xfrm>
                    <a:prstGeom prst="rect">
                      <a:avLst/>
                    </a:prstGeom>
                    <a:noFill/>
                    <a:ln>
                      <a:noFill/>
                    </a:ln>
                  </pic:spPr>
                </pic:pic>
              </a:graphicData>
            </a:graphic>
          </wp:inline>
        </w:drawing>
      </w:r>
    </w:p>
    <w:p w:rsidR="00E32574" w:rsidRDefault="00E32574" w:rsidP="00B244CE">
      <w:pPr>
        <w:pStyle w:val="Fonte"/>
        <w:ind w:firstLine="851"/>
        <w:rPr>
          <w:lang w:eastAsia="pt-BR"/>
        </w:rPr>
      </w:pPr>
      <w:r w:rsidRPr="00192C99">
        <w:rPr>
          <w:lang w:eastAsia="pt-BR"/>
        </w:rPr>
        <w:t>Fonte: Fundação Educacional de Caratinga - FUNEC, 2013</w:t>
      </w:r>
    </w:p>
    <w:p w:rsidR="00E32574" w:rsidRDefault="00E32574" w:rsidP="00BF2E72">
      <w:pPr>
        <w:spacing w:after="0" w:line="360" w:lineRule="auto"/>
        <w:ind w:firstLine="709"/>
        <w:jc w:val="both"/>
      </w:pPr>
      <w:r w:rsidRPr="00D345DF">
        <w:lastRenderedPageBreak/>
        <w:t>As redes de distribuição são de PVC mas já estão ultrapassadas (não encontra peças de reposição).</w:t>
      </w:r>
    </w:p>
    <w:p w:rsidR="00E32574" w:rsidRPr="00A275C9" w:rsidRDefault="00B853AD" w:rsidP="00971B37">
      <w:pPr>
        <w:pStyle w:val="Titulo"/>
      </w:pPr>
      <w:bookmarkStart w:id="277" w:name="_Toc372559105"/>
      <w:bookmarkStart w:id="278" w:name="_Toc372789537"/>
      <w:r w:rsidRPr="00A275C9">
        <w:t>11.7.</w:t>
      </w:r>
      <w:r w:rsidR="00922902">
        <w:t xml:space="preserve">6 </w:t>
      </w:r>
      <w:r w:rsidRPr="00A275C9">
        <w:t xml:space="preserve"> </w:t>
      </w:r>
      <w:r w:rsidR="00E32574" w:rsidRPr="00A275C9">
        <w:t>Sistema São Sebastião da Vala</w:t>
      </w:r>
      <w:bookmarkEnd w:id="277"/>
      <w:bookmarkEnd w:id="278"/>
    </w:p>
    <w:p w:rsidR="00833DC5" w:rsidRDefault="00E32574" w:rsidP="00BF2E72">
      <w:pPr>
        <w:pStyle w:val="CM71"/>
        <w:spacing w:line="360" w:lineRule="auto"/>
        <w:ind w:firstLine="709"/>
        <w:jc w:val="both"/>
        <w:rPr>
          <w:rFonts w:ascii="Times New Roman" w:hAnsi="Times New Roman" w:cs="Times New Roman"/>
        </w:rPr>
      </w:pPr>
      <w:r w:rsidRPr="009D0B15">
        <w:rPr>
          <w:rFonts w:ascii="Times New Roman" w:hAnsi="Times New Roman" w:cs="Times New Roman"/>
        </w:rPr>
        <w:t xml:space="preserve">O Sistema está inserido no distrito de </w:t>
      </w:r>
      <w:r>
        <w:rPr>
          <w:rFonts w:ascii="Times New Roman" w:hAnsi="Times New Roman" w:cs="Times New Roman"/>
        </w:rPr>
        <w:t>São Sebastião da Vala</w:t>
      </w:r>
      <w:r w:rsidRPr="009D0B15">
        <w:rPr>
          <w:rFonts w:ascii="Times New Roman" w:hAnsi="Times New Roman" w:cs="Times New Roman"/>
        </w:rPr>
        <w:t xml:space="preserve"> </w:t>
      </w:r>
      <w:r w:rsidRPr="006E2571">
        <w:rPr>
          <w:rFonts w:ascii="Times New Roman" w:hAnsi="Times New Roman" w:cs="Times New Roman"/>
        </w:rPr>
        <w:t>e abastece a parte urbana do distrito e os córregos</w:t>
      </w:r>
      <w:r>
        <w:rPr>
          <w:rFonts w:ascii="Times New Roman" w:hAnsi="Times New Roman" w:cs="Times New Roman"/>
        </w:rPr>
        <w:t xml:space="preserve"> Lambari e Sobradinho.</w:t>
      </w:r>
    </w:p>
    <w:p w:rsidR="00E32574" w:rsidRDefault="00E32574" w:rsidP="00BF2E72">
      <w:pPr>
        <w:pStyle w:val="CM71"/>
        <w:spacing w:line="360" w:lineRule="auto"/>
        <w:ind w:firstLine="709"/>
        <w:jc w:val="both"/>
        <w:rPr>
          <w:rFonts w:ascii="Times New Roman" w:hAnsi="Times New Roman" w:cs="Times New Roman"/>
          <w:szCs w:val="22"/>
          <w:lang w:eastAsia="en-US"/>
        </w:rPr>
      </w:pPr>
      <w:r>
        <w:rPr>
          <w:rFonts w:ascii="Times New Roman" w:hAnsi="Times New Roman" w:cs="Times New Roman"/>
        </w:rPr>
        <w:t xml:space="preserve">A captação é superficial no </w:t>
      </w:r>
      <w:r w:rsidRPr="00467E49">
        <w:rPr>
          <w:rFonts w:ascii="Times New Roman" w:hAnsi="Times New Roman" w:cs="Times New Roman"/>
        </w:rPr>
        <w:t>Córrego Vala do Ubá</w:t>
      </w:r>
      <w:r>
        <w:rPr>
          <w:rFonts w:ascii="Times New Roman" w:hAnsi="Times New Roman" w:cs="Times New Roman"/>
        </w:rPr>
        <w:t xml:space="preserve"> com a formação de uma pequena barragem (Figuras </w:t>
      </w:r>
      <w:r w:rsidR="00CA1B2C">
        <w:rPr>
          <w:rFonts w:ascii="Times New Roman" w:hAnsi="Times New Roman" w:cs="Times New Roman"/>
        </w:rPr>
        <w:t>69</w:t>
      </w:r>
      <w:r>
        <w:rPr>
          <w:rFonts w:ascii="Times New Roman" w:hAnsi="Times New Roman" w:cs="Times New Roman"/>
        </w:rPr>
        <w:t>). A vazão é de aproximadamente 5 L.s</w:t>
      </w:r>
      <w:r w:rsidRPr="006E2571">
        <w:rPr>
          <w:rFonts w:ascii="Times New Roman" w:hAnsi="Times New Roman" w:cs="Times New Roman"/>
          <w:vertAlign w:val="superscript"/>
        </w:rPr>
        <w:t>-1</w:t>
      </w:r>
      <w:r w:rsidR="00CA1B2C" w:rsidRPr="00CA1B2C">
        <w:rPr>
          <w:rFonts w:ascii="Times New Roman" w:hAnsi="Times New Roman" w:cs="Times New Roman"/>
        </w:rPr>
        <w:t xml:space="preserve"> </w:t>
      </w:r>
      <w:r w:rsidR="00CA1B2C">
        <w:rPr>
          <w:rFonts w:ascii="Times New Roman" w:hAnsi="Times New Roman" w:cs="Times New Roman"/>
        </w:rPr>
        <w:t>(Figura 70)</w:t>
      </w:r>
      <w:r>
        <w:rPr>
          <w:rFonts w:ascii="Times New Roman" w:hAnsi="Times New Roman" w:cs="Times New Roman"/>
        </w:rPr>
        <w:t>. O local está</w:t>
      </w:r>
      <w:r>
        <w:rPr>
          <w:rFonts w:ascii="Times New Roman" w:hAnsi="Times New Roman" w:cs="Times New Roman"/>
          <w:szCs w:val="22"/>
          <w:lang w:eastAsia="en-US"/>
        </w:rPr>
        <w:t xml:space="preserve"> </w:t>
      </w:r>
      <w:r w:rsidRPr="00467E49">
        <w:rPr>
          <w:rFonts w:ascii="Times New Roman" w:hAnsi="Times New Roman" w:cs="Times New Roman"/>
          <w:szCs w:val="22"/>
          <w:lang w:eastAsia="en-US"/>
        </w:rPr>
        <w:t xml:space="preserve">bastante degradado na grande maioria da sua extensão teria que </w:t>
      </w:r>
      <w:r>
        <w:rPr>
          <w:rFonts w:ascii="Times New Roman" w:hAnsi="Times New Roman" w:cs="Times New Roman"/>
          <w:szCs w:val="22"/>
          <w:lang w:eastAsia="en-US"/>
        </w:rPr>
        <w:t xml:space="preserve">adquirir </w:t>
      </w:r>
      <w:r w:rsidRPr="00467E49">
        <w:rPr>
          <w:rFonts w:ascii="Times New Roman" w:hAnsi="Times New Roman" w:cs="Times New Roman"/>
          <w:szCs w:val="22"/>
          <w:lang w:eastAsia="en-US"/>
        </w:rPr>
        <w:t>uma</w:t>
      </w:r>
      <w:r>
        <w:rPr>
          <w:rFonts w:ascii="Times New Roman" w:hAnsi="Times New Roman" w:cs="Times New Roman"/>
          <w:szCs w:val="22"/>
          <w:lang w:eastAsia="en-US"/>
        </w:rPr>
        <w:t xml:space="preserve"> nova</w:t>
      </w:r>
      <w:r w:rsidRPr="00467E49">
        <w:rPr>
          <w:rFonts w:ascii="Times New Roman" w:hAnsi="Times New Roman" w:cs="Times New Roman"/>
          <w:szCs w:val="22"/>
          <w:lang w:eastAsia="en-US"/>
        </w:rPr>
        <w:t xml:space="preserve"> área da captação para preservar o local visto que há presença constante de animais no local.</w:t>
      </w:r>
    </w:p>
    <w:p w:rsidR="00CA1B2C" w:rsidRPr="009D0B15" w:rsidRDefault="00892B00" w:rsidP="00892B00">
      <w:pPr>
        <w:pStyle w:val="Legenda"/>
      </w:pPr>
      <w:bookmarkStart w:id="279" w:name="_Toc372740152"/>
      <w:bookmarkStart w:id="280" w:name="_Toc372117110"/>
      <w:r>
        <w:t xml:space="preserve">Figura </w:t>
      </w:r>
      <w:fldSimple w:instr=" SEQ Figura \* ARABIC ">
        <w:r w:rsidR="004F77E2">
          <w:rPr>
            <w:noProof/>
          </w:rPr>
          <w:t>69</w:t>
        </w:r>
      </w:fldSimple>
      <w:r>
        <w:t xml:space="preserve"> - </w:t>
      </w:r>
      <w:r w:rsidRPr="00056EAF">
        <w:rPr>
          <w:noProof/>
        </w:rPr>
        <w:t>Vista parcial da pequena barragem no córrego Vala do Ubá para captação de água bruta (Local: 24K 0264463 7817859 / Altitude: 215 m).</w:t>
      </w:r>
      <w:bookmarkEnd w:id="279"/>
    </w:p>
    <w:p w:rsidR="00CA1B2C" w:rsidRDefault="00CA1B2C" w:rsidP="00CA1B2C">
      <w:pPr>
        <w:spacing w:after="0" w:line="240" w:lineRule="auto"/>
        <w:jc w:val="center"/>
        <w:rPr>
          <w:u w:val="single"/>
        </w:rPr>
      </w:pPr>
      <w:r w:rsidRPr="00B244CE">
        <w:rPr>
          <w:noProof/>
          <w:lang w:eastAsia="pt-BR"/>
        </w:rPr>
        <w:drawing>
          <wp:inline distT="0" distB="0" distL="0" distR="0" wp14:anchorId="5A167D6E" wp14:editId="2BD6C0DD">
            <wp:extent cx="4635478" cy="3474720"/>
            <wp:effectExtent l="0" t="0" r="0" b="0"/>
            <wp:docPr id="107" name="Imagem 107" descr="Foto 24 - Captação de São Sebastião da Vala Ponto 159 - Barrag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7" descr="Foto 24 - Captação de São Sebastião da Vala Ponto 159 - Barragem.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40104" cy="3478187"/>
                    </a:xfrm>
                    <a:prstGeom prst="rect">
                      <a:avLst/>
                    </a:prstGeom>
                    <a:noFill/>
                    <a:ln>
                      <a:noFill/>
                    </a:ln>
                  </pic:spPr>
                </pic:pic>
              </a:graphicData>
            </a:graphic>
          </wp:inline>
        </w:drawing>
      </w:r>
    </w:p>
    <w:p w:rsidR="00CA1B2C" w:rsidRDefault="00CA1B2C" w:rsidP="00CA1B2C">
      <w:pPr>
        <w:pStyle w:val="Fonte"/>
        <w:ind w:firstLine="567"/>
        <w:rPr>
          <w:lang w:eastAsia="pt-BR"/>
        </w:rPr>
      </w:pPr>
      <w:r w:rsidRPr="00192C99">
        <w:rPr>
          <w:lang w:eastAsia="pt-BR"/>
        </w:rPr>
        <w:t>Fonte: Fundação Educacional de Caratinga - FUNEC, 2013</w:t>
      </w:r>
    </w:p>
    <w:p w:rsidR="00177EA2" w:rsidRDefault="00177EA2">
      <w:pPr>
        <w:spacing w:after="200" w:line="276" w:lineRule="auto"/>
        <w:rPr>
          <w:rFonts w:eastAsiaTheme="minorEastAsia" w:cs="Times New Roman"/>
          <w:b/>
          <w:bCs/>
          <w:szCs w:val="24"/>
          <w:lang w:eastAsia="pt-BR"/>
        </w:rPr>
      </w:pPr>
      <w:bookmarkStart w:id="281" w:name="_Toc372117111"/>
      <w:bookmarkEnd w:id="280"/>
      <w:r>
        <w:rPr>
          <w:b/>
        </w:rPr>
        <w:br w:type="page"/>
      </w:r>
    </w:p>
    <w:p w:rsidR="00635085" w:rsidRPr="009D0B15" w:rsidRDefault="00892B00" w:rsidP="00892B00">
      <w:pPr>
        <w:pStyle w:val="Legenda"/>
      </w:pPr>
      <w:bookmarkStart w:id="282" w:name="_Toc372740153"/>
      <w:bookmarkEnd w:id="281"/>
      <w:r>
        <w:lastRenderedPageBreak/>
        <w:t xml:space="preserve">Figura </w:t>
      </w:r>
      <w:fldSimple w:instr=" SEQ Figura \* ARABIC ">
        <w:r w:rsidR="004F77E2">
          <w:rPr>
            <w:noProof/>
          </w:rPr>
          <w:t>70</w:t>
        </w:r>
      </w:fldSimple>
      <w:r>
        <w:t xml:space="preserve"> - </w:t>
      </w:r>
      <w:r w:rsidRPr="006A3F03">
        <w:rPr>
          <w:noProof/>
        </w:rPr>
        <w:t>Moto-bomba utilizada de captação de água bruta no córrego Vala do Ubá (Local: 24K 0264463 7817859 / Altitude: 215 m).</w:t>
      </w:r>
      <w:bookmarkEnd w:id="282"/>
    </w:p>
    <w:p w:rsidR="00E32574" w:rsidRDefault="00E32574" w:rsidP="00CA1B2C">
      <w:pPr>
        <w:spacing w:after="0" w:line="240" w:lineRule="auto"/>
        <w:jc w:val="center"/>
        <w:rPr>
          <w:u w:val="single"/>
        </w:rPr>
      </w:pPr>
      <w:r w:rsidRPr="00B244CE">
        <w:rPr>
          <w:noProof/>
          <w:lang w:eastAsia="pt-BR"/>
        </w:rPr>
        <w:drawing>
          <wp:inline distT="0" distB="0" distL="0" distR="0" wp14:anchorId="68B19CA0" wp14:editId="00D284C3">
            <wp:extent cx="4654996" cy="3489350"/>
            <wp:effectExtent l="0" t="0" r="0" b="0"/>
            <wp:docPr id="108" name="Imagem 108" descr="Foto 20 - Captação de São Sebastião da Vala Ponto 159 - Balsa da Bom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descr="Foto 20 - Captação de São Sebastião da Vala Ponto 159 - Balsa da Bomba.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671811" cy="3501954"/>
                    </a:xfrm>
                    <a:prstGeom prst="rect">
                      <a:avLst/>
                    </a:prstGeom>
                    <a:noFill/>
                    <a:ln>
                      <a:noFill/>
                    </a:ln>
                  </pic:spPr>
                </pic:pic>
              </a:graphicData>
            </a:graphic>
          </wp:inline>
        </w:drawing>
      </w:r>
    </w:p>
    <w:p w:rsidR="00E32574" w:rsidRDefault="00E32574" w:rsidP="00CA1B2C">
      <w:pPr>
        <w:tabs>
          <w:tab w:val="left" w:pos="993"/>
        </w:tabs>
        <w:spacing w:before="120" w:after="120" w:line="240" w:lineRule="auto"/>
        <w:ind w:left="567"/>
        <w:rPr>
          <w:sz w:val="20"/>
          <w:lang w:eastAsia="pt-BR"/>
        </w:rPr>
      </w:pPr>
      <w:r w:rsidRPr="00192C99">
        <w:rPr>
          <w:sz w:val="20"/>
          <w:lang w:eastAsia="pt-BR"/>
        </w:rPr>
        <w:t>Fonte: Fundação Educacional de Caratinga - FUNEC, 2013</w:t>
      </w:r>
    </w:p>
    <w:p w:rsidR="00E32574" w:rsidRDefault="00CA1B2C" w:rsidP="00BF2E72">
      <w:pPr>
        <w:spacing w:after="0" w:line="360" w:lineRule="auto"/>
        <w:ind w:firstLine="709"/>
        <w:jc w:val="both"/>
        <w:rPr>
          <w:szCs w:val="24"/>
          <w:lang w:eastAsia="pt-BR"/>
        </w:rPr>
      </w:pPr>
      <w:r>
        <w:rPr>
          <w:szCs w:val="24"/>
          <w:lang w:eastAsia="pt-BR"/>
        </w:rPr>
        <w:t xml:space="preserve">A </w:t>
      </w:r>
      <w:r w:rsidR="00E32574" w:rsidRPr="00467E49">
        <w:rPr>
          <w:szCs w:val="24"/>
          <w:lang w:eastAsia="pt-BR"/>
        </w:rPr>
        <w:t xml:space="preserve">adução </w:t>
      </w:r>
      <w:r>
        <w:rPr>
          <w:szCs w:val="24"/>
          <w:lang w:eastAsia="pt-BR"/>
        </w:rPr>
        <w:t xml:space="preserve">é efetuada </w:t>
      </w:r>
      <w:r w:rsidR="00E32574" w:rsidRPr="00467E49">
        <w:rPr>
          <w:szCs w:val="24"/>
          <w:lang w:eastAsia="pt-BR"/>
        </w:rPr>
        <w:t xml:space="preserve">por recalque </w:t>
      </w:r>
      <w:r>
        <w:rPr>
          <w:szCs w:val="24"/>
          <w:lang w:eastAsia="pt-BR"/>
        </w:rPr>
        <w:t xml:space="preserve">com comprimento </w:t>
      </w:r>
      <w:r w:rsidR="00E32574" w:rsidRPr="00467E49">
        <w:rPr>
          <w:szCs w:val="24"/>
          <w:lang w:eastAsia="pt-BR"/>
        </w:rPr>
        <w:t xml:space="preserve">de aproximadamente 500 metros. </w:t>
      </w:r>
      <w:r w:rsidR="00E32574">
        <w:rPr>
          <w:szCs w:val="24"/>
          <w:lang w:eastAsia="pt-BR"/>
        </w:rPr>
        <w:t>Não foi informado o diâmetro da adutora.</w:t>
      </w:r>
    </w:p>
    <w:p w:rsidR="00E32574" w:rsidRPr="00CA1B2C" w:rsidRDefault="00E32574" w:rsidP="00BF2E72">
      <w:pPr>
        <w:spacing w:after="0" w:line="360" w:lineRule="auto"/>
        <w:ind w:firstLine="709"/>
        <w:jc w:val="both"/>
        <w:rPr>
          <w:szCs w:val="24"/>
          <w:lang w:eastAsia="pt-BR"/>
        </w:rPr>
      </w:pPr>
      <w:r w:rsidRPr="00CA1B2C">
        <w:rPr>
          <w:szCs w:val="24"/>
          <w:lang w:eastAsia="pt-BR"/>
        </w:rPr>
        <w:t xml:space="preserve">A água bruta chega passando pela casa de química </w:t>
      </w:r>
      <w:r w:rsidRPr="00CA1B2C">
        <w:rPr>
          <w:szCs w:val="24"/>
        </w:rPr>
        <w:t xml:space="preserve">(Figura </w:t>
      </w:r>
      <w:r w:rsidR="00CA1B2C">
        <w:rPr>
          <w:szCs w:val="24"/>
        </w:rPr>
        <w:t>71</w:t>
      </w:r>
      <w:r w:rsidRPr="00CA1B2C">
        <w:rPr>
          <w:szCs w:val="24"/>
        </w:rPr>
        <w:t>)</w:t>
      </w:r>
      <w:r w:rsidRPr="00CA1B2C">
        <w:rPr>
          <w:szCs w:val="24"/>
          <w:lang w:eastAsia="pt-BR"/>
        </w:rPr>
        <w:t xml:space="preserve">, local que se dosa e adiciona o sulfato de alumínio (150 kg por mês)  assim seguindo para um floculador arredondado </w:t>
      </w:r>
      <w:r w:rsidRPr="00CA1B2C">
        <w:rPr>
          <w:szCs w:val="24"/>
        </w:rPr>
        <w:t xml:space="preserve">(Figura </w:t>
      </w:r>
      <w:r w:rsidR="00CA1B2C">
        <w:rPr>
          <w:szCs w:val="24"/>
        </w:rPr>
        <w:t>72</w:t>
      </w:r>
      <w:r w:rsidRPr="00CA1B2C">
        <w:rPr>
          <w:szCs w:val="24"/>
        </w:rPr>
        <w:t>)</w:t>
      </w:r>
      <w:r w:rsidRPr="00CA1B2C">
        <w:rPr>
          <w:szCs w:val="24"/>
          <w:lang w:eastAsia="pt-BR"/>
        </w:rPr>
        <w:t xml:space="preserve">, seguindo para um decantador </w:t>
      </w:r>
      <w:r w:rsidRPr="00CA1B2C">
        <w:rPr>
          <w:szCs w:val="24"/>
        </w:rPr>
        <w:t xml:space="preserve">(Figura </w:t>
      </w:r>
      <w:r w:rsidR="00CA1B2C">
        <w:rPr>
          <w:szCs w:val="24"/>
        </w:rPr>
        <w:t>73</w:t>
      </w:r>
      <w:r w:rsidRPr="00CA1B2C">
        <w:rPr>
          <w:szCs w:val="24"/>
        </w:rPr>
        <w:t>)</w:t>
      </w:r>
      <w:r w:rsidRPr="00CA1B2C">
        <w:rPr>
          <w:szCs w:val="24"/>
          <w:lang w:eastAsia="pt-BR"/>
        </w:rPr>
        <w:t xml:space="preserve"> e assim seguindo para um filtro descendente </w:t>
      </w:r>
      <w:r w:rsidRPr="00CA1B2C">
        <w:rPr>
          <w:szCs w:val="24"/>
        </w:rPr>
        <w:t xml:space="preserve">(Figura </w:t>
      </w:r>
      <w:r w:rsidR="00CA1B2C">
        <w:rPr>
          <w:szCs w:val="24"/>
        </w:rPr>
        <w:t>74</w:t>
      </w:r>
      <w:r w:rsidRPr="00CA1B2C">
        <w:rPr>
          <w:szCs w:val="24"/>
        </w:rPr>
        <w:t>)</w:t>
      </w:r>
      <w:r w:rsidRPr="00CA1B2C">
        <w:rPr>
          <w:szCs w:val="24"/>
          <w:lang w:eastAsia="pt-BR"/>
        </w:rPr>
        <w:t xml:space="preserve"> (não se tem a vazão e a capacidade de nenhuma estrutura das ETA’s de Aimorés e distritos, exceto do reservatório), passando por uma caixa de passagem </w:t>
      </w:r>
      <w:r w:rsidRPr="00CA1B2C">
        <w:rPr>
          <w:szCs w:val="24"/>
        </w:rPr>
        <w:t xml:space="preserve">(Figura </w:t>
      </w:r>
      <w:r w:rsidR="00CA1B2C">
        <w:rPr>
          <w:szCs w:val="24"/>
        </w:rPr>
        <w:t>75</w:t>
      </w:r>
      <w:r w:rsidRPr="00CA1B2C">
        <w:rPr>
          <w:szCs w:val="24"/>
        </w:rPr>
        <w:t>)</w:t>
      </w:r>
      <w:r w:rsidRPr="00CA1B2C">
        <w:rPr>
          <w:szCs w:val="24"/>
          <w:lang w:eastAsia="pt-BR"/>
        </w:rPr>
        <w:t xml:space="preserve"> que transporta a água para ser adicionado hipoclorito de cálcio granular (6 kg por mês) e flúor (4 kg por mês), seguindo então para o reservatório </w:t>
      </w:r>
      <w:r w:rsidRPr="00CA1B2C">
        <w:rPr>
          <w:szCs w:val="24"/>
        </w:rPr>
        <w:t xml:space="preserve">(Figura </w:t>
      </w:r>
      <w:r w:rsidR="00CA1B2C">
        <w:rPr>
          <w:szCs w:val="24"/>
        </w:rPr>
        <w:t>76</w:t>
      </w:r>
      <w:r w:rsidRPr="00CA1B2C">
        <w:rPr>
          <w:szCs w:val="24"/>
        </w:rPr>
        <w:t>)</w:t>
      </w:r>
      <w:r w:rsidRPr="00CA1B2C">
        <w:rPr>
          <w:szCs w:val="24"/>
          <w:lang w:eastAsia="pt-BR"/>
        </w:rPr>
        <w:t>. Necessita de se criar um sistema de macromedidor, melhorar o acesso, pavimentar o pátio da e reformar/ampliar a ETA e substituir a bomba de captação.</w:t>
      </w:r>
    </w:p>
    <w:p w:rsidR="00CA1B2C" w:rsidRDefault="00CA1B2C">
      <w:pPr>
        <w:spacing w:after="200" w:line="276" w:lineRule="auto"/>
        <w:rPr>
          <w:rFonts w:eastAsiaTheme="minorEastAsia" w:cs="Times New Roman"/>
          <w:bCs/>
          <w:szCs w:val="24"/>
          <w:lang w:eastAsia="pt-BR"/>
        </w:rPr>
      </w:pPr>
      <w:bookmarkStart w:id="283" w:name="_Toc372117113"/>
      <w:r>
        <w:br w:type="page"/>
      </w:r>
    </w:p>
    <w:p w:rsidR="00635085" w:rsidRPr="009D0B15" w:rsidRDefault="00892B00" w:rsidP="00892B00">
      <w:pPr>
        <w:pStyle w:val="Legenda"/>
      </w:pPr>
      <w:bookmarkStart w:id="284" w:name="_Toc372740154"/>
      <w:bookmarkEnd w:id="283"/>
      <w:r>
        <w:lastRenderedPageBreak/>
        <w:t xml:space="preserve">Figura </w:t>
      </w:r>
      <w:fldSimple w:instr=" SEQ Figura \* ARABIC ">
        <w:r w:rsidR="004F77E2">
          <w:rPr>
            <w:noProof/>
          </w:rPr>
          <w:t>71</w:t>
        </w:r>
      </w:fldSimple>
      <w:r>
        <w:t xml:space="preserve"> - </w:t>
      </w:r>
      <w:r w:rsidRPr="0004075F">
        <w:rPr>
          <w:noProof/>
        </w:rPr>
        <w:t>Casa de Química (Local: 24K 0260829 7814145 / Altitude: 252 m).</w:t>
      </w:r>
      <w:bookmarkEnd w:id="284"/>
    </w:p>
    <w:p w:rsidR="00E32574" w:rsidRDefault="00E32574" w:rsidP="00CA1B2C">
      <w:pPr>
        <w:spacing w:after="0" w:line="240" w:lineRule="auto"/>
        <w:jc w:val="center"/>
        <w:rPr>
          <w:u w:val="single"/>
        </w:rPr>
      </w:pPr>
      <w:r w:rsidRPr="00B244CE">
        <w:rPr>
          <w:noProof/>
          <w:lang w:eastAsia="pt-BR"/>
        </w:rPr>
        <w:drawing>
          <wp:inline distT="0" distB="0" distL="0" distR="0" wp14:anchorId="273BF021" wp14:editId="4177D9D0">
            <wp:extent cx="4518792" cy="3387255"/>
            <wp:effectExtent l="19050" t="0" r="0" b="0"/>
            <wp:docPr id="106" name="Imagem 106" descr="Foto 1 - ETA de São Sebastião da Vala Ponto 160 - Casa de Química (adição de Sulfato de Alumín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8" descr="Foto 1 - ETA de São Sebastião da Vala Ponto 160 - Casa de Química (adição de Sulfato de Alumínio).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544317" cy="3406388"/>
                    </a:xfrm>
                    <a:prstGeom prst="rect">
                      <a:avLst/>
                    </a:prstGeom>
                    <a:noFill/>
                    <a:ln>
                      <a:noFill/>
                    </a:ln>
                  </pic:spPr>
                </pic:pic>
              </a:graphicData>
            </a:graphic>
          </wp:inline>
        </w:drawing>
      </w:r>
    </w:p>
    <w:p w:rsidR="00E32574" w:rsidRDefault="00E32574" w:rsidP="00B244CE">
      <w:pPr>
        <w:pStyle w:val="Fonte"/>
        <w:ind w:left="709"/>
        <w:rPr>
          <w:lang w:eastAsia="pt-BR"/>
        </w:rPr>
      </w:pPr>
      <w:r w:rsidRPr="00192C99">
        <w:rPr>
          <w:lang w:eastAsia="pt-BR"/>
        </w:rPr>
        <w:t>Fonte: Fundação Educacional de Caratinga - FUNEC, 2013</w:t>
      </w:r>
    </w:p>
    <w:p w:rsidR="00635085" w:rsidRPr="009D0B15" w:rsidRDefault="00892B00" w:rsidP="00892B00">
      <w:pPr>
        <w:pStyle w:val="Legenda"/>
      </w:pPr>
      <w:bookmarkStart w:id="285" w:name="_Toc372740155"/>
      <w:r>
        <w:t xml:space="preserve">Figura </w:t>
      </w:r>
      <w:fldSimple w:instr=" SEQ Figura \* ARABIC ">
        <w:r w:rsidR="004F77E2">
          <w:rPr>
            <w:noProof/>
          </w:rPr>
          <w:t>72</w:t>
        </w:r>
      </w:fldSimple>
      <w:r>
        <w:t xml:space="preserve"> - </w:t>
      </w:r>
      <w:r w:rsidRPr="00886F8C">
        <w:rPr>
          <w:noProof/>
        </w:rPr>
        <w:t>Floculador (Local: 24K 0260829 7814145 / Altitude: 252 m).</w:t>
      </w:r>
      <w:bookmarkEnd w:id="285"/>
    </w:p>
    <w:p w:rsidR="00E32574" w:rsidRDefault="00E32574" w:rsidP="00BF2E72">
      <w:pPr>
        <w:spacing w:after="0" w:line="240" w:lineRule="auto"/>
        <w:jc w:val="center"/>
        <w:rPr>
          <w:u w:val="single"/>
        </w:rPr>
      </w:pPr>
      <w:r w:rsidRPr="00B244CE">
        <w:rPr>
          <w:noProof/>
          <w:lang w:eastAsia="pt-BR"/>
        </w:rPr>
        <w:drawing>
          <wp:inline distT="0" distB="0" distL="0" distR="0" wp14:anchorId="2DEBCBE8" wp14:editId="49FA3C14">
            <wp:extent cx="4544999" cy="3406897"/>
            <wp:effectExtent l="19050" t="0" r="7951" b="0"/>
            <wp:docPr id="105" name="Imagem 105" descr="Foto 5 - ETA de São Sebastião da Vala Ponto 160 - Floculador arredond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9" descr="Foto 5 - ETA de São Sebastião da Vala Ponto 160 - Floculador arredondado.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566897" cy="3423312"/>
                    </a:xfrm>
                    <a:prstGeom prst="rect">
                      <a:avLst/>
                    </a:prstGeom>
                    <a:noFill/>
                    <a:ln>
                      <a:noFill/>
                    </a:ln>
                  </pic:spPr>
                </pic:pic>
              </a:graphicData>
            </a:graphic>
          </wp:inline>
        </w:drawing>
      </w:r>
    </w:p>
    <w:p w:rsidR="00E32574" w:rsidRDefault="00E32574" w:rsidP="00B244CE">
      <w:pPr>
        <w:pStyle w:val="Fonte"/>
        <w:ind w:left="709"/>
        <w:rPr>
          <w:lang w:eastAsia="pt-BR"/>
        </w:rPr>
      </w:pPr>
      <w:r w:rsidRPr="00192C99">
        <w:rPr>
          <w:lang w:eastAsia="pt-BR"/>
        </w:rPr>
        <w:t>Fonte: Fundação Educacional de Caratinga - FUNEC, 2013</w:t>
      </w:r>
    </w:p>
    <w:p w:rsidR="00635085" w:rsidRPr="009D0B15" w:rsidRDefault="00892B00" w:rsidP="00892B00">
      <w:pPr>
        <w:pStyle w:val="Legenda"/>
      </w:pPr>
      <w:bookmarkStart w:id="286" w:name="_Toc372740156"/>
      <w:r>
        <w:lastRenderedPageBreak/>
        <w:t xml:space="preserve">Figura </w:t>
      </w:r>
      <w:fldSimple w:instr=" SEQ Figura \* ARABIC ">
        <w:r w:rsidR="004F77E2">
          <w:rPr>
            <w:noProof/>
          </w:rPr>
          <w:t>73</w:t>
        </w:r>
      </w:fldSimple>
      <w:r>
        <w:t xml:space="preserve"> - </w:t>
      </w:r>
      <w:r w:rsidRPr="00091958">
        <w:rPr>
          <w:noProof/>
        </w:rPr>
        <w:t>Decantador (Local: 24K 0260829 7814145 / Altitude: 252 m).</w:t>
      </w:r>
      <w:bookmarkEnd w:id="286"/>
    </w:p>
    <w:p w:rsidR="00E32574" w:rsidRDefault="00E32574" w:rsidP="00BF2E72">
      <w:pPr>
        <w:spacing w:after="0" w:line="240" w:lineRule="auto"/>
        <w:jc w:val="center"/>
        <w:rPr>
          <w:u w:val="single"/>
        </w:rPr>
      </w:pPr>
      <w:r w:rsidRPr="00B244CE">
        <w:rPr>
          <w:noProof/>
          <w:lang w:eastAsia="pt-BR"/>
        </w:rPr>
        <w:drawing>
          <wp:inline distT="0" distB="0" distL="0" distR="0" wp14:anchorId="1FDF98F8" wp14:editId="5FFC236E">
            <wp:extent cx="4242998" cy="3180521"/>
            <wp:effectExtent l="19050" t="0" r="5152" b="0"/>
            <wp:docPr id="104" name="Imagem 104" descr="Foto 7 - ETA de São Sebastião da Vala Ponto 160 - Decantad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0" descr="Foto 7 - ETA de São Sebastião da Vala Ponto 160 - Decantador.JP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260240" cy="3193446"/>
                    </a:xfrm>
                    <a:prstGeom prst="rect">
                      <a:avLst/>
                    </a:prstGeom>
                    <a:noFill/>
                    <a:ln>
                      <a:noFill/>
                    </a:ln>
                  </pic:spPr>
                </pic:pic>
              </a:graphicData>
            </a:graphic>
          </wp:inline>
        </w:drawing>
      </w:r>
    </w:p>
    <w:p w:rsidR="00E32574" w:rsidRDefault="00E32574" w:rsidP="00B244CE">
      <w:pPr>
        <w:pStyle w:val="Fonte"/>
        <w:ind w:firstLine="851"/>
        <w:rPr>
          <w:lang w:eastAsia="pt-BR"/>
        </w:rPr>
      </w:pPr>
      <w:r w:rsidRPr="00192C99">
        <w:rPr>
          <w:lang w:eastAsia="pt-BR"/>
        </w:rPr>
        <w:t>Fonte: Fundação Educacional de Caratinga - FUNEC, 2013</w:t>
      </w:r>
    </w:p>
    <w:p w:rsidR="00635085" w:rsidRPr="009D0B15" w:rsidRDefault="00892B00" w:rsidP="00892B00">
      <w:pPr>
        <w:pStyle w:val="Legenda"/>
      </w:pPr>
      <w:bookmarkStart w:id="287" w:name="_Toc372740157"/>
      <w:r>
        <w:t xml:space="preserve">Figura </w:t>
      </w:r>
      <w:fldSimple w:instr=" SEQ Figura \* ARABIC ">
        <w:r w:rsidR="004F77E2">
          <w:rPr>
            <w:noProof/>
          </w:rPr>
          <w:t>74</w:t>
        </w:r>
      </w:fldSimple>
      <w:r>
        <w:t xml:space="preserve"> - </w:t>
      </w:r>
      <w:r w:rsidRPr="00CE2E6E">
        <w:t>Unidade de Filtro Descendente (Local: 24K 0260829 7814145 / Altitude: 252 m).</w:t>
      </w:r>
      <w:bookmarkEnd w:id="287"/>
    </w:p>
    <w:p w:rsidR="00E32574" w:rsidRDefault="00E32574" w:rsidP="00BF2E72">
      <w:pPr>
        <w:spacing w:after="0" w:line="240" w:lineRule="auto"/>
        <w:jc w:val="center"/>
        <w:rPr>
          <w:u w:val="single"/>
        </w:rPr>
      </w:pPr>
      <w:r w:rsidRPr="00B244CE">
        <w:rPr>
          <w:noProof/>
          <w:lang w:eastAsia="pt-BR"/>
        </w:rPr>
        <w:drawing>
          <wp:inline distT="0" distB="0" distL="0" distR="0" wp14:anchorId="66E81BC9" wp14:editId="717ECC47">
            <wp:extent cx="4476366" cy="3355450"/>
            <wp:effectExtent l="19050" t="0" r="384" b="0"/>
            <wp:docPr id="103" name="Imagem 103" descr="Foto 11 - ETA de São Sebastião da Vala Ponto 160 - Filtro Descend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1" descr="Foto 11 - ETA de São Sebastião da Vala Ponto 160 - Filtro Descendente.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486796" cy="3363268"/>
                    </a:xfrm>
                    <a:prstGeom prst="rect">
                      <a:avLst/>
                    </a:prstGeom>
                    <a:noFill/>
                    <a:ln>
                      <a:noFill/>
                    </a:ln>
                  </pic:spPr>
                </pic:pic>
              </a:graphicData>
            </a:graphic>
          </wp:inline>
        </w:drawing>
      </w:r>
    </w:p>
    <w:p w:rsidR="00E32574" w:rsidRDefault="00E32574" w:rsidP="00635085">
      <w:pPr>
        <w:pStyle w:val="Fonte"/>
        <w:ind w:left="708"/>
        <w:rPr>
          <w:lang w:eastAsia="pt-BR"/>
        </w:rPr>
      </w:pPr>
      <w:r w:rsidRPr="00192C99">
        <w:rPr>
          <w:lang w:eastAsia="pt-BR"/>
        </w:rPr>
        <w:t>Fonte: Fundação Educacional de Caratinga - FUNEC, 2013</w:t>
      </w:r>
    </w:p>
    <w:p w:rsidR="00635085" w:rsidRPr="009D0B15" w:rsidRDefault="00E32574" w:rsidP="00892B00">
      <w:pPr>
        <w:pStyle w:val="Legenda"/>
      </w:pPr>
      <w:bookmarkStart w:id="288" w:name="_Toc372117117"/>
      <w:bookmarkStart w:id="289" w:name="_Toc372740158"/>
      <w:r w:rsidRPr="00BF2E72">
        <w:rPr>
          <w:b w:val="0"/>
        </w:rPr>
        <w:lastRenderedPageBreak/>
        <w:t xml:space="preserve">Figura </w:t>
      </w:r>
      <w:r w:rsidR="00BF2E72" w:rsidRPr="00BF2E72">
        <w:rPr>
          <w:b w:val="0"/>
        </w:rPr>
        <w:t>75</w:t>
      </w:r>
      <w:r w:rsidRPr="00BF2E72">
        <w:rPr>
          <w:b w:val="0"/>
        </w:rPr>
        <w:t xml:space="preserve"> </w:t>
      </w:r>
      <w:bookmarkEnd w:id="288"/>
      <w:r w:rsidR="00892B00">
        <w:t xml:space="preserve">Figura </w:t>
      </w:r>
      <w:fldSimple w:instr=" SEQ Figura \* ARABIC ">
        <w:r w:rsidR="004F77E2">
          <w:rPr>
            <w:noProof/>
          </w:rPr>
          <w:t>75</w:t>
        </w:r>
      </w:fldSimple>
      <w:r w:rsidR="00892B00">
        <w:t xml:space="preserve"> - </w:t>
      </w:r>
      <w:r w:rsidR="00892B00" w:rsidRPr="00E87394">
        <w:rPr>
          <w:noProof/>
        </w:rPr>
        <w:t>Caixa de Passagem (Local: 24K 0260829 7814145 / Altitude: 252 m).</w:t>
      </w:r>
      <w:bookmarkEnd w:id="289"/>
    </w:p>
    <w:p w:rsidR="00E32574" w:rsidRDefault="00E32574" w:rsidP="00BF2E72">
      <w:pPr>
        <w:spacing w:after="0" w:line="240" w:lineRule="auto"/>
        <w:jc w:val="center"/>
        <w:rPr>
          <w:u w:val="single"/>
        </w:rPr>
      </w:pPr>
      <w:r w:rsidRPr="00B244CE">
        <w:rPr>
          <w:noProof/>
          <w:lang w:eastAsia="pt-BR"/>
        </w:rPr>
        <w:drawing>
          <wp:inline distT="0" distB="0" distL="0" distR="0" wp14:anchorId="286FACF7" wp14:editId="5F4B4C3B">
            <wp:extent cx="4317253" cy="3236181"/>
            <wp:effectExtent l="19050" t="0" r="7097" b="0"/>
            <wp:docPr id="102" name="Imagem 102" descr="Foto 13 - ETA de São Sebastião da Vala Ponto 160 - Caixa de Passag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2" descr="Foto 13 - ETA de São Sebastião da Vala Ponto 160 - Caixa de Passagem.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342721" cy="3255272"/>
                    </a:xfrm>
                    <a:prstGeom prst="rect">
                      <a:avLst/>
                    </a:prstGeom>
                    <a:noFill/>
                    <a:ln>
                      <a:noFill/>
                    </a:ln>
                  </pic:spPr>
                </pic:pic>
              </a:graphicData>
            </a:graphic>
          </wp:inline>
        </w:drawing>
      </w:r>
    </w:p>
    <w:p w:rsidR="00E32574" w:rsidRDefault="00E32574" w:rsidP="00B244CE">
      <w:pPr>
        <w:pStyle w:val="Fonte"/>
        <w:ind w:firstLine="851"/>
        <w:rPr>
          <w:lang w:eastAsia="pt-BR"/>
        </w:rPr>
      </w:pPr>
      <w:r w:rsidRPr="00192C99">
        <w:rPr>
          <w:lang w:eastAsia="pt-BR"/>
        </w:rPr>
        <w:t>Fonte: Fundação Educacional de Caratinga - FUNEC, 2013</w:t>
      </w:r>
    </w:p>
    <w:p w:rsidR="00635085" w:rsidRPr="009D0B15" w:rsidRDefault="00892B00" w:rsidP="00892B00">
      <w:pPr>
        <w:pStyle w:val="Legenda"/>
      </w:pPr>
      <w:bookmarkStart w:id="290" w:name="_Toc372740159"/>
      <w:r>
        <w:t xml:space="preserve">Figura </w:t>
      </w:r>
      <w:fldSimple w:instr=" SEQ Figura \* ARABIC ">
        <w:r w:rsidR="004F77E2">
          <w:rPr>
            <w:noProof/>
          </w:rPr>
          <w:t>76</w:t>
        </w:r>
      </w:fldSimple>
      <w:r>
        <w:t xml:space="preserve"> - </w:t>
      </w:r>
      <w:r w:rsidRPr="008773FA">
        <w:t>Unidade de Dosagem de Cloro e Flúor (Local: 24K 0260829 7814145 / Altitude: 252 m).</w:t>
      </w:r>
      <w:bookmarkEnd w:id="290"/>
    </w:p>
    <w:p w:rsidR="00E32574" w:rsidRDefault="00E32574" w:rsidP="00BF2E72">
      <w:pPr>
        <w:spacing w:after="0" w:line="240" w:lineRule="auto"/>
        <w:jc w:val="center"/>
        <w:rPr>
          <w:u w:val="single"/>
        </w:rPr>
      </w:pPr>
      <w:r w:rsidRPr="00B244CE">
        <w:rPr>
          <w:noProof/>
          <w:lang w:eastAsia="pt-BR"/>
        </w:rPr>
        <w:drawing>
          <wp:inline distT="0" distB="0" distL="0" distR="0" wp14:anchorId="66B85EBB" wp14:editId="4A1709F8">
            <wp:extent cx="4253948" cy="3188730"/>
            <wp:effectExtent l="19050" t="0" r="0" b="0"/>
            <wp:docPr id="101" name="Imagem 101" descr="Foto 15 - ETA de São Sebastião da Vala Ponto 160 - - Casa de Cloraç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3" descr="Foto 15 - ETA de São Sebastião da Vala Ponto 160 - - Casa de Cloração.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277442" cy="3206341"/>
                    </a:xfrm>
                    <a:prstGeom prst="rect">
                      <a:avLst/>
                    </a:prstGeom>
                    <a:noFill/>
                    <a:ln>
                      <a:noFill/>
                    </a:ln>
                  </pic:spPr>
                </pic:pic>
              </a:graphicData>
            </a:graphic>
          </wp:inline>
        </w:drawing>
      </w:r>
    </w:p>
    <w:p w:rsidR="00E32574" w:rsidRDefault="00635085" w:rsidP="00B244CE">
      <w:pPr>
        <w:pStyle w:val="Fonte"/>
        <w:ind w:firstLine="851"/>
        <w:rPr>
          <w:lang w:eastAsia="pt-BR"/>
        </w:rPr>
      </w:pPr>
      <w:r>
        <w:rPr>
          <w:lang w:eastAsia="pt-BR"/>
        </w:rPr>
        <w:t xml:space="preserve"> </w:t>
      </w:r>
      <w:r w:rsidR="00E32574" w:rsidRPr="00192C99">
        <w:rPr>
          <w:lang w:eastAsia="pt-BR"/>
        </w:rPr>
        <w:t>Fonte: Fundação Educacional de Caratinga - FUNEC, 2013</w:t>
      </w:r>
    </w:p>
    <w:p w:rsidR="00E32574" w:rsidRDefault="00BF2E72" w:rsidP="00BF2E72">
      <w:pPr>
        <w:spacing w:after="0" w:line="360" w:lineRule="auto"/>
        <w:ind w:firstLine="709"/>
        <w:jc w:val="both"/>
        <w:rPr>
          <w:szCs w:val="24"/>
          <w:lang w:eastAsia="pt-BR"/>
        </w:rPr>
      </w:pPr>
      <w:r w:rsidRPr="00BF2E72">
        <w:lastRenderedPageBreak/>
        <w:t>O reservatório se l</w:t>
      </w:r>
      <w:r w:rsidR="00E32574" w:rsidRPr="00BF2E72">
        <w:t xml:space="preserve">ocalizado junto à ETA, tem capacidade de 60 m³. </w:t>
      </w:r>
      <w:r w:rsidR="00E32574" w:rsidRPr="00BF2E72">
        <w:rPr>
          <w:szCs w:val="24"/>
          <w:lang w:eastAsia="pt-BR"/>
        </w:rPr>
        <w:t>Nesta ETA há outro</w:t>
      </w:r>
      <w:r w:rsidR="00E32574" w:rsidRPr="00467E49">
        <w:rPr>
          <w:szCs w:val="24"/>
          <w:lang w:eastAsia="pt-BR"/>
        </w:rPr>
        <w:t xml:space="preserve"> reservatório de 15.000 litros para limpeza da ETA.</w:t>
      </w:r>
    </w:p>
    <w:p w:rsidR="00E32574" w:rsidRDefault="00E32574" w:rsidP="00BF2E72">
      <w:pPr>
        <w:spacing w:after="0" w:line="360" w:lineRule="auto"/>
        <w:ind w:firstLine="709"/>
        <w:jc w:val="both"/>
        <w:rPr>
          <w:u w:val="single"/>
        </w:rPr>
      </w:pPr>
      <w:r w:rsidRPr="00467E49">
        <w:t>A rede de adução é de cimento amianto e necessita ser trocada, as redes de distribuição são de PVC e em bom estado</w:t>
      </w:r>
      <w:r>
        <w:t>.</w:t>
      </w:r>
    </w:p>
    <w:p w:rsidR="00E32574" w:rsidRPr="00A275C9" w:rsidRDefault="00B853AD" w:rsidP="00971B37">
      <w:pPr>
        <w:pStyle w:val="Titulo"/>
      </w:pPr>
      <w:bookmarkStart w:id="291" w:name="_Toc372559106"/>
      <w:bookmarkStart w:id="292" w:name="_Toc372789538"/>
      <w:r w:rsidRPr="00A275C9">
        <w:t>11.7.</w:t>
      </w:r>
      <w:r w:rsidR="00922902">
        <w:t>7</w:t>
      </w:r>
      <w:r w:rsidRPr="00A275C9">
        <w:t xml:space="preserve"> </w:t>
      </w:r>
      <w:r w:rsidR="00E32574" w:rsidRPr="00A275C9">
        <w:t>Sistema Tabaúna</w:t>
      </w:r>
      <w:bookmarkEnd w:id="291"/>
      <w:bookmarkEnd w:id="292"/>
    </w:p>
    <w:p w:rsidR="00E32574" w:rsidRDefault="00E32574" w:rsidP="00177EA2">
      <w:pPr>
        <w:spacing w:after="0" w:line="360" w:lineRule="auto"/>
        <w:ind w:firstLine="709"/>
        <w:jc w:val="both"/>
        <w:rPr>
          <w:szCs w:val="24"/>
        </w:rPr>
      </w:pPr>
      <w:r w:rsidRPr="005A2B0B">
        <w:t xml:space="preserve">O Sistema está inserido no distrito de </w:t>
      </w:r>
      <w:r>
        <w:t>Tabaúna</w:t>
      </w:r>
      <w:r w:rsidRPr="005A2B0B">
        <w:t xml:space="preserve"> e abastece a parte urbana do distrito e os córregos </w:t>
      </w:r>
      <w:r>
        <w:rPr>
          <w:szCs w:val="24"/>
        </w:rPr>
        <w:t>Córrego do Bugre, Quatizinho, São Luiz do Bugre, Vala Seca, Capoerinha e Macuco.</w:t>
      </w:r>
    </w:p>
    <w:p w:rsidR="00E32574" w:rsidRDefault="00E32574" w:rsidP="00177EA2">
      <w:pPr>
        <w:pStyle w:val="CM71"/>
        <w:spacing w:line="360" w:lineRule="auto"/>
        <w:ind w:firstLine="709"/>
        <w:jc w:val="both"/>
        <w:rPr>
          <w:rFonts w:ascii="Times New Roman" w:hAnsi="Times New Roman" w:cs="Times New Roman"/>
        </w:rPr>
      </w:pPr>
      <w:r>
        <w:rPr>
          <w:rFonts w:ascii="Times New Roman" w:hAnsi="Times New Roman" w:cs="Times New Roman"/>
        </w:rPr>
        <w:t>A captação é superficial no rio Manhu</w:t>
      </w:r>
      <w:r w:rsidR="00923EB2">
        <w:rPr>
          <w:rFonts w:ascii="Times New Roman" w:hAnsi="Times New Roman" w:cs="Times New Roman"/>
        </w:rPr>
        <w:t>a</w:t>
      </w:r>
      <w:r>
        <w:rPr>
          <w:rFonts w:ascii="Times New Roman" w:hAnsi="Times New Roman" w:cs="Times New Roman"/>
        </w:rPr>
        <w:t xml:space="preserve">çu (Figura </w:t>
      </w:r>
      <w:r w:rsidR="00177EA2">
        <w:rPr>
          <w:rFonts w:ascii="Times New Roman" w:hAnsi="Times New Roman" w:cs="Times New Roman"/>
        </w:rPr>
        <w:t>77</w:t>
      </w:r>
      <w:r>
        <w:rPr>
          <w:rFonts w:ascii="Times New Roman" w:hAnsi="Times New Roman" w:cs="Times New Roman"/>
        </w:rPr>
        <w:t>). A vazão é de aproximadamente 3 L.s</w:t>
      </w:r>
      <w:r w:rsidRPr="006E2571">
        <w:rPr>
          <w:rFonts w:ascii="Times New Roman" w:hAnsi="Times New Roman" w:cs="Times New Roman"/>
          <w:vertAlign w:val="superscript"/>
        </w:rPr>
        <w:t>-1</w:t>
      </w:r>
      <w:r>
        <w:rPr>
          <w:rFonts w:ascii="Times New Roman" w:hAnsi="Times New Roman" w:cs="Times New Roman"/>
        </w:rPr>
        <w:t xml:space="preserve">. </w:t>
      </w:r>
    </w:p>
    <w:p w:rsidR="00635085" w:rsidRPr="009D0B15" w:rsidRDefault="00892B00" w:rsidP="00892B00">
      <w:pPr>
        <w:pStyle w:val="Legenda"/>
      </w:pPr>
      <w:bookmarkStart w:id="293" w:name="_Toc372740160"/>
      <w:r>
        <w:t xml:space="preserve">Figura </w:t>
      </w:r>
      <w:fldSimple w:instr=" SEQ Figura \* ARABIC ">
        <w:r w:rsidR="004F77E2">
          <w:rPr>
            <w:noProof/>
          </w:rPr>
          <w:t>77</w:t>
        </w:r>
      </w:fldSimple>
      <w:r>
        <w:t xml:space="preserve"> - </w:t>
      </w:r>
      <w:r w:rsidRPr="006B14FA">
        <w:t>Aspecto visual da captação de água bruta localizado no rio Manhuaçu (Local: 24K 0257430 7842313 / Altitude: 178 m).</w:t>
      </w:r>
      <w:bookmarkEnd w:id="293"/>
    </w:p>
    <w:p w:rsidR="00E32574" w:rsidRDefault="00E32574" w:rsidP="00E32574">
      <w:pPr>
        <w:jc w:val="center"/>
        <w:rPr>
          <w:lang w:eastAsia="pt-BR"/>
        </w:rPr>
      </w:pPr>
      <w:r>
        <w:rPr>
          <w:noProof/>
          <w:lang w:eastAsia="pt-BR"/>
        </w:rPr>
        <w:drawing>
          <wp:inline distT="0" distB="0" distL="0" distR="0" wp14:anchorId="70E6475B" wp14:editId="4D4C6D36">
            <wp:extent cx="4521150" cy="3357677"/>
            <wp:effectExtent l="0" t="0" r="0" b="0"/>
            <wp:docPr id="99" name="Imagem 99" descr="Foto 16 - Tabaúna Ponto  172 -   Balsa da Bomba de Captaç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5" descr="Foto 16 - Tabaúna Ponto  172 -   Balsa da Bomba de Captação.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526406" cy="3361580"/>
                    </a:xfrm>
                    <a:prstGeom prst="rect">
                      <a:avLst/>
                    </a:prstGeom>
                    <a:noFill/>
                    <a:ln>
                      <a:noFill/>
                    </a:ln>
                  </pic:spPr>
                </pic:pic>
              </a:graphicData>
            </a:graphic>
          </wp:inline>
        </w:drawing>
      </w:r>
    </w:p>
    <w:p w:rsidR="00E32574" w:rsidRDefault="00E32574" w:rsidP="00177EA2">
      <w:pPr>
        <w:tabs>
          <w:tab w:val="left" w:pos="993"/>
        </w:tabs>
        <w:ind w:left="709"/>
        <w:rPr>
          <w:sz w:val="20"/>
          <w:lang w:eastAsia="pt-BR"/>
        </w:rPr>
      </w:pPr>
      <w:r w:rsidRPr="00192C99">
        <w:rPr>
          <w:sz w:val="20"/>
          <w:lang w:eastAsia="pt-BR"/>
        </w:rPr>
        <w:t>Fonte: Fundação Educacional de Caratinga - FUNEC, 2013</w:t>
      </w:r>
      <w:r>
        <w:rPr>
          <w:sz w:val="20"/>
          <w:lang w:eastAsia="pt-BR"/>
        </w:rPr>
        <w:t>.</w:t>
      </w:r>
    </w:p>
    <w:p w:rsidR="00177EA2" w:rsidRDefault="00177EA2" w:rsidP="00177EA2">
      <w:pPr>
        <w:spacing w:after="0" w:line="360" w:lineRule="auto"/>
        <w:ind w:firstLine="709"/>
        <w:jc w:val="both"/>
      </w:pPr>
      <w:r w:rsidRPr="00177EA2">
        <w:rPr>
          <w:szCs w:val="24"/>
          <w:lang w:eastAsia="pt-BR"/>
        </w:rPr>
        <w:t>A</w:t>
      </w:r>
      <w:r w:rsidR="00E32574">
        <w:t xml:space="preserve"> </w:t>
      </w:r>
      <w:r w:rsidR="00E32574" w:rsidRPr="005A2B0B">
        <w:t xml:space="preserve">adução </w:t>
      </w:r>
      <w:r>
        <w:t xml:space="preserve">é realizada </w:t>
      </w:r>
      <w:r w:rsidR="00E32574" w:rsidRPr="005A2B0B">
        <w:t xml:space="preserve">por recalque de </w:t>
      </w:r>
      <w:r>
        <w:t xml:space="preserve">comprimento de </w:t>
      </w:r>
      <w:r w:rsidR="00E32574" w:rsidRPr="005A2B0B">
        <w:t>aproximadamente 500 metros, sendo a adutora de PVC com 75 mm de diâmetro.</w:t>
      </w:r>
      <w:r w:rsidR="00E32574">
        <w:t xml:space="preserve"> Há a necessidade de redimensionar a adutora para </w:t>
      </w:r>
      <w:r>
        <w:t xml:space="preserve">diâmetro de </w:t>
      </w:r>
      <w:r w:rsidR="00E32574">
        <w:t>100 mm para melhor atender o sistema.</w:t>
      </w:r>
    </w:p>
    <w:p w:rsidR="00E32574" w:rsidRPr="00177EA2" w:rsidRDefault="00E32574" w:rsidP="00177EA2">
      <w:pPr>
        <w:spacing w:after="0" w:line="360" w:lineRule="auto"/>
        <w:ind w:firstLine="709"/>
        <w:jc w:val="both"/>
        <w:rPr>
          <w:szCs w:val="24"/>
        </w:rPr>
      </w:pPr>
      <w:r w:rsidRPr="00177EA2">
        <w:rPr>
          <w:szCs w:val="24"/>
        </w:rPr>
        <w:lastRenderedPageBreak/>
        <w:t xml:space="preserve">A água bruta chega passando pela casa de química (Figura </w:t>
      </w:r>
      <w:r w:rsidR="00177EA2">
        <w:rPr>
          <w:szCs w:val="24"/>
        </w:rPr>
        <w:t>78</w:t>
      </w:r>
      <w:r w:rsidRPr="00177EA2">
        <w:rPr>
          <w:szCs w:val="24"/>
        </w:rPr>
        <w:t xml:space="preserve">), local que se dosa e adiciona o sulfato de alumínio (100 kg por mês) (Figura </w:t>
      </w:r>
      <w:r w:rsidR="00177EA2">
        <w:rPr>
          <w:szCs w:val="24"/>
        </w:rPr>
        <w:t>79</w:t>
      </w:r>
      <w:r w:rsidRPr="00177EA2">
        <w:rPr>
          <w:szCs w:val="24"/>
        </w:rPr>
        <w:t xml:space="preserve">) assim seguindo para um floculador arredondado (Figura </w:t>
      </w:r>
      <w:r w:rsidR="00177EA2">
        <w:rPr>
          <w:szCs w:val="24"/>
        </w:rPr>
        <w:t>80</w:t>
      </w:r>
      <w:r w:rsidRPr="00177EA2">
        <w:rPr>
          <w:szCs w:val="24"/>
        </w:rPr>
        <w:t xml:space="preserve">), seguindo para dois decantadores arredondados (Figura </w:t>
      </w:r>
      <w:r w:rsidR="00177EA2">
        <w:rPr>
          <w:szCs w:val="24"/>
        </w:rPr>
        <w:t>81</w:t>
      </w:r>
      <w:r w:rsidRPr="00177EA2">
        <w:rPr>
          <w:szCs w:val="24"/>
        </w:rPr>
        <w:t xml:space="preserve">) e assim seguindo para dois filtro arredondados (Figura </w:t>
      </w:r>
      <w:r w:rsidR="00177EA2">
        <w:rPr>
          <w:szCs w:val="24"/>
        </w:rPr>
        <w:t>82</w:t>
      </w:r>
      <w:r w:rsidRPr="00177EA2">
        <w:rPr>
          <w:szCs w:val="24"/>
        </w:rPr>
        <w:t xml:space="preserve">) (não se tem a vazão e a capacidade de nenhuma estrutura das ETA’s de Aimorés e distritos, exceto do reservatório), passando por uma caixa de passagem que transporta a água para ser adicionado hipoclorito de cálcio granular (3 kg por mês) e flúor (2 kg por mês), seguindo então para o reservatório (Figura </w:t>
      </w:r>
      <w:r w:rsidR="00177EA2">
        <w:rPr>
          <w:szCs w:val="24"/>
        </w:rPr>
        <w:t>83</w:t>
      </w:r>
      <w:r w:rsidRPr="00177EA2">
        <w:rPr>
          <w:szCs w:val="24"/>
        </w:rPr>
        <w:t>).</w:t>
      </w:r>
    </w:p>
    <w:p w:rsidR="008B0C42" w:rsidRPr="009D0B15" w:rsidRDefault="00892B00" w:rsidP="00892B00">
      <w:pPr>
        <w:pStyle w:val="Legenda"/>
      </w:pPr>
      <w:bookmarkStart w:id="294" w:name="_Toc372740161"/>
      <w:r>
        <w:t xml:space="preserve">Figura </w:t>
      </w:r>
      <w:fldSimple w:instr=" SEQ Figura \* ARABIC ">
        <w:r w:rsidR="004F77E2">
          <w:rPr>
            <w:noProof/>
          </w:rPr>
          <w:t>78</w:t>
        </w:r>
      </w:fldSimple>
      <w:r>
        <w:t xml:space="preserve"> - </w:t>
      </w:r>
      <w:r w:rsidRPr="00DC30C9">
        <w:t>Aspecto visual da entrada de água bruta na ETA (Local: 24K 0257631 7841957 / Altitude: 179 m).</w:t>
      </w:r>
      <w:bookmarkEnd w:id="294"/>
    </w:p>
    <w:p w:rsidR="00E32574" w:rsidRDefault="00E32574" w:rsidP="00177EA2">
      <w:pPr>
        <w:spacing w:after="0" w:line="240" w:lineRule="auto"/>
        <w:jc w:val="center"/>
        <w:rPr>
          <w:u w:val="single"/>
        </w:rPr>
      </w:pPr>
      <w:r w:rsidRPr="00B244CE">
        <w:rPr>
          <w:noProof/>
          <w:lang w:eastAsia="pt-BR"/>
        </w:rPr>
        <w:drawing>
          <wp:inline distT="0" distB="0" distL="0" distR="0" wp14:anchorId="080693E7" wp14:editId="7F64ABE1">
            <wp:extent cx="4654996" cy="3489350"/>
            <wp:effectExtent l="0" t="0" r="0" b="0"/>
            <wp:docPr id="98" name="Imagem 98" descr="Foto 1 - ETA de Tabaúna  Ponto 171 - Chegada da água na 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6" descr="Foto 1 - ETA de Tabaúna  Ponto 171 - Chegada da água na ETA.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661132" cy="3493949"/>
                    </a:xfrm>
                    <a:prstGeom prst="rect">
                      <a:avLst/>
                    </a:prstGeom>
                    <a:noFill/>
                    <a:ln>
                      <a:noFill/>
                    </a:ln>
                  </pic:spPr>
                </pic:pic>
              </a:graphicData>
            </a:graphic>
          </wp:inline>
        </w:drawing>
      </w:r>
    </w:p>
    <w:p w:rsidR="00E32574" w:rsidRDefault="00E32574" w:rsidP="00177EA2">
      <w:pPr>
        <w:pStyle w:val="Fonte"/>
        <w:spacing w:before="120" w:after="120"/>
        <w:ind w:firstLine="567"/>
        <w:rPr>
          <w:lang w:eastAsia="pt-BR"/>
        </w:rPr>
      </w:pPr>
      <w:r w:rsidRPr="00192C99">
        <w:rPr>
          <w:lang w:eastAsia="pt-BR"/>
        </w:rPr>
        <w:t>Fonte: Fundação Educacional de Caratinga - FUNEC, 2013</w:t>
      </w:r>
    </w:p>
    <w:p w:rsidR="008B0C42" w:rsidRDefault="008B0C42">
      <w:pPr>
        <w:spacing w:after="200" w:line="276" w:lineRule="auto"/>
        <w:rPr>
          <w:rFonts w:eastAsiaTheme="minorEastAsia" w:cs="Times New Roman"/>
          <w:bCs/>
          <w:szCs w:val="24"/>
          <w:lang w:eastAsia="pt-BR"/>
        </w:rPr>
      </w:pPr>
      <w:r>
        <w:br w:type="page"/>
      </w:r>
    </w:p>
    <w:p w:rsidR="008B0C42" w:rsidRPr="009D0B15" w:rsidRDefault="00892B00" w:rsidP="00892B00">
      <w:pPr>
        <w:pStyle w:val="Legenda"/>
      </w:pPr>
      <w:bookmarkStart w:id="295" w:name="_Toc372740162"/>
      <w:r>
        <w:lastRenderedPageBreak/>
        <w:t xml:space="preserve">Figura </w:t>
      </w:r>
      <w:fldSimple w:instr=" SEQ Figura \* ARABIC ">
        <w:r w:rsidR="004F77E2">
          <w:rPr>
            <w:noProof/>
          </w:rPr>
          <w:t>79</w:t>
        </w:r>
      </w:fldSimple>
      <w:r>
        <w:t xml:space="preserve"> - </w:t>
      </w:r>
      <w:r w:rsidRPr="007734D9">
        <w:rPr>
          <w:noProof/>
        </w:rPr>
        <w:t>Adição de Sulfato de Alumínio (Local: 24K 0257631 7841957 / Altitude: 179 m).</w:t>
      </w:r>
      <w:bookmarkEnd w:id="295"/>
    </w:p>
    <w:p w:rsidR="00E32574" w:rsidRDefault="00E32574" w:rsidP="00177EA2">
      <w:pPr>
        <w:spacing w:after="0" w:line="240" w:lineRule="auto"/>
        <w:jc w:val="center"/>
        <w:rPr>
          <w:u w:val="single"/>
        </w:rPr>
      </w:pPr>
      <w:r w:rsidRPr="00B244CE">
        <w:rPr>
          <w:noProof/>
          <w:lang w:eastAsia="pt-BR"/>
        </w:rPr>
        <w:drawing>
          <wp:inline distT="0" distB="0" distL="0" distR="0" wp14:anchorId="5422C1F6" wp14:editId="5477D182">
            <wp:extent cx="4452731" cy="3337732"/>
            <wp:effectExtent l="19050" t="0" r="4969" b="0"/>
            <wp:docPr id="97" name="Imagem 97" descr="Foto 3 - ETA de Tabaúna Ponto 171  -  Sulfato de Alumín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7" descr="Foto 3 - ETA de Tabaúna Ponto 171  -  Sulfato de Alumínio.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469377" cy="3350210"/>
                    </a:xfrm>
                    <a:prstGeom prst="rect">
                      <a:avLst/>
                    </a:prstGeom>
                    <a:noFill/>
                    <a:ln>
                      <a:noFill/>
                    </a:ln>
                  </pic:spPr>
                </pic:pic>
              </a:graphicData>
            </a:graphic>
          </wp:inline>
        </w:drawing>
      </w:r>
    </w:p>
    <w:p w:rsidR="00E32574" w:rsidRDefault="00E32574" w:rsidP="008B0C42">
      <w:pPr>
        <w:pStyle w:val="Fonte"/>
        <w:ind w:firstLine="708"/>
        <w:rPr>
          <w:lang w:eastAsia="pt-BR"/>
        </w:rPr>
      </w:pPr>
      <w:r w:rsidRPr="00192C99">
        <w:rPr>
          <w:lang w:eastAsia="pt-BR"/>
        </w:rPr>
        <w:t>Fonte: Fundação Educacional de Caratinga - FUNEC, 2013</w:t>
      </w:r>
    </w:p>
    <w:p w:rsidR="008B0C42" w:rsidRDefault="00892B00" w:rsidP="00892B00">
      <w:pPr>
        <w:pStyle w:val="Legenda"/>
      </w:pPr>
      <w:bookmarkStart w:id="296" w:name="_Toc372740163"/>
      <w:r>
        <w:t xml:space="preserve">Figura </w:t>
      </w:r>
      <w:fldSimple w:instr=" SEQ Figura \* ARABIC ">
        <w:r w:rsidR="004F77E2">
          <w:rPr>
            <w:noProof/>
          </w:rPr>
          <w:t>80</w:t>
        </w:r>
      </w:fldSimple>
      <w:r>
        <w:t xml:space="preserve"> - </w:t>
      </w:r>
      <w:r w:rsidRPr="00BB25DF">
        <w:rPr>
          <w:noProof/>
        </w:rPr>
        <w:t>Floculador (Local: 24K 0257631 7841957 / Altitude: 179 m).</w:t>
      </w:r>
      <w:bookmarkEnd w:id="296"/>
    </w:p>
    <w:p w:rsidR="00E32574" w:rsidRDefault="00E32574" w:rsidP="00177EA2">
      <w:pPr>
        <w:spacing w:after="0" w:line="240" w:lineRule="auto"/>
        <w:jc w:val="center"/>
        <w:rPr>
          <w:u w:val="single"/>
        </w:rPr>
      </w:pPr>
      <w:r w:rsidRPr="00B244CE">
        <w:rPr>
          <w:noProof/>
          <w:lang w:eastAsia="pt-BR"/>
        </w:rPr>
        <w:drawing>
          <wp:inline distT="0" distB="0" distL="0" distR="0" wp14:anchorId="13AD4B96" wp14:editId="7A39676C">
            <wp:extent cx="4342379" cy="3255015"/>
            <wp:effectExtent l="19050" t="0" r="1021" b="0"/>
            <wp:docPr id="96" name="Imagem 96" descr="Foto 4 - ETA de Tabaúna Ponto 171 -  Floculad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8" descr="Foto 4 - ETA de Tabaúna Ponto 171 -  Floculador.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342379" cy="3255015"/>
                    </a:xfrm>
                    <a:prstGeom prst="rect">
                      <a:avLst/>
                    </a:prstGeom>
                    <a:noFill/>
                    <a:ln>
                      <a:noFill/>
                    </a:ln>
                  </pic:spPr>
                </pic:pic>
              </a:graphicData>
            </a:graphic>
          </wp:inline>
        </w:drawing>
      </w:r>
    </w:p>
    <w:p w:rsidR="00E32574" w:rsidRDefault="00E32574" w:rsidP="00B244CE">
      <w:pPr>
        <w:pStyle w:val="Fonte"/>
        <w:ind w:firstLine="851"/>
        <w:rPr>
          <w:lang w:eastAsia="pt-BR"/>
        </w:rPr>
      </w:pPr>
      <w:r w:rsidRPr="00192C99">
        <w:rPr>
          <w:lang w:eastAsia="pt-BR"/>
        </w:rPr>
        <w:t>Fonte: Fundação Educacional de Caratinga - FUNEC, 2013</w:t>
      </w:r>
    </w:p>
    <w:p w:rsidR="008B0C42" w:rsidRDefault="00892B00" w:rsidP="00892B00">
      <w:pPr>
        <w:pStyle w:val="Legenda"/>
      </w:pPr>
      <w:bookmarkStart w:id="297" w:name="_Toc372740164"/>
      <w:r>
        <w:lastRenderedPageBreak/>
        <w:t xml:space="preserve">Figura </w:t>
      </w:r>
      <w:fldSimple w:instr=" SEQ Figura \* ARABIC ">
        <w:r w:rsidR="004F77E2">
          <w:rPr>
            <w:noProof/>
          </w:rPr>
          <w:t>81</w:t>
        </w:r>
      </w:fldSimple>
      <w:r>
        <w:t xml:space="preserve"> - </w:t>
      </w:r>
      <w:r w:rsidRPr="00DF57B8">
        <w:rPr>
          <w:noProof/>
        </w:rPr>
        <w:t>Decantador (Local: 24K 0257631 7841957 / Altitude: 179 m).</w:t>
      </w:r>
      <w:bookmarkEnd w:id="297"/>
    </w:p>
    <w:p w:rsidR="00E32574" w:rsidRDefault="00E32574" w:rsidP="008741DF">
      <w:pPr>
        <w:spacing w:after="0" w:line="240" w:lineRule="auto"/>
        <w:jc w:val="center"/>
        <w:rPr>
          <w:u w:val="single"/>
        </w:rPr>
      </w:pPr>
      <w:r w:rsidRPr="00B244CE">
        <w:rPr>
          <w:noProof/>
          <w:lang w:eastAsia="pt-BR"/>
        </w:rPr>
        <w:drawing>
          <wp:inline distT="0" distB="0" distL="0" distR="0" wp14:anchorId="07418157" wp14:editId="770B97AE">
            <wp:extent cx="4322349" cy="3240000"/>
            <wp:effectExtent l="0" t="0" r="0" b="0"/>
            <wp:docPr id="95" name="Imagem 95" descr="Foto 5 - ETA de Tabaúna Ponto 171 -  Decantado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9" descr="Foto 5 - ETA de Tabaúna Ponto 171 -  Decantador 1.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322349" cy="3240000"/>
                    </a:xfrm>
                    <a:prstGeom prst="rect">
                      <a:avLst/>
                    </a:prstGeom>
                    <a:noFill/>
                    <a:ln>
                      <a:noFill/>
                    </a:ln>
                  </pic:spPr>
                </pic:pic>
              </a:graphicData>
            </a:graphic>
          </wp:inline>
        </w:drawing>
      </w:r>
    </w:p>
    <w:p w:rsidR="00E32574" w:rsidRDefault="00E32574" w:rsidP="00B244CE">
      <w:pPr>
        <w:pStyle w:val="Fonte"/>
        <w:ind w:firstLine="851"/>
        <w:rPr>
          <w:lang w:eastAsia="pt-BR"/>
        </w:rPr>
      </w:pPr>
      <w:r w:rsidRPr="00192C99">
        <w:rPr>
          <w:lang w:eastAsia="pt-BR"/>
        </w:rPr>
        <w:t>Fonte: Fundação Educacional de Caratinga - FUNEC, 2013</w:t>
      </w:r>
    </w:p>
    <w:p w:rsidR="00E32574" w:rsidRPr="008741DF" w:rsidRDefault="00892B00" w:rsidP="00892B00">
      <w:pPr>
        <w:pStyle w:val="Legenda"/>
        <w:rPr>
          <w:b w:val="0"/>
          <w:spacing w:val="-6"/>
        </w:rPr>
      </w:pPr>
      <w:bookmarkStart w:id="298" w:name="_Toc372740165"/>
      <w:r>
        <w:t xml:space="preserve">Figura </w:t>
      </w:r>
      <w:fldSimple w:instr=" SEQ Figura \* ARABIC ">
        <w:r w:rsidR="004F77E2">
          <w:rPr>
            <w:noProof/>
          </w:rPr>
          <w:t>82</w:t>
        </w:r>
      </w:fldSimple>
      <w:r>
        <w:t xml:space="preserve"> - </w:t>
      </w:r>
      <w:r w:rsidRPr="005D2933">
        <w:t>Unidade de Filtragem Lenta (Local: 24K 0257631 7841957 / Altitude: 179 m).</w:t>
      </w:r>
      <w:bookmarkEnd w:id="298"/>
    </w:p>
    <w:p w:rsidR="00E32574" w:rsidRDefault="00E32574" w:rsidP="008741DF">
      <w:pPr>
        <w:spacing w:after="0" w:line="240" w:lineRule="auto"/>
        <w:jc w:val="center"/>
        <w:rPr>
          <w:u w:val="single"/>
        </w:rPr>
      </w:pPr>
      <w:r w:rsidRPr="00B244CE">
        <w:rPr>
          <w:noProof/>
          <w:lang w:eastAsia="pt-BR"/>
        </w:rPr>
        <w:drawing>
          <wp:inline distT="0" distB="0" distL="0" distR="0" wp14:anchorId="12C6ED71" wp14:editId="748FCC02">
            <wp:extent cx="4322348" cy="3240000"/>
            <wp:effectExtent l="0" t="0" r="0" b="0"/>
            <wp:docPr id="94" name="Imagem 94" descr="Foto 7 - ETA de Tabaúna Ponto 171  -  Filtr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0" descr="Foto 7 - ETA de Tabaúna Ponto 171  -  Filtro 1.JP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322348" cy="3240000"/>
                    </a:xfrm>
                    <a:prstGeom prst="rect">
                      <a:avLst/>
                    </a:prstGeom>
                    <a:noFill/>
                    <a:ln>
                      <a:noFill/>
                    </a:ln>
                  </pic:spPr>
                </pic:pic>
              </a:graphicData>
            </a:graphic>
          </wp:inline>
        </w:drawing>
      </w:r>
    </w:p>
    <w:p w:rsidR="00E32574" w:rsidRDefault="00E32574" w:rsidP="00B244CE">
      <w:pPr>
        <w:pStyle w:val="Fonte"/>
        <w:ind w:firstLine="851"/>
        <w:rPr>
          <w:lang w:eastAsia="pt-BR"/>
        </w:rPr>
      </w:pPr>
      <w:r w:rsidRPr="00192C99">
        <w:rPr>
          <w:lang w:eastAsia="pt-BR"/>
        </w:rPr>
        <w:t>Fonte: Fundação Educacional de Caratinga - FUNEC, 2013</w:t>
      </w:r>
    </w:p>
    <w:p w:rsidR="00E32574" w:rsidRPr="008741DF" w:rsidRDefault="00892B00" w:rsidP="00892B00">
      <w:pPr>
        <w:pStyle w:val="Legenda"/>
        <w:rPr>
          <w:b w:val="0"/>
        </w:rPr>
      </w:pPr>
      <w:bookmarkStart w:id="299" w:name="_Toc372740166"/>
      <w:r>
        <w:lastRenderedPageBreak/>
        <w:t xml:space="preserve">Figura </w:t>
      </w:r>
      <w:fldSimple w:instr=" SEQ Figura \* ARABIC ">
        <w:r w:rsidR="004F77E2">
          <w:rPr>
            <w:noProof/>
          </w:rPr>
          <w:t>83</w:t>
        </w:r>
      </w:fldSimple>
      <w:r>
        <w:t xml:space="preserve"> - </w:t>
      </w:r>
      <w:r w:rsidRPr="00C66265">
        <w:rPr>
          <w:noProof/>
        </w:rPr>
        <w:t>Unidade de dosagem de Cloro e Flúor (Local: 24K 0257631 7841957 / Altitude: 179 m).</w:t>
      </w:r>
      <w:bookmarkEnd w:id="299"/>
    </w:p>
    <w:p w:rsidR="00E32574" w:rsidRDefault="00E32574" w:rsidP="00985BE4">
      <w:pPr>
        <w:spacing w:after="0" w:line="360" w:lineRule="auto"/>
        <w:jc w:val="center"/>
        <w:rPr>
          <w:u w:val="single"/>
        </w:rPr>
      </w:pPr>
      <w:r w:rsidRPr="00B244CE">
        <w:rPr>
          <w:noProof/>
          <w:lang w:eastAsia="pt-BR"/>
        </w:rPr>
        <w:drawing>
          <wp:inline distT="0" distB="0" distL="0" distR="0" wp14:anchorId="4B925F43" wp14:editId="495D74F7">
            <wp:extent cx="3203814" cy="4257446"/>
            <wp:effectExtent l="0" t="0" r="0" b="0"/>
            <wp:docPr id="93" name="Imagem 93" descr="Foto 9 - ETA de Tabaúna Ponto 171  -  Casa de Cloraç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1" descr="Foto 9 - ETA de Tabaúna Ponto 171  -  Casa de Cloração.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225355" cy="4286071"/>
                    </a:xfrm>
                    <a:prstGeom prst="rect">
                      <a:avLst/>
                    </a:prstGeom>
                    <a:noFill/>
                    <a:ln>
                      <a:noFill/>
                    </a:ln>
                  </pic:spPr>
                </pic:pic>
              </a:graphicData>
            </a:graphic>
          </wp:inline>
        </w:drawing>
      </w:r>
    </w:p>
    <w:p w:rsidR="00E32574" w:rsidRDefault="00E32574" w:rsidP="008741DF">
      <w:pPr>
        <w:pStyle w:val="Fonte"/>
        <w:ind w:left="1416" w:firstLine="285"/>
        <w:rPr>
          <w:lang w:eastAsia="pt-BR"/>
        </w:rPr>
      </w:pPr>
      <w:r w:rsidRPr="00192C99">
        <w:rPr>
          <w:lang w:eastAsia="pt-BR"/>
        </w:rPr>
        <w:t>Fonte: Fundação Educacional de Caratinga - FUNEC, 2013</w:t>
      </w:r>
    </w:p>
    <w:p w:rsidR="00E32574" w:rsidRPr="008741DF" w:rsidRDefault="00E32574" w:rsidP="008741DF">
      <w:pPr>
        <w:spacing w:after="0" w:line="360" w:lineRule="auto"/>
        <w:ind w:firstLine="709"/>
        <w:jc w:val="both"/>
        <w:rPr>
          <w:szCs w:val="24"/>
        </w:rPr>
      </w:pPr>
      <w:r w:rsidRPr="008741DF">
        <w:rPr>
          <w:szCs w:val="24"/>
        </w:rPr>
        <w:t xml:space="preserve">O sistema possui um reservatório com capacidade de 30 m³ de água tratada, localizado próxima a ETA (Figura </w:t>
      </w:r>
      <w:r w:rsidR="008741DF">
        <w:rPr>
          <w:szCs w:val="24"/>
        </w:rPr>
        <w:t>84</w:t>
      </w:r>
      <w:r w:rsidRPr="008741DF">
        <w:rPr>
          <w:szCs w:val="24"/>
        </w:rPr>
        <w:t>).</w:t>
      </w:r>
    </w:p>
    <w:p w:rsidR="00985BE4" w:rsidRDefault="00985BE4">
      <w:pPr>
        <w:spacing w:after="200" w:line="276" w:lineRule="auto"/>
        <w:rPr>
          <w:rFonts w:eastAsiaTheme="minorEastAsia" w:cs="Times New Roman"/>
          <w:bCs/>
          <w:color w:val="000000"/>
          <w:szCs w:val="24"/>
          <w:lang w:eastAsia="pt-BR"/>
        </w:rPr>
      </w:pPr>
      <w:r>
        <w:rPr>
          <w:color w:val="000000"/>
        </w:rPr>
        <w:br w:type="page"/>
      </w:r>
    </w:p>
    <w:p w:rsidR="00985BE4" w:rsidRPr="009D0B15" w:rsidRDefault="00892B00" w:rsidP="00892B00">
      <w:pPr>
        <w:pStyle w:val="Legenda"/>
      </w:pPr>
      <w:bookmarkStart w:id="300" w:name="_Toc372740167"/>
      <w:r>
        <w:lastRenderedPageBreak/>
        <w:t xml:space="preserve">Figura </w:t>
      </w:r>
      <w:fldSimple w:instr=" SEQ Figura \* ARABIC ">
        <w:r w:rsidR="004F77E2">
          <w:rPr>
            <w:noProof/>
          </w:rPr>
          <w:t>84</w:t>
        </w:r>
      </w:fldSimple>
      <w:r>
        <w:t xml:space="preserve"> - </w:t>
      </w:r>
      <w:r w:rsidRPr="005338D1">
        <w:rPr>
          <w:noProof/>
        </w:rPr>
        <w:t>Reservatório (Local: 24K 0257631 7841957 / Altitude: 179 m).</w:t>
      </w:r>
      <w:bookmarkEnd w:id="300"/>
    </w:p>
    <w:p w:rsidR="00E32574" w:rsidRDefault="00E32574" w:rsidP="008741DF">
      <w:pPr>
        <w:spacing w:after="0" w:line="240" w:lineRule="auto"/>
        <w:jc w:val="center"/>
        <w:rPr>
          <w:u w:val="single"/>
        </w:rPr>
      </w:pPr>
      <w:r w:rsidRPr="00B244CE">
        <w:rPr>
          <w:noProof/>
          <w:lang w:eastAsia="pt-BR"/>
        </w:rPr>
        <w:drawing>
          <wp:inline distT="0" distB="0" distL="0" distR="0" wp14:anchorId="215D0997" wp14:editId="0945A1E0">
            <wp:extent cx="4322349" cy="3240000"/>
            <wp:effectExtent l="0" t="0" r="0" b="0"/>
            <wp:docPr id="92" name="Imagem 92" descr="Foto 11 - ETA de Tabaúna Ponto 171 -  Reservatório 2 de 30.000 lit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2" descr="Foto 11 - ETA de Tabaúna Ponto 171 -  Reservatório 2 de 30.000 litros.JP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322349" cy="3240000"/>
                    </a:xfrm>
                    <a:prstGeom prst="rect">
                      <a:avLst/>
                    </a:prstGeom>
                    <a:noFill/>
                    <a:ln>
                      <a:noFill/>
                    </a:ln>
                  </pic:spPr>
                </pic:pic>
              </a:graphicData>
            </a:graphic>
          </wp:inline>
        </w:drawing>
      </w:r>
    </w:p>
    <w:p w:rsidR="00E32574" w:rsidRDefault="00E32574" w:rsidP="00985BE4">
      <w:pPr>
        <w:pStyle w:val="Fonte"/>
        <w:ind w:firstLine="708"/>
        <w:rPr>
          <w:lang w:eastAsia="pt-BR"/>
        </w:rPr>
      </w:pPr>
      <w:r w:rsidRPr="00192C99">
        <w:rPr>
          <w:lang w:eastAsia="pt-BR"/>
        </w:rPr>
        <w:t>Fonte: Fundação Educacional de Caratinga - FUNEC, 2013</w:t>
      </w:r>
    </w:p>
    <w:p w:rsidR="00E32574" w:rsidRDefault="00E32574" w:rsidP="008741DF">
      <w:pPr>
        <w:spacing w:after="0" w:line="360" w:lineRule="auto"/>
        <w:ind w:firstLine="709"/>
        <w:jc w:val="both"/>
      </w:pPr>
      <w:r w:rsidRPr="00265606">
        <w:t>A rede</w:t>
      </w:r>
      <w:r>
        <w:t xml:space="preserve"> de distribuição de água tratada é composta de tubos de PVC 60 mm, sendo necessário </w:t>
      </w:r>
      <w:r w:rsidRPr="00265606">
        <w:t>redimensionar a rede</w:t>
      </w:r>
      <w:r>
        <w:t xml:space="preserve"> para 110 mm.</w:t>
      </w:r>
    </w:p>
    <w:p w:rsidR="00E32574" w:rsidRPr="00A275C9" w:rsidRDefault="00EA1700" w:rsidP="00971B37">
      <w:pPr>
        <w:pStyle w:val="Titulo"/>
      </w:pPr>
      <w:bookmarkStart w:id="301" w:name="_Toc372559107"/>
      <w:bookmarkStart w:id="302" w:name="_Toc372789539"/>
      <w:r w:rsidRPr="00A275C9">
        <w:t>11.7.</w:t>
      </w:r>
      <w:r w:rsidR="005445E2">
        <w:t>8</w:t>
      </w:r>
      <w:r w:rsidRPr="00A275C9">
        <w:t xml:space="preserve"> </w:t>
      </w:r>
      <w:r w:rsidR="00E32574" w:rsidRPr="00A275C9">
        <w:t>Sistema Santo Antônio do Rio Doce</w:t>
      </w:r>
      <w:bookmarkEnd w:id="301"/>
      <w:bookmarkEnd w:id="302"/>
    </w:p>
    <w:p w:rsidR="00E32574" w:rsidRPr="008741DF" w:rsidRDefault="00E32574" w:rsidP="008741DF">
      <w:pPr>
        <w:spacing w:after="0" w:line="360" w:lineRule="auto"/>
        <w:ind w:firstLine="709"/>
        <w:jc w:val="both"/>
        <w:rPr>
          <w:szCs w:val="24"/>
        </w:rPr>
      </w:pPr>
      <w:r w:rsidRPr="00986448">
        <w:t xml:space="preserve">O Sistema localiza-se no distrito de Santo Antônio do Rio Doce, atendendo a </w:t>
      </w:r>
      <w:r w:rsidRPr="008741DF">
        <w:rPr>
          <w:szCs w:val="24"/>
        </w:rPr>
        <w:t xml:space="preserve">população urbana do distrito (Figura </w:t>
      </w:r>
      <w:r w:rsidR="008741DF">
        <w:rPr>
          <w:szCs w:val="24"/>
        </w:rPr>
        <w:t>85</w:t>
      </w:r>
      <w:r w:rsidRPr="008741DF">
        <w:rPr>
          <w:szCs w:val="24"/>
        </w:rPr>
        <w:t>).</w:t>
      </w:r>
    </w:p>
    <w:p w:rsidR="00985BE4" w:rsidRDefault="00985BE4">
      <w:pPr>
        <w:spacing w:after="200" w:line="276" w:lineRule="auto"/>
        <w:rPr>
          <w:rFonts w:eastAsiaTheme="minorEastAsia" w:cs="Times New Roman"/>
          <w:bCs/>
          <w:szCs w:val="24"/>
          <w:lang w:eastAsia="pt-BR"/>
        </w:rPr>
      </w:pPr>
      <w:r>
        <w:br w:type="page"/>
      </w:r>
    </w:p>
    <w:p w:rsidR="00985BE4" w:rsidRPr="009D0B15" w:rsidRDefault="00892B00" w:rsidP="00892B00">
      <w:pPr>
        <w:pStyle w:val="Legenda"/>
      </w:pPr>
      <w:bookmarkStart w:id="303" w:name="_Toc372740168"/>
      <w:r>
        <w:lastRenderedPageBreak/>
        <w:t xml:space="preserve">Figura </w:t>
      </w:r>
      <w:fldSimple w:instr=" SEQ Figura \* ARABIC ">
        <w:r w:rsidR="004F77E2">
          <w:rPr>
            <w:noProof/>
          </w:rPr>
          <w:t>85</w:t>
        </w:r>
      </w:fldSimple>
      <w:r>
        <w:t xml:space="preserve"> - </w:t>
      </w:r>
      <w:r w:rsidRPr="004A4C3D">
        <w:rPr>
          <w:noProof/>
        </w:rPr>
        <w:t>Estação de Tratamento de Água de Santo Antônio do Rio Doce (Local: 24 K 0288435 7842556/ Altitude: 110 m).</w:t>
      </w:r>
      <w:bookmarkEnd w:id="303"/>
    </w:p>
    <w:p w:rsidR="00E32574" w:rsidRDefault="00E32574" w:rsidP="008741DF">
      <w:pPr>
        <w:spacing w:after="0" w:line="240" w:lineRule="auto"/>
        <w:ind w:firstLine="709"/>
        <w:jc w:val="center"/>
      </w:pPr>
      <w:r>
        <w:rPr>
          <w:noProof/>
          <w:lang w:eastAsia="pt-BR"/>
        </w:rPr>
        <w:drawing>
          <wp:inline distT="0" distB="0" distL="0" distR="0" wp14:anchorId="4F5FD4CF" wp14:editId="2A73D926">
            <wp:extent cx="4873479" cy="3694176"/>
            <wp:effectExtent l="0" t="0" r="3810" b="1905"/>
            <wp:docPr id="91"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88133" cy="3705284"/>
                    </a:xfrm>
                    <a:prstGeom prst="rect">
                      <a:avLst/>
                    </a:prstGeom>
                    <a:noFill/>
                    <a:ln>
                      <a:noFill/>
                    </a:ln>
                  </pic:spPr>
                </pic:pic>
              </a:graphicData>
            </a:graphic>
          </wp:inline>
        </w:drawing>
      </w:r>
    </w:p>
    <w:p w:rsidR="00E32574" w:rsidRDefault="00E32574" w:rsidP="008741DF">
      <w:pPr>
        <w:pStyle w:val="Fonte"/>
        <w:spacing w:before="120" w:after="120"/>
        <w:ind w:left="709"/>
        <w:rPr>
          <w:lang w:eastAsia="pt-BR"/>
        </w:rPr>
      </w:pPr>
      <w:r w:rsidRPr="00192C99">
        <w:rPr>
          <w:lang w:eastAsia="pt-BR"/>
        </w:rPr>
        <w:t>Fonte: Fundação Educacional de Caratinga - FUNEC, 2013</w:t>
      </w:r>
    </w:p>
    <w:p w:rsidR="00E32574" w:rsidRPr="008741DF" w:rsidRDefault="00E32574" w:rsidP="008741DF">
      <w:pPr>
        <w:spacing w:after="0" w:line="360" w:lineRule="auto"/>
        <w:ind w:firstLine="709"/>
        <w:jc w:val="both"/>
        <w:rPr>
          <w:szCs w:val="24"/>
        </w:rPr>
      </w:pPr>
      <w:r w:rsidRPr="008741DF">
        <w:rPr>
          <w:szCs w:val="24"/>
        </w:rPr>
        <w:t xml:space="preserve">A captação é superficial no rio Doce (Figura </w:t>
      </w:r>
      <w:r w:rsidR="008741DF">
        <w:rPr>
          <w:szCs w:val="24"/>
        </w:rPr>
        <w:t>86</w:t>
      </w:r>
      <w:r w:rsidRPr="008741DF">
        <w:rPr>
          <w:szCs w:val="24"/>
        </w:rPr>
        <w:t>). A vazão é de aproximadamente 5,8 L.s</w:t>
      </w:r>
      <w:r w:rsidRPr="008741DF">
        <w:rPr>
          <w:szCs w:val="24"/>
          <w:vertAlign w:val="superscript"/>
        </w:rPr>
        <w:t>-1</w:t>
      </w:r>
      <w:r w:rsidRPr="008741DF">
        <w:rPr>
          <w:szCs w:val="24"/>
        </w:rPr>
        <w:t>. A captação está na margem do rio Doce antes da casa de força da Usina Hidrelétrica que faz a água não seja estável, com muito material sólido dificultando seu tratamento.</w:t>
      </w:r>
    </w:p>
    <w:p w:rsidR="00E32574" w:rsidRDefault="00E32574" w:rsidP="00E32574">
      <w:pPr>
        <w:spacing w:line="360" w:lineRule="auto"/>
        <w:jc w:val="both"/>
      </w:pPr>
    </w:p>
    <w:p w:rsidR="00985BE4" w:rsidRDefault="00985BE4">
      <w:pPr>
        <w:spacing w:after="200" w:line="276" w:lineRule="auto"/>
        <w:rPr>
          <w:rFonts w:eastAsiaTheme="minorEastAsia" w:cs="Times New Roman"/>
          <w:bCs/>
          <w:szCs w:val="24"/>
          <w:lang w:eastAsia="pt-BR"/>
        </w:rPr>
      </w:pPr>
      <w:r>
        <w:br w:type="page"/>
      </w:r>
    </w:p>
    <w:p w:rsidR="00985BE4" w:rsidRPr="008741DF" w:rsidRDefault="00892B00" w:rsidP="00892B00">
      <w:pPr>
        <w:pStyle w:val="Legenda"/>
        <w:rPr>
          <w:b w:val="0"/>
        </w:rPr>
      </w:pPr>
      <w:bookmarkStart w:id="304" w:name="_Toc372740169"/>
      <w:r>
        <w:lastRenderedPageBreak/>
        <w:t xml:space="preserve">Figura </w:t>
      </w:r>
      <w:fldSimple w:instr=" SEQ Figura \* ARABIC ">
        <w:r w:rsidR="004F77E2">
          <w:rPr>
            <w:noProof/>
          </w:rPr>
          <w:t>86</w:t>
        </w:r>
      </w:fldSimple>
      <w:r>
        <w:t xml:space="preserve"> - </w:t>
      </w:r>
      <w:r w:rsidRPr="004A4096">
        <w:rPr>
          <w:noProof/>
        </w:rPr>
        <w:t>Aspecto visual da captação de água bruta localizada no rio Doce (Local: 24K 0288330 7842085 / Altitude: 110 m).</w:t>
      </w:r>
      <w:bookmarkEnd w:id="304"/>
    </w:p>
    <w:p w:rsidR="00E32574" w:rsidRDefault="00E32574" w:rsidP="00985BE4">
      <w:pPr>
        <w:pStyle w:val="TituloFiguras"/>
        <w:jc w:val="center"/>
      </w:pPr>
      <w:r>
        <w:rPr>
          <w:noProof/>
        </w:rPr>
        <w:drawing>
          <wp:inline distT="0" distB="0" distL="0" distR="0" wp14:anchorId="395E5960" wp14:editId="73979828">
            <wp:extent cx="4281881" cy="3245735"/>
            <wp:effectExtent l="0" t="0" r="4445" b="0"/>
            <wp:docPr id="90"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283679" cy="3247098"/>
                    </a:xfrm>
                    <a:prstGeom prst="rect">
                      <a:avLst/>
                    </a:prstGeom>
                    <a:noFill/>
                    <a:ln>
                      <a:noFill/>
                    </a:ln>
                  </pic:spPr>
                </pic:pic>
              </a:graphicData>
            </a:graphic>
          </wp:inline>
        </w:drawing>
      </w:r>
    </w:p>
    <w:p w:rsidR="00E32574" w:rsidRDefault="0061354A" w:rsidP="0061354A">
      <w:pPr>
        <w:pStyle w:val="Fonte"/>
        <w:ind w:firstLine="708"/>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F10578" w:rsidRPr="00F10578" w:rsidRDefault="008741DF" w:rsidP="00F10578">
      <w:pPr>
        <w:spacing w:after="0" w:line="360" w:lineRule="auto"/>
        <w:ind w:firstLine="709"/>
        <w:jc w:val="both"/>
        <w:rPr>
          <w:szCs w:val="24"/>
        </w:rPr>
      </w:pPr>
      <w:r w:rsidRPr="00F10578">
        <w:rPr>
          <w:szCs w:val="24"/>
        </w:rPr>
        <w:t xml:space="preserve">A </w:t>
      </w:r>
      <w:r w:rsidR="00E32574" w:rsidRPr="00F10578">
        <w:rPr>
          <w:szCs w:val="24"/>
        </w:rPr>
        <w:t xml:space="preserve">adução </w:t>
      </w:r>
      <w:r w:rsidRPr="00F10578">
        <w:rPr>
          <w:szCs w:val="24"/>
        </w:rPr>
        <w:t xml:space="preserve">é realizada </w:t>
      </w:r>
      <w:r w:rsidR="00E32574" w:rsidRPr="00F10578">
        <w:rPr>
          <w:szCs w:val="24"/>
        </w:rPr>
        <w:t xml:space="preserve">por recalque </w:t>
      </w:r>
      <w:r w:rsidR="00F10578" w:rsidRPr="00F10578">
        <w:rPr>
          <w:szCs w:val="24"/>
        </w:rPr>
        <w:t xml:space="preserve">m comprimento </w:t>
      </w:r>
      <w:r w:rsidR="00E32574" w:rsidRPr="00F10578">
        <w:rPr>
          <w:szCs w:val="24"/>
        </w:rPr>
        <w:t>de aproximadamente 2.000 metros. Não foi informado o diâmetro da adutora.</w:t>
      </w:r>
    </w:p>
    <w:p w:rsidR="00E32574" w:rsidRDefault="00E32574" w:rsidP="00F10578">
      <w:pPr>
        <w:spacing w:after="0" w:line="360" w:lineRule="auto"/>
        <w:ind w:firstLine="709"/>
        <w:jc w:val="both"/>
      </w:pPr>
      <w:r w:rsidRPr="00F10578">
        <w:rPr>
          <w:szCs w:val="24"/>
        </w:rPr>
        <w:t xml:space="preserve">A água bruta chega passando pela casa de química (Figura </w:t>
      </w:r>
      <w:r w:rsidR="00F10578">
        <w:rPr>
          <w:szCs w:val="24"/>
        </w:rPr>
        <w:t>87</w:t>
      </w:r>
      <w:r w:rsidRPr="00F10578">
        <w:rPr>
          <w:szCs w:val="24"/>
        </w:rPr>
        <w:t xml:space="preserve">), local que se dosa e adiciona o sulfato de alumínio (100 kg por mês) (Figura </w:t>
      </w:r>
      <w:r w:rsidR="00F10578">
        <w:rPr>
          <w:szCs w:val="24"/>
        </w:rPr>
        <w:t>88</w:t>
      </w:r>
      <w:r w:rsidRPr="00F10578">
        <w:rPr>
          <w:szCs w:val="24"/>
        </w:rPr>
        <w:t xml:space="preserve">), assim seguindo para um floculador modelo </w:t>
      </w:r>
      <w:r w:rsidR="00F10578">
        <w:rPr>
          <w:szCs w:val="24"/>
        </w:rPr>
        <w:t>G</w:t>
      </w:r>
      <w:r w:rsidRPr="00F10578">
        <w:rPr>
          <w:szCs w:val="24"/>
        </w:rPr>
        <w:t xml:space="preserve">icana (Figura </w:t>
      </w:r>
      <w:r w:rsidR="00F10578">
        <w:rPr>
          <w:szCs w:val="24"/>
        </w:rPr>
        <w:t>89</w:t>
      </w:r>
      <w:r w:rsidRPr="00F10578">
        <w:rPr>
          <w:szCs w:val="24"/>
        </w:rPr>
        <w:t xml:space="preserve">), seguindo para dois decantadores independentes e assim seguindo para um filtro lento (Figuras </w:t>
      </w:r>
      <w:r w:rsidR="00F10578">
        <w:rPr>
          <w:szCs w:val="24"/>
        </w:rPr>
        <w:t>90</w:t>
      </w:r>
      <w:r w:rsidRPr="00F10578">
        <w:rPr>
          <w:szCs w:val="24"/>
        </w:rPr>
        <w:t>) (não se tem a vazão e a capacidade de nenhuma estrutura das ETA’s de Aimorés e distritos, exceto do reservatório), não há uma casa de cloração então o hipoclorito de cálcio granular (6 kg por mês) e o flúor (4 kg por mês), são adicionador na rede de bombeamento para o reservatório. A ETA foi construída em local baixo</w:t>
      </w:r>
      <w:r w:rsidRPr="002B213D">
        <w:t xml:space="preserve"> assim há uma parte da população que não é abastecida com pressão suficiente</w:t>
      </w:r>
      <w:r>
        <w:t xml:space="preserve">. </w:t>
      </w:r>
      <w:r w:rsidRPr="002B213D">
        <w:t xml:space="preserve">Necessita de se </w:t>
      </w:r>
      <w:r>
        <w:t>criar um sistema de macromedição</w:t>
      </w:r>
      <w:r w:rsidRPr="002B213D">
        <w:t>, pavimentar o pátio da ETA e substituir a bomba de captação.</w:t>
      </w:r>
    </w:p>
    <w:p w:rsidR="00F10578" w:rsidRDefault="00F10578">
      <w:pPr>
        <w:spacing w:after="200" w:line="276" w:lineRule="auto"/>
        <w:rPr>
          <w:rFonts w:eastAsiaTheme="minorEastAsia" w:cs="Times New Roman"/>
          <w:b/>
          <w:bCs/>
          <w:szCs w:val="24"/>
          <w:lang w:eastAsia="pt-BR"/>
        </w:rPr>
      </w:pPr>
      <w:bookmarkStart w:id="305" w:name="_Toc372117130"/>
      <w:r>
        <w:rPr>
          <w:b/>
        </w:rPr>
        <w:br w:type="page"/>
      </w:r>
    </w:p>
    <w:p w:rsidR="0061354A" w:rsidRPr="009D0B15" w:rsidRDefault="00892B00" w:rsidP="00892B00">
      <w:pPr>
        <w:pStyle w:val="Legenda"/>
      </w:pPr>
      <w:bookmarkStart w:id="306" w:name="_Toc372740170"/>
      <w:bookmarkEnd w:id="305"/>
      <w:r>
        <w:lastRenderedPageBreak/>
        <w:t xml:space="preserve">Figura </w:t>
      </w:r>
      <w:fldSimple w:instr=" SEQ Figura \* ARABIC ">
        <w:r w:rsidR="004F77E2">
          <w:rPr>
            <w:noProof/>
          </w:rPr>
          <w:t>87</w:t>
        </w:r>
      </w:fldSimple>
      <w:r>
        <w:t xml:space="preserve"> - </w:t>
      </w:r>
      <w:r w:rsidRPr="00202E6B">
        <w:rPr>
          <w:noProof/>
        </w:rPr>
        <w:t>Aspecto visual da entrada de água bruta na estação para tratamento (Local: 24K 0288435 7842556/ Altitude: 110 m).</w:t>
      </w:r>
      <w:bookmarkEnd w:id="306"/>
    </w:p>
    <w:p w:rsidR="00E32574" w:rsidRDefault="00E32574" w:rsidP="00F10578">
      <w:pPr>
        <w:spacing w:after="0"/>
        <w:jc w:val="center"/>
        <w:rPr>
          <w:u w:val="single"/>
        </w:rPr>
      </w:pPr>
      <w:r w:rsidRPr="00B244CE">
        <w:rPr>
          <w:noProof/>
          <w:lang w:eastAsia="pt-BR"/>
        </w:rPr>
        <w:drawing>
          <wp:inline distT="0" distB="0" distL="0" distR="0" wp14:anchorId="19B52008" wp14:editId="549AA327">
            <wp:extent cx="4248301" cy="3220279"/>
            <wp:effectExtent l="19050" t="0" r="0" b="0"/>
            <wp:docPr id="89"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269603" cy="3236427"/>
                    </a:xfrm>
                    <a:prstGeom prst="rect">
                      <a:avLst/>
                    </a:prstGeom>
                    <a:noFill/>
                    <a:ln>
                      <a:noFill/>
                    </a:ln>
                  </pic:spPr>
                </pic:pic>
              </a:graphicData>
            </a:graphic>
          </wp:inline>
        </w:drawing>
      </w:r>
    </w:p>
    <w:p w:rsidR="00E32574" w:rsidRDefault="00E32574" w:rsidP="00F10578">
      <w:pPr>
        <w:pStyle w:val="Fonte"/>
        <w:ind w:firstLine="851"/>
        <w:rPr>
          <w:lang w:eastAsia="pt-BR"/>
        </w:rPr>
      </w:pPr>
      <w:r w:rsidRPr="00192C99">
        <w:rPr>
          <w:lang w:eastAsia="pt-BR"/>
        </w:rPr>
        <w:t>Fonte: Fundação Educacional de Caratinga - FUNEC, 2013</w:t>
      </w:r>
      <w:r>
        <w:rPr>
          <w:lang w:eastAsia="pt-BR"/>
        </w:rPr>
        <w:t>.</w:t>
      </w:r>
    </w:p>
    <w:p w:rsidR="0061354A" w:rsidRPr="009D0B15" w:rsidRDefault="00892B00" w:rsidP="00892B00">
      <w:pPr>
        <w:pStyle w:val="Legenda"/>
      </w:pPr>
      <w:bookmarkStart w:id="307" w:name="_Toc372740171"/>
      <w:r>
        <w:t xml:space="preserve">Figura </w:t>
      </w:r>
      <w:fldSimple w:instr=" SEQ Figura \* ARABIC ">
        <w:r w:rsidR="004F77E2">
          <w:rPr>
            <w:noProof/>
          </w:rPr>
          <w:t>88</w:t>
        </w:r>
      </w:fldSimple>
      <w:r>
        <w:t xml:space="preserve"> - </w:t>
      </w:r>
      <w:r w:rsidRPr="00B17288">
        <w:rPr>
          <w:noProof/>
        </w:rPr>
        <w:t>Adição de Sulfato de Alumínio na água bruta (Local: 24K 0288435 7842556/ Altitude: 110 m).</w:t>
      </w:r>
      <w:bookmarkEnd w:id="307"/>
    </w:p>
    <w:p w:rsidR="00E32574" w:rsidRDefault="00E32574" w:rsidP="0061354A">
      <w:pPr>
        <w:spacing w:after="0"/>
        <w:jc w:val="center"/>
        <w:rPr>
          <w:u w:val="single"/>
        </w:rPr>
      </w:pPr>
      <w:r w:rsidRPr="00B244CE">
        <w:rPr>
          <w:noProof/>
          <w:lang w:eastAsia="pt-BR"/>
        </w:rPr>
        <w:drawing>
          <wp:inline distT="0" distB="0" distL="0" distR="0" wp14:anchorId="4B71FD9D" wp14:editId="6F1B3FD5">
            <wp:extent cx="4185360" cy="3172571"/>
            <wp:effectExtent l="19050" t="0" r="5640" b="0"/>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84510" cy="3171927"/>
                    </a:xfrm>
                    <a:prstGeom prst="rect">
                      <a:avLst/>
                    </a:prstGeom>
                    <a:noFill/>
                    <a:ln>
                      <a:noFill/>
                    </a:ln>
                  </pic:spPr>
                </pic:pic>
              </a:graphicData>
            </a:graphic>
          </wp:inline>
        </w:drawing>
      </w:r>
    </w:p>
    <w:p w:rsidR="00E32574" w:rsidRDefault="0061354A" w:rsidP="0061354A">
      <w:pPr>
        <w:pStyle w:val="Fonte"/>
        <w:ind w:left="708"/>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61354A" w:rsidRPr="009D0B15" w:rsidRDefault="00892B00" w:rsidP="00892B00">
      <w:pPr>
        <w:pStyle w:val="Legenda"/>
      </w:pPr>
      <w:bookmarkStart w:id="308" w:name="_Toc372740172"/>
      <w:r>
        <w:lastRenderedPageBreak/>
        <w:t xml:space="preserve">Figura </w:t>
      </w:r>
      <w:fldSimple w:instr=" SEQ Figura \* ARABIC ">
        <w:r w:rsidR="004F77E2">
          <w:rPr>
            <w:noProof/>
          </w:rPr>
          <w:t>89</w:t>
        </w:r>
      </w:fldSimple>
      <w:r>
        <w:t xml:space="preserve"> - </w:t>
      </w:r>
      <w:r w:rsidRPr="0000123D">
        <w:rPr>
          <w:noProof/>
        </w:rPr>
        <w:t>Floculador (Local: 24K 0288435 7842556/ Altitude: 110 m).</w:t>
      </w:r>
      <w:bookmarkEnd w:id="308"/>
    </w:p>
    <w:p w:rsidR="00E32574" w:rsidRDefault="00E32574" w:rsidP="00F10578">
      <w:pPr>
        <w:spacing w:after="0" w:line="360" w:lineRule="auto"/>
        <w:jc w:val="center"/>
        <w:rPr>
          <w:u w:val="single"/>
        </w:rPr>
      </w:pPr>
      <w:r w:rsidRPr="00B244CE">
        <w:rPr>
          <w:noProof/>
          <w:lang w:eastAsia="pt-BR"/>
        </w:rPr>
        <w:drawing>
          <wp:inline distT="0" distB="0" distL="0" distR="0" wp14:anchorId="036CB961" wp14:editId="7D108066">
            <wp:extent cx="4426621" cy="3355450"/>
            <wp:effectExtent l="19050" t="0" r="0" b="0"/>
            <wp:docPr id="87"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443502" cy="3368246"/>
                    </a:xfrm>
                    <a:prstGeom prst="rect">
                      <a:avLst/>
                    </a:prstGeom>
                    <a:noFill/>
                    <a:ln>
                      <a:noFill/>
                    </a:ln>
                  </pic:spPr>
                </pic:pic>
              </a:graphicData>
            </a:graphic>
          </wp:inline>
        </w:drawing>
      </w:r>
    </w:p>
    <w:p w:rsidR="00E32574" w:rsidRDefault="00E32574" w:rsidP="00F10578">
      <w:pPr>
        <w:tabs>
          <w:tab w:val="left" w:pos="993"/>
        </w:tabs>
        <w:ind w:left="709"/>
        <w:rPr>
          <w:sz w:val="20"/>
          <w:lang w:eastAsia="pt-BR"/>
        </w:rPr>
      </w:pPr>
      <w:r w:rsidRPr="00192C99">
        <w:rPr>
          <w:sz w:val="20"/>
          <w:lang w:eastAsia="pt-BR"/>
        </w:rPr>
        <w:t>Fonte: Fundação Educacional de Caratinga - FUNEC, 2013</w:t>
      </w:r>
      <w:r>
        <w:rPr>
          <w:sz w:val="20"/>
          <w:lang w:eastAsia="pt-BR"/>
        </w:rPr>
        <w:t>.</w:t>
      </w:r>
    </w:p>
    <w:p w:rsidR="00E32574" w:rsidRPr="009D0B15" w:rsidRDefault="00892B00" w:rsidP="00892B00">
      <w:pPr>
        <w:pStyle w:val="Legenda"/>
      </w:pPr>
      <w:bookmarkStart w:id="309" w:name="_Toc372740173"/>
      <w:r>
        <w:t xml:space="preserve">Figura </w:t>
      </w:r>
      <w:fldSimple w:instr=" SEQ Figura \* ARABIC ">
        <w:r w:rsidR="004F77E2">
          <w:rPr>
            <w:noProof/>
          </w:rPr>
          <w:t>90</w:t>
        </w:r>
      </w:fldSimple>
      <w:r>
        <w:t xml:space="preserve"> - </w:t>
      </w:r>
      <w:r w:rsidRPr="004D24B5">
        <w:rPr>
          <w:noProof/>
        </w:rPr>
        <w:t>Filtro (Local: 24K 0288435 7842556/ Altitude: 110 m).</w:t>
      </w:r>
      <w:bookmarkEnd w:id="309"/>
    </w:p>
    <w:p w:rsidR="00E32574" w:rsidRDefault="00E32574" w:rsidP="0061354A">
      <w:pPr>
        <w:spacing w:after="0" w:line="360" w:lineRule="auto"/>
        <w:jc w:val="center"/>
        <w:rPr>
          <w:u w:val="single"/>
        </w:rPr>
      </w:pPr>
      <w:r w:rsidRPr="00B244CE">
        <w:rPr>
          <w:noProof/>
          <w:lang w:eastAsia="pt-BR"/>
        </w:rPr>
        <w:drawing>
          <wp:inline distT="0" distB="0" distL="0" distR="0" wp14:anchorId="7D1AB1CD" wp14:editId="04240348">
            <wp:extent cx="4321728" cy="3275938"/>
            <wp:effectExtent l="19050" t="0" r="2622" b="0"/>
            <wp:docPr id="86"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332862" cy="3284378"/>
                    </a:xfrm>
                    <a:prstGeom prst="rect">
                      <a:avLst/>
                    </a:prstGeom>
                    <a:noFill/>
                    <a:ln>
                      <a:noFill/>
                    </a:ln>
                  </pic:spPr>
                </pic:pic>
              </a:graphicData>
            </a:graphic>
          </wp:inline>
        </w:drawing>
      </w:r>
    </w:p>
    <w:p w:rsidR="00E32574" w:rsidRDefault="0061354A" w:rsidP="0061354A">
      <w:pPr>
        <w:pStyle w:val="Fonte"/>
        <w:ind w:left="708"/>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E32574" w:rsidRPr="00F10578" w:rsidRDefault="00892B00" w:rsidP="00892B00">
      <w:pPr>
        <w:pStyle w:val="Legenda"/>
        <w:rPr>
          <w:b w:val="0"/>
        </w:rPr>
      </w:pPr>
      <w:bookmarkStart w:id="310" w:name="_Toc372740174"/>
      <w:r>
        <w:lastRenderedPageBreak/>
        <w:t xml:space="preserve">Figura </w:t>
      </w:r>
      <w:fldSimple w:instr=" SEQ Figura \* ARABIC ">
        <w:r w:rsidR="004F77E2">
          <w:rPr>
            <w:noProof/>
          </w:rPr>
          <w:t>91</w:t>
        </w:r>
      </w:fldSimple>
      <w:r>
        <w:t xml:space="preserve"> - </w:t>
      </w:r>
      <w:r w:rsidRPr="00D31BE6">
        <w:rPr>
          <w:noProof/>
        </w:rPr>
        <w:t>Filtro (Local: 24K 0288435 7842556/ Altitude: 110 m).</w:t>
      </w:r>
      <w:bookmarkEnd w:id="310"/>
    </w:p>
    <w:p w:rsidR="00E32574" w:rsidRDefault="00E32574" w:rsidP="00F10578">
      <w:pPr>
        <w:spacing w:after="0" w:line="360" w:lineRule="auto"/>
        <w:jc w:val="center"/>
        <w:rPr>
          <w:u w:val="single"/>
        </w:rPr>
      </w:pPr>
      <w:r w:rsidRPr="00B244CE">
        <w:rPr>
          <w:noProof/>
          <w:lang w:eastAsia="pt-BR"/>
        </w:rPr>
        <w:drawing>
          <wp:inline distT="0" distB="0" distL="0" distR="0" wp14:anchorId="749E93BB" wp14:editId="02965E14">
            <wp:extent cx="3289452" cy="4374490"/>
            <wp:effectExtent l="0" t="0" r="6350" b="7620"/>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292727" cy="4378845"/>
                    </a:xfrm>
                    <a:prstGeom prst="rect">
                      <a:avLst/>
                    </a:prstGeom>
                    <a:noFill/>
                    <a:ln>
                      <a:noFill/>
                    </a:ln>
                  </pic:spPr>
                </pic:pic>
              </a:graphicData>
            </a:graphic>
          </wp:inline>
        </w:drawing>
      </w:r>
    </w:p>
    <w:p w:rsidR="00E32574" w:rsidRDefault="0061354A" w:rsidP="00F10578">
      <w:pPr>
        <w:pStyle w:val="Fonte"/>
        <w:spacing w:line="360" w:lineRule="auto"/>
        <w:ind w:left="1418" w:firstLine="284"/>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E32574" w:rsidRDefault="00E32574" w:rsidP="00F10578">
      <w:pPr>
        <w:spacing w:after="0" w:line="360" w:lineRule="auto"/>
        <w:ind w:firstLine="709"/>
        <w:jc w:val="both"/>
        <w:rPr>
          <w:szCs w:val="24"/>
        </w:rPr>
      </w:pPr>
      <w:r w:rsidRPr="00F10578">
        <w:rPr>
          <w:szCs w:val="24"/>
        </w:rPr>
        <w:t xml:space="preserve">O sistema possui um reservatório com capacidade de 100 m³ de água tratada, localizado próxima a ETA. Está em construção um novo reservatório com capacidade de 25 m³ (Figura </w:t>
      </w:r>
      <w:r w:rsidR="00F10578">
        <w:rPr>
          <w:szCs w:val="24"/>
        </w:rPr>
        <w:t>92</w:t>
      </w:r>
      <w:r w:rsidRPr="00F10578">
        <w:rPr>
          <w:szCs w:val="24"/>
        </w:rPr>
        <w:t>).</w:t>
      </w:r>
    </w:p>
    <w:p w:rsidR="00F10578" w:rsidRPr="000C7BAA" w:rsidRDefault="00F10578" w:rsidP="00F10578">
      <w:pPr>
        <w:spacing w:after="0" w:line="360" w:lineRule="auto"/>
        <w:ind w:firstLine="709"/>
        <w:jc w:val="both"/>
      </w:pPr>
      <w:r w:rsidRPr="00265606">
        <w:t>A rede</w:t>
      </w:r>
      <w:r>
        <w:t xml:space="preserve"> de distribuição de água tratada é composta de tubos de PVC 60 mm, sendo necessário </w:t>
      </w:r>
      <w:r w:rsidRPr="00265606">
        <w:t>redimensionar a rede</w:t>
      </w:r>
      <w:r>
        <w:t xml:space="preserve"> para 110 mm. </w:t>
      </w:r>
    </w:p>
    <w:p w:rsidR="00F10578" w:rsidRDefault="00F10578">
      <w:pPr>
        <w:spacing w:after="200" w:line="276" w:lineRule="auto"/>
        <w:rPr>
          <w:rFonts w:eastAsiaTheme="minorEastAsia" w:cs="Times New Roman"/>
          <w:bCs/>
          <w:color w:val="000000"/>
          <w:szCs w:val="24"/>
          <w:lang w:eastAsia="pt-BR"/>
        </w:rPr>
      </w:pPr>
      <w:bookmarkStart w:id="311" w:name="_Toc372117135"/>
      <w:r>
        <w:rPr>
          <w:color w:val="000000"/>
        </w:rPr>
        <w:br w:type="page"/>
      </w:r>
    </w:p>
    <w:p w:rsidR="00E32574" w:rsidRPr="00F10578" w:rsidRDefault="00892B00" w:rsidP="00892B00">
      <w:pPr>
        <w:pStyle w:val="Legenda"/>
        <w:rPr>
          <w:b w:val="0"/>
        </w:rPr>
      </w:pPr>
      <w:bookmarkStart w:id="312" w:name="_Toc372740175"/>
      <w:bookmarkEnd w:id="311"/>
      <w:r>
        <w:lastRenderedPageBreak/>
        <w:t xml:space="preserve">Figura </w:t>
      </w:r>
      <w:fldSimple w:instr=" SEQ Figura \* ARABIC ">
        <w:r w:rsidR="004F77E2">
          <w:rPr>
            <w:noProof/>
          </w:rPr>
          <w:t>92</w:t>
        </w:r>
      </w:fldSimple>
      <w:r>
        <w:t xml:space="preserve"> - </w:t>
      </w:r>
      <w:r w:rsidRPr="00823D0A">
        <w:rPr>
          <w:noProof/>
        </w:rPr>
        <w:t>Reservatório (Local: 24K 0288435 7842556/ Altitude: 110 m).</w:t>
      </w:r>
      <w:bookmarkEnd w:id="312"/>
    </w:p>
    <w:p w:rsidR="0061354A" w:rsidRPr="009D0B15" w:rsidRDefault="0061354A" w:rsidP="0061354A">
      <w:pPr>
        <w:pStyle w:val="TituloFiguras"/>
      </w:pPr>
    </w:p>
    <w:p w:rsidR="00E32574" w:rsidRDefault="00E32574" w:rsidP="0061354A">
      <w:pPr>
        <w:spacing w:after="0" w:line="360" w:lineRule="auto"/>
        <w:jc w:val="center"/>
        <w:rPr>
          <w:u w:val="single"/>
        </w:rPr>
      </w:pPr>
      <w:r w:rsidRPr="00B244CE">
        <w:rPr>
          <w:noProof/>
          <w:lang w:eastAsia="pt-BR"/>
        </w:rPr>
        <w:drawing>
          <wp:inline distT="0" distB="0" distL="0" distR="0" wp14:anchorId="5DA3E388" wp14:editId="735CB012">
            <wp:extent cx="4237990" cy="3212465"/>
            <wp:effectExtent l="0" t="0" r="0" b="0"/>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237990" cy="3212465"/>
                    </a:xfrm>
                    <a:prstGeom prst="rect">
                      <a:avLst/>
                    </a:prstGeom>
                    <a:noFill/>
                    <a:ln>
                      <a:noFill/>
                    </a:ln>
                  </pic:spPr>
                </pic:pic>
              </a:graphicData>
            </a:graphic>
          </wp:inline>
        </w:drawing>
      </w:r>
    </w:p>
    <w:p w:rsidR="00E32574" w:rsidRDefault="0061354A" w:rsidP="0061354A">
      <w:pPr>
        <w:pStyle w:val="Fonte"/>
        <w:ind w:firstLine="708"/>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E32574" w:rsidRPr="00A275C9" w:rsidRDefault="00A275C9" w:rsidP="00971B37">
      <w:pPr>
        <w:pStyle w:val="Titulo"/>
      </w:pPr>
      <w:bookmarkStart w:id="313" w:name="_Toc372559108"/>
      <w:bookmarkStart w:id="314" w:name="_Toc372789540"/>
      <w:r>
        <w:t>11.7.</w:t>
      </w:r>
      <w:r w:rsidR="005445E2">
        <w:t>9</w:t>
      </w:r>
      <w:r w:rsidR="00EA1700" w:rsidRPr="00A275C9">
        <w:t xml:space="preserve"> </w:t>
      </w:r>
      <w:r w:rsidR="00E32574" w:rsidRPr="00A275C9">
        <w:t>Sistema Expedicionário Alicio</w:t>
      </w:r>
      <w:bookmarkEnd w:id="313"/>
      <w:bookmarkEnd w:id="314"/>
    </w:p>
    <w:p w:rsidR="00E32574" w:rsidRPr="00D91967" w:rsidRDefault="00E32574" w:rsidP="00EB3F0B">
      <w:pPr>
        <w:spacing w:after="0" w:line="360" w:lineRule="auto"/>
        <w:ind w:firstLine="709"/>
        <w:jc w:val="both"/>
      </w:pPr>
      <w:r w:rsidRPr="00D91967">
        <w:t>O Sistema localiza-se no distrito de Expedicionário Al</w:t>
      </w:r>
      <w:r w:rsidR="00EB3F0B">
        <w:t>i</w:t>
      </w:r>
      <w:r w:rsidRPr="00D91967">
        <w:t>cio e atende a população urbana do distrito e o córrego Vale dos Padres.</w:t>
      </w:r>
    </w:p>
    <w:p w:rsidR="00E32574" w:rsidRPr="00EB3F0B" w:rsidRDefault="00E32574" w:rsidP="00EB3F0B">
      <w:pPr>
        <w:spacing w:after="0" w:line="360" w:lineRule="auto"/>
        <w:ind w:firstLine="709"/>
        <w:jc w:val="both"/>
        <w:rPr>
          <w:szCs w:val="24"/>
        </w:rPr>
      </w:pPr>
      <w:r w:rsidRPr="00EB3F0B">
        <w:rPr>
          <w:szCs w:val="24"/>
        </w:rPr>
        <w:t xml:space="preserve">A captação é subterrânea constituída por dois poços artesianos (Figuras </w:t>
      </w:r>
      <w:r w:rsidR="00EB3F0B">
        <w:rPr>
          <w:szCs w:val="24"/>
        </w:rPr>
        <w:t>93</w:t>
      </w:r>
      <w:r w:rsidRPr="00EB3F0B">
        <w:rPr>
          <w:szCs w:val="24"/>
        </w:rPr>
        <w:t>). A vazão é de aproximadamente 2,5 L.s</w:t>
      </w:r>
      <w:r w:rsidRPr="00EB3F0B">
        <w:rPr>
          <w:szCs w:val="24"/>
          <w:vertAlign w:val="superscript"/>
        </w:rPr>
        <w:t>-1</w:t>
      </w:r>
      <w:r w:rsidRPr="00EB3F0B">
        <w:rPr>
          <w:szCs w:val="24"/>
        </w:rPr>
        <w:t>. O poço 1 possui uma profundidade de aproximadamente 15 metros, enquanto o poço 2 possui 40 metros. Necessita-se de estudos para um novo ponto de captação, já que o atual é de baixa qualidade.</w:t>
      </w:r>
    </w:p>
    <w:p w:rsidR="00EB3F0B" w:rsidRDefault="00EB3F0B">
      <w:pPr>
        <w:spacing w:after="200" w:line="276" w:lineRule="auto"/>
        <w:rPr>
          <w:rFonts w:eastAsiaTheme="minorEastAsia" w:cs="Times New Roman"/>
          <w:bCs/>
          <w:szCs w:val="24"/>
          <w:lang w:eastAsia="pt-BR"/>
        </w:rPr>
      </w:pPr>
      <w:bookmarkStart w:id="315" w:name="_Toc372117136"/>
      <w:r>
        <w:br w:type="page"/>
      </w:r>
    </w:p>
    <w:p w:rsidR="0061354A" w:rsidRPr="00CC6B84" w:rsidRDefault="00892B00" w:rsidP="00892B00">
      <w:pPr>
        <w:pStyle w:val="Legenda"/>
        <w:rPr>
          <w:sz w:val="28"/>
          <w:u w:val="single"/>
        </w:rPr>
      </w:pPr>
      <w:bookmarkStart w:id="316" w:name="_Toc372740176"/>
      <w:bookmarkEnd w:id="315"/>
      <w:r>
        <w:lastRenderedPageBreak/>
        <w:t xml:space="preserve">Figura </w:t>
      </w:r>
      <w:fldSimple w:instr=" SEQ Figura \* ARABIC ">
        <w:r w:rsidR="004F77E2">
          <w:rPr>
            <w:noProof/>
          </w:rPr>
          <w:t>93</w:t>
        </w:r>
      </w:fldSimple>
      <w:r>
        <w:t xml:space="preserve"> - </w:t>
      </w:r>
      <w:r w:rsidRPr="00DD12A0">
        <w:rPr>
          <w:noProof/>
        </w:rPr>
        <w:t>Aspecto visual do poço de captação 1 de água bruta (Local: 24K 0258917 7826208 / Altitude: 208 m).</w:t>
      </w:r>
      <w:bookmarkEnd w:id="316"/>
    </w:p>
    <w:p w:rsidR="00E32574" w:rsidRDefault="00E32574" w:rsidP="00E32574">
      <w:pPr>
        <w:jc w:val="center"/>
        <w:rPr>
          <w:u w:val="single"/>
        </w:rPr>
      </w:pPr>
      <w:r w:rsidRPr="00B244CE">
        <w:rPr>
          <w:noProof/>
          <w:lang w:eastAsia="pt-BR"/>
        </w:rPr>
        <w:drawing>
          <wp:inline distT="0" distB="0" distL="0" distR="0" wp14:anchorId="45DBA750" wp14:editId="16AE7CCF">
            <wp:extent cx="3113427" cy="4140403"/>
            <wp:effectExtent l="0" t="0" r="0" b="0"/>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124895" cy="4155654"/>
                    </a:xfrm>
                    <a:prstGeom prst="rect">
                      <a:avLst/>
                    </a:prstGeom>
                    <a:noFill/>
                    <a:ln>
                      <a:noFill/>
                    </a:ln>
                  </pic:spPr>
                </pic:pic>
              </a:graphicData>
            </a:graphic>
          </wp:inline>
        </w:drawing>
      </w:r>
    </w:p>
    <w:p w:rsidR="00E32574" w:rsidRDefault="00E32574" w:rsidP="00EB3F0B">
      <w:pPr>
        <w:pStyle w:val="Fonte"/>
        <w:ind w:left="1416" w:firstLine="427"/>
        <w:rPr>
          <w:lang w:eastAsia="pt-BR"/>
        </w:rPr>
      </w:pPr>
      <w:r w:rsidRPr="00192C99">
        <w:rPr>
          <w:lang w:eastAsia="pt-BR"/>
        </w:rPr>
        <w:t>Fonte: Fundação Educacional de Caratinga - FUNEC, 2013</w:t>
      </w:r>
    </w:p>
    <w:p w:rsidR="00E32574" w:rsidRPr="00EB3F0B" w:rsidRDefault="00EB3F0B" w:rsidP="00EB3F0B">
      <w:pPr>
        <w:spacing w:after="0" w:line="360" w:lineRule="auto"/>
        <w:ind w:firstLine="709"/>
        <w:jc w:val="both"/>
        <w:rPr>
          <w:szCs w:val="24"/>
        </w:rPr>
      </w:pPr>
      <w:r w:rsidRPr="00EB3F0B">
        <w:rPr>
          <w:szCs w:val="24"/>
        </w:rPr>
        <w:t xml:space="preserve">A </w:t>
      </w:r>
      <w:r w:rsidR="00E32574" w:rsidRPr="00EB3F0B">
        <w:rPr>
          <w:szCs w:val="24"/>
        </w:rPr>
        <w:t xml:space="preserve">adução </w:t>
      </w:r>
      <w:r w:rsidRPr="00EB3F0B">
        <w:rPr>
          <w:szCs w:val="24"/>
        </w:rPr>
        <w:t xml:space="preserve">é efetuada </w:t>
      </w:r>
      <w:r w:rsidR="00E32574" w:rsidRPr="00EB3F0B">
        <w:rPr>
          <w:szCs w:val="24"/>
        </w:rPr>
        <w:t xml:space="preserve">por recalque, sendo </w:t>
      </w:r>
      <w:r w:rsidRPr="00EB3F0B">
        <w:rPr>
          <w:szCs w:val="24"/>
        </w:rPr>
        <w:t xml:space="preserve">que </w:t>
      </w:r>
      <w:r w:rsidR="00E32574" w:rsidRPr="00EB3F0B">
        <w:rPr>
          <w:szCs w:val="24"/>
        </w:rPr>
        <w:t xml:space="preserve">a adutora do poço 1 é de aproximadamente 100 metros e do poço 2 aproximadamente 300 metros. A adutora é de PVC com 60 mm de diâmetro (Figura </w:t>
      </w:r>
      <w:r>
        <w:rPr>
          <w:szCs w:val="24"/>
        </w:rPr>
        <w:t>94</w:t>
      </w:r>
      <w:r w:rsidR="00E32574" w:rsidRPr="00EB3F0B">
        <w:rPr>
          <w:szCs w:val="24"/>
        </w:rPr>
        <w:t>). Há a necessidade de redimensionar a adutora para 110 mm para melhor atender o sistema.</w:t>
      </w:r>
    </w:p>
    <w:p w:rsidR="0061354A" w:rsidRDefault="0061354A">
      <w:pPr>
        <w:spacing w:after="200" w:line="276" w:lineRule="auto"/>
        <w:rPr>
          <w:rFonts w:eastAsiaTheme="minorEastAsia" w:cs="Times New Roman"/>
          <w:bCs/>
          <w:szCs w:val="24"/>
          <w:lang w:eastAsia="pt-BR"/>
        </w:rPr>
      </w:pPr>
      <w:r>
        <w:br w:type="page"/>
      </w:r>
    </w:p>
    <w:p w:rsidR="0061354A" w:rsidRPr="009D0B15" w:rsidRDefault="00892B00" w:rsidP="00892B00">
      <w:pPr>
        <w:pStyle w:val="Legenda"/>
      </w:pPr>
      <w:bookmarkStart w:id="317" w:name="_Toc372740177"/>
      <w:r>
        <w:lastRenderedPageBreak/>
        <w:t xml:space="preserve">Figura </w:t>
      </w:r>
      <w:fldSimple w:instr=" SEQ Figura \* ARABIC ">
        <w:r w:rsidR="004F77E2">
          <w:rPr>
            <w:noProof/>
          </w:rPr>
          <w:t>94</w:t>
        </w:r>
      </w:fldSimple>
      <w:r>
        <w:t xml:space="preserve"> - </w:t>
      </w:r>
      <w:r w:rsidRPr="00585226">
        <w:rPr>
          <w:noProof/>
        </w:rPr>
        <w:t>Aspecto visual da entrada de água bruta na estação de tratamento (Local: 24K 0259014 7826177 / Altitude: 233 m).</w:t>
      </w:r>
      <w:bookmarkEnd w:id="317"/>
    </w:p>
    <w:p w:rsidR="00E32574" w:rsidRDefault="00E32574" w:rsidP="00EB3F0B">
      <w:pPr>
        <w:spacing w:after="0" w:line="360" w:lineRule="auto"/>
        <w:jc w:val="center"/>
        <w:rPr>
          <w:u w:val="single"/>
        </w:rPr>
      </w:pPr>
      <w:r w:rsidRPr="00B244CE">
        <w:rPr>
          <w:noProof/>
          <w:lang w:eastAsia="pt-BR"/>
        </w:rPr>
        <w:drawing>
          <wp:inline distT="0" distB="0" distL="0" distR="0" wp14:anchorId="3EF6D562" wp14:editId="1E64F5AF">
            <wp:extent cx="4400607" cy="3335731"/>
            <wp:effectExtent l="0" t="0" r="0" b="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406334" cy="3340072"/>
                    </a:xfrm>
                    <a:prstGeom prst="rect">
                      <a:avLst/>
                    </a:prstGeom>
                    <a:noFill/>
                    <a:ln>
                      <a:noFill/>
                    </a:ln>
                  </pic:spPr>
                </pic:pic>
              </a:graphicData>
            </a:graphic>
          </wp:inline>
        </w:drawing>
      </w:r>
    </w:p>
    <w:p w:rsidR="00E32574" w:rsidRDefault="00F97D42" w:rsidP="00EB3F0B">
      <w:pPr>
        <w:pStyle w:val="Fonte"/>
        <w:spacing w:before="0"/>
        <w:ind w:left="709"/>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E32574" w:rsidRPr="00EB3F0B" w:rsidRDefault="00E32574" w:rsidP="00EB3F0B">
      <w:pPr>
        <w:spacing w:after="0" w:line="360" w:lineRule="auto"/>
        <w:ind w:firstLine="709"/>
        <w:jc w:val="both"/>
        <w:rPr>
          <w:szCs w:val="24"/>
        </w:rPr>
      </w:pPr>
      <w:r w:rsidRPr="00EB3F0B">
        <w:rPr>
          <w:szCs w:val="24"/>
        </w:rPr>
        <w:t xml:space="preserve">A água bruta chega passando por um floculador (apesar de não ter adição de sulfato de alumínio, assim sendo desnecessária a criação deste floculador) (Figura </w:t>
      </w:r>
      <w:r w:rsidR="00EB3F0B">
        <w:rPr>
          <w:szCs w:val="24"/>
        </w:rPr>
        <w:t>95</w:t>
      </w:r>
      <w:r w:rsidRPr="00EB3F0B">
        <w:rPr>
          <w:szCs w:val="24"/>
        </w:rPr>
        <w:t xml:space="preserve">) seguindo para um decantador (Figura </w:t>
      </w:r>
      <w:r w:rsidR="00EB3F0B">
        <w:rPr>
          <w:szCs w:val="24"/>
        </w:rPr>
        <w:t>96</w:t>
      </w:r>
      <w:r w:rsidRPr="00EB3F0B">
        <w:rPr>
          <w:szCs w:val="24"/>
        </w:rPr>
        <w:t xml:space="preserve">) e assim seguindo para um filtro (Figura </w:t>
      </w:r>
      <w:r w:rsidR="00EB3F0B">
        <w:rPr>
          <w:szCs w:val="24"/>
        </w:rPr>
        <w:t>97</w:t>
      </w:r>
      <w:r w:rsidRPr="00EB3F0B">
        <w:rPr>
          <w:szCs w:val="24"/>
        </w:rPr>
        <w:t xml:space="preserve">) (não se tem a vazão e a capacidade de nenhuma estrutura das ETA’s de Aimorés e distritos, exceto do reservatório), passando por uma caixa de passagem (Figura </w:t>
      </w:r>
      <w:r w:rsidR="00EB3F0B">
        <w:rPr>
          <w:szCs w:val="24"/>
        </w:rPr>
        <w:t>98</w:t>
      </w:r>
      <w:r w:rsidRPr="00EB3F0B">
        <w:rPr>
          <w:szCs w:val="24"/>
        </w:rPr>
        <w:t xml:space="preserve">) que transporta a água para ser adicionado hipoclorito de cálcio granular (3 kg por mês) e flúor (2 kg por mês), seguindo então para o reservatório (Figura </w:t>
      </w:r>
      <w:r w:rsidR="00EB3F0B">
        <w:rPr>
          <w:szCs w:val="24"/>
        </w:rPr>
        <w:t>99</w:t>
      </w:r>
      <w:r w:rsidRPr="00EB3F0B">
        <w:rPr>
          <w:szCs w:val="24"/>
        </w:rPr>
        <w:t>). As estruturas aparentam estar em boa condição. A análise na ETA é realizada mensalmente e no ponto de captação a cada 6 meses. Sistema de abastecimento insatisfatório, porque a água é de poço artesiano de baixa qualidade. Necessita-se de se criar um sistema de macromedição, melhorar o acesso, pavimentar o pátio e reformar/ampliar a ETA e substituir a bomba de captação.</w:t>
      </w:r>
    </w:p>
    <w:p w:rsidR="00EB3F0B" w:rsidRDefault="00EB3F0B">
      <w:pPr>
        <w:spacing w:after="200" w:line="276" w:lineRule="auto"/>
        <w:rPr>
          <w:rFonts w:eastAsiaTheme="minorEastAsia" w:cs="Times New Roman"/>
          <w:bCs/>
          <w:color w:val="000000"/>
          <w:szCs w:val="24"/>
          <w:lang w:eastAsia="pt-BR"/>
        </w:rPr>
      </w:pPr>
      <w:bookmarkStart w:id="318" w:name="_Toc372117139"/>
      <w:r>
        <w:rPr>
          <w:color w:val="000000"/>
        </w:rPr>
        <w:br w:type="page"/>
      </w:r>
    </w:p>
    <w:p w:rsidR="00F97D42" w:rsidRPr="009D0B15" w:rsidRDefault="00892B00" w:rsidP="00892B00">
      <w:pPr>
        <w:pStyle w:val="Legenda"/>
      </w:pPr>
      <w:bookmarkStart w:id="319" w:name="_Toc372740178"/>
      <w:bookmarkEnd w:id="318"/>
      <w:r>
        <w:lastRenderedPageBreak/>
        <w:t xml:space="preserve">Figura </w:t>
      </w:r>
      <w:fldSimple w:instr=" SEQ Figura \* ARABIC ">
        <w:r w:rsidR="004F77E2">
          <w:rPr>
            <w:noProof/>
          </w:rPr>
          <w:t>95</w:t>
        </w:r>
      </w:fldSimple>
      <w:r>
        <w:t xml:space="preserve"> - </w:t>
      </w:r>
      <w:r w:rsidRPr="00180560">
        <w:rPr>
          <w:noProof/>
        </w:rPr>
        <w:t>Floculador (Local: 24K 0259014 7826177 / Altitude: 233 m).</w:t>
      </w:r>
      <w:bookmarkEnd w:id="319"/>
    </w:p>
    <w:p w:rsidR="00E32574" w:rsidRDefault="00E32574" w:rsidP="00E32574">
      <w:pPr>
        <w:jc w:val="center"/>
        <w:rPr>
          <w:u w:val="single"/>
        </w:rPr>
      </w:pPr>
      <w:r w:rsidRPr="00B244CE">
        <w:rPr>
          <w:noProof/>
          <w:lang w:eastAsia="pt-BR"/>
        </w:rPr>
        <w:drawing>
          <wp:inline distT="0" distB="0" distL="0" distR="0" wp14:anchorId="2231EF53" wp14:editId="70B71831">
            <wp:extent cx="4362006" cy="3306471"/>
            <wp:effectExtent l="0" t="0" r="635" b="8255"/>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365908" cy="3309429"/>
                    </a:xfrm>
                    <a:prstGeom prst="rect">
                      <a:avLst/>
                    </a:prstGeom>
                    <a:noFill/>
                    <a:ln>
                      <a:noFill/>
                    </a:ln>
                  </pic:spPr>
                </pic:pic>
              </a:graphicData>
            </a:graphic>
          </wp:inline>
        </w:drawing>
      </w:r>
    </w:p>
    <w:p w:rsidR="00E32574" w:rsidRDefault="00E32574" w:rsidP="00E32574">
      <w:pPr>
        <w:tabs>
          <w:tab w:val="left" w:pos="851"/>
        </w:tabs>
        <w:ind w:left="851"/>
        <w:rPr>
          <w:sz w:val="20"/>
          <w:lang w:eastAsia="pt-BR"/>
        </w:rPr>
      </w:pPr>
      <w:r w:rsidRPr="00192C99">
        <w:rPr>
          <w:sz w:val="20"/>
          <w:lang w:eastAsia="pt-BR"/>
        </w:rPr>
        <w:t>Fonte: Fundação Educacional de Caratinga - FUNEC, 2013</w:t>
      </w:r>
    </w:p>
    <w:p w:rsidR="00F97D42" w:rsidRPr="009D0B15" w:rsidRDefault="00892B00" w:rsidP="00892B00">
      <w:pPr>
        <w:pStyle w:val="Legenda"/>
      </w:pPr>
      <w:bookmarkStart w:id="320" w:name="_Toc372740179"/>
      <w:r>
        <w:t xml:space="preserve">Figura </w:t>
      </w:r>
      <w:fldSimple w:instr=" SEQ Figura \* ARABIC ">
        <w:r w:rsidR="004F77E2">
          <w:rPr>
            <w:noProof/>
          </w:rPr>
          <w:t>96</w:t>
        </w:r>
      </w:fldSimple>
      <w:r>
        <w:t xml:space="preserve"> - </w:t>
      </w:r>
      <w:r w:rsidRPr="000824FE">
        <w:rPr>
          <w:noProof/>
        </w:rPr>
        <w:t>Decantador (Local: 24K 0259014 7826177 / Altitude: 233 m).</w:t>
      </w:r>
      <w:bookmarkEnd w:id="320"/>
    </w:p>
    <w:p w:rsidR="00E32574" w:rsidRDefault="00E32574" w:rsidP="00E32574">
      <w:pPr>
        <w:spacing w:line="360" w:lineRule="auto"/>
        <w:jc w:val="center"/>
        <w:rPr>
          <w:u w:val="single"/>
        </w:rPr>
      </w:pPr>
      <w:r w:rsidRPr="00B244CE">
        <w:rPr>
          <w:noProof/>
          <w:lang w:eastAsia="pt-BR"/>
        </w:rPr>
        <w:drawing>
          <wp:inline distT="0" distB="0" distL="0" distR="0" wp14:anchorId="3B281639" wp14:editId="0BE95D74">
            <wp:extent cx="4277801" cy="3242643"/>
            <wp:effectExtent l="19050" t="0" r="8449" b="0"/>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286095" cy="3248930"/>
                    </a:xfrm>
                    <a:prstGeom prst="rect">
                      <a:avLst/>
                    </a:prstGeom>
                    <a:noFill/>
                    <a:ln>
                      <a:noFill/>
                    </a:ln>
                  </pic:spPr>
                </pic:pic>
              </a:graphicData>
            </a:graphic>
          </wp:inline>
        </w:drawing>
      </w:r>
    </w:p>
    <w:p w:rsidR="00E32574" w:rsidRDefault="00E32574" w:rsidP="00E32574">
      <w:pPr>
        <w:tabs>
          <w:tab w:val="left" w:pos="851"/>
        </w:tabs>
        <w:ind w:left="851"/>
        <w:rPr>
          <w:sz w:val="20"/>
          <w:lang w:eastAsia="pt-BR"/>
        </w:rPr>
      </w:pPr>
      <w:r w:rsidRPr="00192C99">
        <w:rPr>
          <w:sz w:val="20"/>
          <w:lang w:eastAsia="pt-BR"/>
        </w:rPr>
        <w:t>Fonte: Fundação Educacional de Caratinga - FUNEC, 2013</w:t>
      </w:r>
    </w:p>
    <w:p w:rsidR="00F97D42" w:rsidRPr="009D0B15" w:rsidRDefault="00892B00" w:rsidP="00892B00">
      <w:pPr>
        <w:pStyle w:val="Legenda"/>
      </w:pPr>
      <w:bookmarkStart w:id="321" w:name="_Toc372740180"/>
      <w:r>
        <w:lastRenderedPageBreak/>
        <w:t xml:space="preserve">Figura </w:t>
      </w:r>
      <w:fldSimple w:instr=" SEQ Figura \* ARABIC ">
        <w:r w:rsidR="004F77E2">
          <w:rPr>
            <w:noProof/>
          </w:rPr>
          <w:t>97</w:t>
        </w:r>
      </w:fldSimple>
      <w:r>
        <w:t xml:space="preserve"> - </w:t>
      </w:r>
      <w:r w:rsidRPr="00112F9C">
        <w:rPr>
          <w:noProof/>
        </w:rPr>
        <w:t>Passagem do Floculador para o Decantador (Local: 24K 0259014 7826177 / Altitude: 233 m).</w:t>
      </w:r>
      <w:bookmarkEnd w:id="321"/>
    </w:p>
    <w:p w:rsidR="00E32574" w:rsidRDefault="00E32574" w:rsidP="00C77BF3">
      <w:pPr>
        <w:spacing w:after="0"/>
        <w:jc w:val="center"/>
        <w:rPr>
          <w:u w:val="single"/>
        </w:rPr>
      </w:pPr>
      <w:r w:rsidRPr="00B244CE">
        <w:rPr>
          <w:noProof/>
          <w:lang w:eastAsia="pt-BR"/>
        </w:rPr>
        <w:drawing>
          <wp:inline distT="0" distB="0" distL="0" distR="0" wp14:anchorId="12B2EF54" wp14:editId="7594283A">
            <wp:extent cx="4342705" cy="3291840"/>
            <wp:effectExtent l="19050" t="0" r="695" b="0"/>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355623" cy="3301632"/>
                    </a:xfrm>
                    <a:prstGeom prst="rect">
                      <a:avLst/>
                    </a:prstGeom>
                    <a:noFill/>
                    <a:ln>
                      <a:noFill/>
                    </a:ln>
                  </pic:spPr>
                </pic:pic>
              </a:graphicData>
            </a:graphic>
          </wp:inline>
        </w:drawing>
      </w:r>
    </w:p>
    <w:p w:rsidR="00E32574" w:rsidRDefault="00E32574" w:rsidP="00E32574">
      <w:pPr>
        <w:tabs>
          <w:tab w:val="left" w:pos="851"/>
        </w:tabs>
        <w:ind w:left="851"/>
        <w:rPr>
          <w:sz w:val="20"/>
          <w:lang w:eastAsia="pt-BR"/>
        </w:rPr>
      </w:pPr>
      <w:r w:rsidRPr="00192C99">
        <w:rPr>
          <w:sz w:val="20"/>
          <w:lang w:eastAsia="pt-BR"/>
        </w:rPr>
        <w:t>Fonte: Fundação Educacional de Caratinga - FUNEC, 2013</w:t>
      </w:r>
      <w:r>
        <w:rPr>
          <w:sz w:val="20"/>
          <w:lang w:eastAsia="pt-BR"/>
        </w:rPr>
        <w:t>.</w:t>
      </w:r>
    </w:p>
    <w:p w:rsidR="00E32574" w:rsidRPr="00075811" w:rsidRDefault="00892B00" w:rsidP="00892B00">
      <w:pPr>
        <w:pStyle w:val="Legenda"/>
        <w:rPr>
          <w:b w:val="0"/>
        </w:rPr>
      </w:pPr>
      <w:bookmarkStart w:id="322" w:name="_Toc372740181"/>
      <w:r>
        <w:t xml:space="preserve">Figura </w:t>
      </w:r>
      <w:fldSimple w:instr=" SEQ Figura \* ARABIC ">
        <w:r w:rsidR="004F77E2">
          <w:rPr>
            <w:noProof/>
          </w:rPr>
          <w:t>98</w:t>
        </w:r>
      </w:fldSimple>
      <w:r>
        <w:t xml:space="preserve"> - </w:t>
      </w:r>
      <w:r w:rsidRPr="005E51DC">
        <w:rPr>
          <w:noProof/>
        </w:rPr>
        <w:t>Sistema de Filtro (Local: 24K 0259014 7826177 / Altitude: 233 m).</w:t>
      </w:r>
      <w:bookmarkEnd w:id="322"/>
    </w:p>
    <w:p w:rsidR="00E32574" w:rsidRDefault="00E32574" w:rsidP="00F97D42">
      <w:pPr>
        <w:spacing w:after="0" w:line="360" w:lineRule="auto"/>
        <w:jc w:val="center"/>
        <w:rPr>
          <w:u w:val="single"/>
        </w:rPr>
      </w:pPr>
      <w:r w:rsidRPr="00B244CE">
        <w:rPr>
          <w:noProof/>
          <w:lang w:eastAsia="pt-BR"/>
        </w:rPr>
        <w:drawing>
          <wp:inline distT="0" distB="0" distL="0" distR="0" wp14:anchorId="4FD83A8C" wp14:editId="354AE1E7">
            <wp:extent cx="4279768" cy="3244132"/>
            <wp:effectExtent l="19050" t="0" r="6482" b="0"/>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286893" cy="3249533"/>
                    </a:xfrm>
                    <a:prstGeom prst="rect">
                      <a:avLst/>
                    </a:prstGeom>
                    <a:noFill/>
                    <a:ln>
                      <a:noFill/>
                    </a:ln>
                  </pic:spPr>
                </pic:pic>
              </a:graphicData>
            </a:graphic>
          </wp:inline>
        </w:drawing>
      </w:r>
    </w:p>
    <w:p w:rsidR="00E32574" w:rsidRDefault="00F97D42" w:rsidP="00C77BF3">
      <w:pPr>
        <w:pStyle w:val="Fonte"/>
        <w:spacing w:before="0"/>
        <w:ind w:left="709"/>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B244CE" w:rsidRDefault="00B244CE" w:rsidP="00C77BF3">
      <w:pPr>
        <w:pStyle w:val="Fonte"/>
        <w:spacing w:before="0"/>
        <w:ind w:left="709"/>
        <w:rPr>
          <w:lang w:eastAsia="pt-BR"/>
        </w:rPr>
      </w:pPr>
    </w:p>
    <w:p w:rsidR="00F97D42" w:rsidRPr="009D0B15" w:rsidRDefault="00291A25" w:rsidP="00291A25">
      <w:pPr>
        <w:pStyle w:val="Legenda"/>
      </w:pPr>
      <w:bookmarkStart w:id="323" w:name="_Toc372740182"/>
      <w:r>
        <w:lastRenderedPageBreak/>
        <w:t xml:space="preserve">Figura </w:t>
      </w:r>
      <w:fldSimple w:instr=" SEQ Figura \* ARABIC ">
        <w:r w:rsidR="004F77E2">
          <w:rPr>
            <w:noProof/>
          </w:rPr>
          <w:t>99</w:t>
        </w:r>
      </w:fldSimple>
      <w:r>
        <w:t xml:space="preserve"> - </w:t>
      </w:r>
      <w:r w:rsidRPr="003B651A">
        <w:rPr>
          <w:noProof/>
        </w:rPr>
        <w:t>Casa de Cloração (Local: 24K 0259014 7826177 / Altitude: 233 m).</w:t>
      </w:r>
      <w:bookmarkEnd w:id="323"/>
    </w:p>
    <w:p w:rsidR="00E32574" w:rsidRDefault="00E32574" w:rsidP="00075811">
      <w:pPr>
        <w:spacing w:after="0" w:line="360" w:lineRule="auto"/>
        <w:jc w:val="center"/>
        <w:rPr>
          <w:u w:val="single"/>
        </w:rPr>
      </w:pPr>
      <w:r w:rsidRPr="00B244CE">
        <w:rPr>
          <w:noProof/>
          <w:lang w:eastAsia="pt-BR"/>
        </w:rPr>
        <w:drawing>
          <wp:inline distT="0" distB="0" distL="0" distR="0" wp14:anchorId="14C93AFB" wp14:editId="06E85D6B">
            <wp:extent cx="4052018" cy="3071495"/>
            <wp:effectExtent l="19050" t="0" r="5632" b="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067849" cy="3083495"/>
                    </a:xfrm>
                    <a:prstGeom prst="rect">
                      <a:avLst/>
                    </a:prstGeom>
                    <a:noFill/>
                    <a:ln>
                      <a:noFill/>
                    </a:ln>
                  </pic:spPr>
                </pic:pic>
              </a:graphicData>
            </a:graphic>
          </wp:inline>
        </w:drawing>
      </w:r>
    </w:p>
    <w:p w:rsidR="00E32574" w:rsidRDefault="00F97D42" w:rsidP="00075811">
      <w:pPr>
        <w:pStyle w:val="Fonte"/>
        <w:spacing w:before="0"/>
        <w:ind w:firstLine="709"/>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E32574" w:rsidRPr="00075811" w:rsidRDefault="00E32574" w:rsidP="00075811">
      <w:pPr>
        <w:spacing w:after="0" w:line="360" w:lineRule="auto"/>
        <w:ind w:firstLine="709"/>
        <w:jc w:val="both"/>
        <w:rPr>
          <w:szCs w:val="24"/>
        </w:rPr>
      </w:pPr>
      <w:r w:rsidRPr="00075811">
        <w:rPr>
          <w:szCs w:val="24"/>
        </w:rPr>
        <w:t xml:space="preserve">O sistema </w:t>
      </w:r>
      <w:r w:rsidR="00075811" w:rsidRPr="00075811">
        <w:rPr>
          <w:szCs w:val="24"/>
        </w:rPr>
        <w:t xml:space="preserve">de reservatório </w:t>
      </w:r>
      <w:r w:rsidRPr="00075811">
        <w:rPr>
          <w:szCs w:val="24"/>
        </w:rPr>
        <w:t xml:space="preserve">possui um reservatório com capacidade de 30 m³ de água tratada, localizado próxima a ETA (Figura </w:t>
      </w:r>
      <w:r w:rsidR="00075811">
        <w:rPr>
          <w:szCs w:val="24"/>
        </w:rPr>
        <w:t>100</w:t>
      </w:r>
      <w:r w:rsidRPr="00075811">
        <w:rPr>
          <w:szCs w:val="24"/>
        </w:rPr>
        <w:t>).</w:t>
      </w:r>
    </w:p>
    <w:p w:rsidR="00E32574" w:rsidRPr="00075811" w:rsidRDefault="00291A25" w:rsidP="00291A25">
      <w:pPr>
        <w:pStyle w:val="Legenda"/>
        <w:rPr>
          <w:b w:val="0"/>
        </w:rPr>
      </w:pPr>
      <w:bookmarkStart w:id="324" w:name="_Toc372740183"/>
      <w:r>
        <w:t xml:space="preserve">Figura </w:t>
      </w:r>
      <w:fldSimple w:instr=" SEQ Figura \* ARABIC ">
        <w:r w:rsidR="004F77E2">
          <w:rPr>
            <w:noProof/>
          </w:rPr>
          <w:t>100</w:t>
        </w:r>
      </w:fldSimple>
      <w:r>
        <w:t xml:space="preserve"> - </w:t>
      </w:r>
      <w:r w:rsidRPr="00037AEA">
        <w:rPr>
          <w:noProof/>
        </w:rPr>
        <w:t>Reservatório (Local: 24K 0259014 7826177 / Altitude: 233 m).</w:t>
      </w:r>
      <w:bookmarkEnd w:id="324"/>
    </w:p>
    <w:p w:rsidR="00E32574" w:rsidRDefault="00E32574" w:rsidP="00075811">
      <w:pPr>
        <w:spacing w:after="0" w:line="360" w:lineRule="auto"/>
        <w:jc w:val="center"/>
        <w:rPr>
          <w:u w:val="single"/>
        </w:rPr>
      </w:pPr>
      <w:r w:rsidRPr="00B244CE">
        <w:rPr>
          <w:noProof/>
          <w:lang w:eastAsia="pt-BR"/>
        </w:rPr>
        <w:drawing>
          <wp:inline distT="0" distB="0" distL="0" distR="0" wp14:anchorId="1B54881F" wp14:editId="14F6D439">
            <wp:extent cx="4101442" cy="3108960"/>
            <wp:effectExtent l="19050" t="0" r="0" b="0"/>
            <wp:docPr id="75"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105760" cy="3112233"/>
                    </a:xfrm>
                    <a:prstGeom prst="rect">
                      <a:avLst/>
                    </a:prstGeom>
                    <a:noFill/>
                    <a:ln>
                      <a:noFill/>
                    </a:ln>
                  </pic:spPr>
                </pic:pic>
              </a:graphicData>
            </a:graphic>
          </wp:inline>
        </w:drawing>
      </w:r>
    </w:p>
    <w:p w:rsidR="00E32574" w:rsidRDefault="00F97D42" w:rsidP="00075811">
      <w:pPr>
        <w:pStyle w:val="Fonte"/>
        <w:spacing w:before="0" w:after="0"/>
        <w:ind w:left="709"/>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E32574" w:rsidRDefault="00E32574" w:rsidP="00075811">
      <w:pPr>
        <w:spacing w:after="0" w:line="360" w:lineRule="auto"/>
        <w:ind w:firstLine="709"/>
        <w:jc w:val="both"/>
        <w:rPr>
          <w:u w:val="single"/>
        </w:rPr>
      </w:pPr>
      <w:r>
        <w:lastRenderedPageBreak/>
        <w:t>A</w:t>
      </w:r>
      <w:r w:rsidRPr="00D91967">
        <w:t xml:space="preserve"> rede de distribuição é </w:t>
      </w:r>
      <w:r>
        <w:t xml:space="preserve">uma parte de </w:t>
      </w:r>
      <w:r w:rsidRPr="00D91967">
        <w:t>cimento amianto</w:t>
      </w:r>
      <w:r>
        <w:t xml:space="preserve">, outra </w:t>
      </w:r>
      <w:r w:rsidRPr="00D91967">
        <w:t>parte de PVC 60 mm</w:t>
      </w:r>
      <w:r>
        <w:t xml:space="preserve">, onde </w:t>
      </w:r>
      <w:r w:rsidRPr="00D91967">
        <w:t>deve-se redimensiona-la para 110mm</w:t>
      </w:r>
      <w:r>
        <w:t>.</w:t>
      </w:r>
    </w:p>
    <w:p w:rsidR="00E32574" w:rsidRPr="00A275C9" w:rsidRDefault="001F0A80" w:rsidP="00971B37">
      <w:pPr>
        <w:pStyle w:val="Titulo"/>
      </w:pPr>
      <w:bookmarkStart w:id="325" w:name="_Toc372559109"/>
      <w:bookmarkStart w:id="326" w:name="_Toc372789541"/>
      <w:r w:rsidRPr="00A275C9">
        <w:t>11.7.</w:t>
      </w:r>
      <w:r w:rsidR="005445E2">
        <w:t>10</w:t>
      </w:r>
      <w:r w:rsidRPr="00A275C9">
        <w:t xml:space="preserve"> </w:t>
      </w:r>
      <w:r w:rsidR="00E32574" w:rsidRPr="00A275C9">
        <w:t>Sistema Alto Capim</w:t>
      </w:r>
      <w:bookmarkEnd w:id="325"/>
      <w:bookmarkEnd w:id="326"/>
    </w:p>
    <w:p w:rsidR="00E32574" w:rsidRPr="00075811" w:rsidRDefault="00E32574" w:rsidP="00B70B31">
      <w:pPr>
        <w:spacing w:after="0" w:line="360" w:lineRule="auto"/>
        <w:ind w:firstLine="709"/>
        <w:jc w:val="both"/>
        <w:rPr>
          <w:b/>
          <w:bCs/>
          <w:szCs w:val="24"/>
        </w:rPr>
      </w:pPr>
      <w:r w:rsidRPr="00075811">
        <w:rPr>
          <w:szCs w:val="24"/>
        </w:rPr>
        <w:t>O Sistema localiza-se no distrito de Alto Capim e atende a população urbana do distrito e os córregos Córrego Machado, Córrego São Jerônimo e Camboapina.</w:t>
      </w:r>
    </w:p>
    <w:p w:rsidR="00E32574" w:rsidRPr="00075811" w:rsidRDefault="00E32574" w:rsidP="00B70B31">
      <w:pPr>
        <w:spacing w:after="0" w:line="360" w:lineRule="auto"/>
        <w:ind w:firstLine="709"/>
        <w:jc w:val="both"/>
        <w:rPr>
          <w:szCs w:val="24"/>
        </w:rPr>
      </w:pPr>
      <w:r w:rsidRPr="00075811">
        <w:rPr>
          <w:szCs w:val="24"/>
        </w:rPr>
        <w:t xml:space="preserve">A captação é superficial em uma nascente (Figuras </w:t>
      </w:r>
      <w:r w:rsidR="00075811">
        <w:rPr>
          <w:szCs w:val="24"/>
        </w:rPr>
        <w:t>101</w:t>
      </w:r>
      <w:r w:rsidRPr="00075811">
        <w:rPr>
          <w:szCs w:val="24"/>
        </w:rPr>
        <w:t>). A vazão é de aproximadamente 1 L.s</w:t>
      </w:r>
      <w:r w:rsidRPr="00075811">
        <w:rPr>
          <w:szCs w:val="24"/>
          <w:vertAlign w:val="superscript"/>
        </w:rPr>
        <w:t>-1</w:t>
      </w:r>
      <w:r w:rsidRPr="00075811">
        <w:rPr>
          <w:szCs w:val="24"/>
        </w:rPr>
        <w:t xml:space="preserve">. Caso venha faltar água na captação atual, há o córrego do Arrependido </w:t>
      </w:r>
      <w:r w:rsidR="00075811">
        <w:rPr>
          <w:szCs w:val="24"/>
        </w:rPr>
        <w:t xml:space="preserve">onde </w:t>
      </w:r>
      <w:r w:rsidRPr="00075811">
        <w:rPr>
          <w:szCs w:val="24"/>
        </w:rPr>
        <w:t>poderá ser feita a captação.</w:t>
      </w:r>
    </w:p>
    <w:p w:rsidR="00075811" w:rsidRPr="00075811" w:rsidRDefault="00B70B31" w:rsidP="00B70B31">
      <w:pPr>
        <w:spacing w:after="0" w:line="360" w:lineRule="auto"/>
        <w:ind w:firstLine="709"/>
        <w:jc w:val="both"/>
        <w:rPr>
          <w:szCs w:val="24"/>
        </w:rPr>
      </w:pPr>
      <w:r>
        <w:rPr>
          <w:szCs w:val="24"/>
        </w:rPr>
        <w:t xml:space="preserve">A </w:t>
      </w:r>
      <w:r w:rsidR="00075811" w:rsidRPr="00075811">
        <w:rPr>
          <w:szCs w:val="24"/>
        </w:rPr>
        <w:t xml:space="preserve">adução </w:t>
      </w:r>
      <w:r>
        <w:rPr>
          <w:szCs w:val="24"/>
        </w:rPr>
        <w:t xml:space="preserve">é executada </w:t>
      </w:r>
      <w:r w:rsidR="00075811" w:rsidRPr="00075811">
        <w:rPr>
          <w:szCs w:val="24"/>
        </w:rPr>
        <w:t xml:space="preserve">por gravidade </w:t>
      </w:r>
      <w:r>
        <w:rPr>
          <w:szCs w:val="24"/>
        </w:rPr>
        <w:t>com</w:t>
      </w:r>
      <w:r w:rsidR="00075811" w:rsidRPr="00075811">
        <w:rPr>
          <w:szCs w:val="24"/>
        </w:rPr>
        <w:t xml:space="preserve"> aproximadamente 30 metros</w:t>
      </w:r>
      <w:r>
        <w:rPr>
          <w:szCs w:val="24"/>
        </w:rPr>
        <w:t xml:space="preserve"> de comprimento</w:t>
      </w:r>
      <w:r w:rsidR="00075811" w:rsidRPr="00075811">
        <w:rPr>
          <w:szCs w:val="24"/>
        </w:rPr>
        <w:t>, sendo a adutora de PVC. Não foi informado o diâmetro da adutora.</w:t>
      </w:r>
    </w:p>
    <w:p w:rsidR="00075811" w:rsidRPr="00075811" w:rsidRDefault="00075811" w:rsidP="00B70B31">
      <w:pPr>
        <w:spacing w:after="0" w:line="360" w:lineRule="auto"/>
        <w:ind w:firstLine="709"/>
        <w:jc w:val="both"/>
        <w:rPr>
          <w:szCs w:val="24"/>
        </w:rPr>
      </w:pPr>
      <w:r w:rsidRPr="00075811">
        <w:rPr>
          <w:szCs w:val="24"/>
        </w:rPr>
        <w:t xml:space="preserve">A água bruta chega passando por um Aerador, seguindo para um filtro (não se tem a vazão e a capacidade de nenhuma estrutura da ETA de </w:t>
      </w:r>
      <w:r w:rsidR="00B70B31">
        <w:rPr>
          <w:szCs w:val="24"/>
        </w:rPr>
        <w:t>Lato Capim</w:t>
      </w:r>
      <w:r w:rsidRPr="00075811">
        <w:rPr>
          <w:szCs w:val="24"/>
        </w:rPr>
        <w:t>, exceto do reservatório), sendo transportada para ser adicionado hipoclorito de cálcio granular (1 kg por mês), seguindo então para o reservatório. Necessita-se de se criar um sistema de macromedição, melhorar o acesso e pavimentar o pátio da ETA e substituir a bomba de captação.</w:t>
      </w:r>
    </w:p>
    <w:p w:rsidR="00075811" w:rsidRPr="00075811" w:rsidRDefault="00075811" w:rsidP="00B70B31">
      <w:pPr>
        <w:spacing w:after="0" w:line="360" w:lineRule="auto"/>
        <w:ind w:firstLine="709"/>
        <w:jc w:val="both"/>
        <w:rPr>
          <w:szCs w:val="24"/>
          <w:u w:val="single"/>
        </w:rPr>
      </w:pPr>
      <w:r w:rsidRPr="00075811">
        <w:rPr>
          <w:szCs w:val="24"/>
        </w:rPr>
        <w:t>O sistema possui um reservatório com capacidade de 20 m³ de água tratada, localizado próxima a ETA.</w:t>
      </w:r>
    </w:p>
    <w:p w:rsidR="00075811" w:rsidRPr="00075811" w:rsidRDefault="00075811" w:rsidP="00B70B31">
      <w:pPr>
        <w:spacing w:after="0" w:line="360" w:lineRule="auto"/>
        <w:ind w:firstLine="709"/>
        <w:jc w:val="both"/>
        <w:rPr>
          <w:szCs w:val="24"/>
          <w:u w:val="single"/>
        </w:rPr>
      </w:pPr>
      <w:r w:rsidRPr="00075811">
        <w:rPr>
          <w:szCs w:val="24"/>
        </w:rPr>
        <w:t>A rede de distribuição de água tratada é composta de tubos de PVC. Não foi informado o diâmetro da tubulação.</w:t>
      </w:r>
    </w:p>
    <w:p w:rsidR="00C77BF3" w:rsidRDefault="00C77BF3">
      <w:pPr>
        <w:spacing w:after="200" w:line="276" w:lineRule="auto"/>
        <w:rPr>
          <w:rFonts w:eastAsia="Times New Roman" w:cs="Tahoma"/>
          <w:b/>
          <w:bCs/>
          <w:szCs w:val="20"/>
          <w:lang w:eastAsia="pt-BR"/>
        </w:rPr>
      </w:pPr>
      <w:bookmarkStart w:id="327" w:name="_Toc372740184"/>
      <w:r>
        <w:br w:type="page"/>
      </w:r>
    </w:p>
    <w:p w:rsidR="00075811" w:rsidRPr="00B70B31" w:rsidRDefault="00291A25" w:rsidP="00291A25">
      <w:pPr>
        <w:pStyle w:val="Legenda"/>
        <w:rPr>
          <w:b w:val="0"/>
          <w:color w:val="000000"/>
        </w:rPr>
      </w:pPr>
      <w:r>
        <w:lastRenderedPageBreak/>
        <w:t xml:space="preserve">Figura </w:t>
      </w:r>
      <w:fldSimple w:instr=" SEQ Figura \* ARABIC ">
        <w:r w:rsidR="004F77E2">
          <w:rPr>
            <w:noProof/>
          </w:rPr>
          <w:t>101</w:t>
        </w:r>
      </w:fldSimple>
      <w:r>
        <w:t xml:space="preserve"> - </w:t>
      </w:r>
      <w:r w:rsidRPr="000D7B5C">
        <w:rPr>
          <w:noProof/>
        </w:rPr>
        <w:t>Aspecto visual da captação de água bruta em nascente (Local: 24K 0265651 7801846 / Altitude: 499 m).</w:t>
      </w:r>
      <w:bookmarkEnd w:id="327"/>
    </w:p>
    <w:p w:rsidR="00B70B31" w:rsidRDefault="00B70B31" w:rsidP="00B70B31">
      <w:pPr>
        <w:spacing w:after="0"/>
        <w:jc w:val="center"/>
        <w:rPr>
          <w:u w:val="single"/>
        </w:rPr>
      </w:pPr>
      <w:r w:rsidRPr="00B244CE">
        <w:rPr>
          <w:noProof/>
          <w:lang w:eastAsia="pt-BR"/>
        </w:rPr>
        <w:drawing>
          <wp:inline distT="0" distB="0" distL="0" distR="0" wp14:anchorId="5C3842B5" wp14:editId="7563F5D6">
            <wp:extent cx="4313750" cy="3269894"/>
            <wp:effectExtent l="0" t="0" r="0" b="6985"/>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317415" cy="3272672"/>
                    </a:xfrm>
                    <a:prstGeom prst="rect">
                      <a:avLst/>
                    </a:prstGeom>
                    <a:noFill/>
                    <a:ln>
                      <a:noFill/>
                    </a:ln>
                  </pic:spPr>
                </pic:pic>
              </a:graphicData>
            </a:graphic>
          </wp:inline>
        </w:drawing>
      </w:r>
    </w:p>
    <w:p w:rsidR="00B70B31" w:rsidRDefault="00B70B31" w:rsidP="00B70B31">
      <w:pPr>
        <w:pStyle w:val="Fonte"/>
        <w:ind w:left="708"/>
        <w:rPr>
          <w:lang w:eastAsia="pt-BR"/>
        </w:rPr>
      </w:pPr>
      <w:r>
        <w:rPr>
          <w:lang w:eastAsia="pt-BR"/>
        </w:rPr>
        <w:t xml:space="preserve">  </w:t>
      </w:r>
      <w:r w:rsidRPr="00192C99">
        <w:rPr>
          <w:lang w:eastAsia="pt-BR"/>
        </w:rPr>
        <w:t>Fonte: Fundação Educacional de Caratinga - FUNEC, 2013</w:t>
      </w:r>
      <w:r>
        <w:rPr>
          <w:lang w:eastAsia="pt-BR"/>
        </w:rPr>
        <w:t>.</w:t>
      </w:r>
    </w:p>
    <w:p w:rsidR="00E32574" w:rsidRPr="00A275C9" w:rsidRDefault="00A275C9" w:rsidP="00971B37">
      <w:pPr>
        <w:pStyle w:val="Titulo"/>
      </w:pPr>
      <w:bookmarkStart w:id="328" w:name="_Toc372559110"/>
      <w:bookmarkStart w:id="329" w:name="_Toc372789542"/>
      <w:r>
        <w:t>11.7.</w:t>
      </w:r>
      <w:r w:rsidR="005445E2">
        <w:t>11</w:t>
      </w:r>
      <w:r w:rsidR="00C82D86" w:rsidRPr="00A275C9">
        <w:t xml:space="preserve"> </w:t>
      </w:r>
      <w:r w:rsidR="00E32574" w:rsidRPr="00A275C9">
        <w:t>Sistema São João do Capim</w:t>
      </w:r>
      <w:bookmarkEnd w:id="328"/>
      <w:bookmarkEnd w:id="329"/>
    </w:p>
    <w:p w:rsidR="00E32574" w:rsidRPr="0079719B" w:rsidRDefault="00E32574" w:rsidP="00B70B31">
      <w:pPr>
        <w:spacing w:after="0" w:line="360" w:lineRule="auto"/>
        <w:ind w:firstLine="709"/>
        <w:jc w:val="both"/>
        <w:rPr>
          <w:b/>
          <w:bCs/>
          <w:szCs w:val="24"/>
        </w:rPr>
      </w:pPr>
      <w:r w:rsidRPr="00D91967">
        <w:t xml:space="preserve">O Sistema localiza-se no </w:t>
      </w:r>
      <w:r>
        <w:t>povoado</w:t>
      </w:r>
      <w:r w:rsidRPr="00D91967">
        <w:t xml:space="preserve"> de </w:t>
      </w:r>
      <w:r>
        <w:t>São João do Capim</w:t>
      </w:r>
      <w:r w:rsidRPr="00D91967">
        <w:t xml:space="preserve"> e atende a população </w:t>
      </w:r>
      <w:r>
        <w:t>do povoado.</w:t>
      </w:r>
    </w:p>
    <w:p w:rsidR="00E32574" w:rsidRDefault="00E32574" w:rsidP="00B70B31">
      <w:pPr>
        <w:spacing w:after="0" w:line="360" w:lineRule="auto"/>
        <w:ind w:firstLine="709"/>
        <w:jc w:val="both"/>
      </w:pPr>
      <w:r w:rsidRPr="00B70B31">
        <w:rPr>
          <w:szCs w:val="24"/>
        </w:rPr>
        <w:t xml:space="preserve">A captação é subterrânea por meio de um poço artesiano de 30 metros de profundidade (Figura </w:t>
      </w:r>
      <w:r w:rsidR="00B70B31">
        <w:rPr>
          <w:szCs w:val="24"/>
        </w:rPr>
        <w:t>102</w:t>
      </w:r>
      <w:r w:rsidRPr="00B70B31">
        <w:rPr>
          <w:szCs w:val="24"/>
        </w:rPr>
        <w:t>).</w:t>
      </w:r>
      <w:r w:rsidRPr="00D723B1">
        <w:t xml:space="preserve"> A vazão é de aproximadamente 0,5 L.s</w:t>
      </w:r>
      <w:r w:rsidRPr="00D723B1">
        <w:rPr>
          <w:vertAlign w:val="superscript"/>
        </w:rPr>
        <w:t>-1</w:t>
      </w:r>
      <w:r w:rsidRPr="00D723B1">
        <w:t>.</w:t>
      </w:r>
    </w:p>
    <w:p w:rsidR="00B70B31" w:rsidRDefault="00B70B31">
      <w:pPr>
        <w:spacing w:after="200" w:line="276" w:lineRule="auto"/>
        <w:rPr>
          <w:rFonts w:eastAsiaTheme="minorEastAsia" w:cs="Times New Roman"/>
          <w:b/>
          <w:bCs/>
          <w:szCs w:val="24"/>
          <w:lang w:eastAsia="pt-BR"/>
        </w:rPr>
      </w:pPr>
      <w:bookmarkStart w:id="330" w:name="_Toc372117151"/>
      <w:r>
        <w:rPr>
          <w:b/>
        </w:rPr>
        <w:br w:type="page"/>
      </w:r>
    </w:p>
    <w:p w:rsidR="00F878F3" w:rsidRPr="009D0B15" w:rsidRDefault="00291A25" w:rsidP="00291A25">
      <w:pPr>
        <w:pStyle w:val="Legenda"/>
      </w:pPr>
      <w:bookmarkStart w:id="331" w:name="_Toc372740185"/>
      <w:bookmarkEnd w:id="330"/>
      <w:r>
        <w:lastRenderedPageBreak/>
        <w:t xml:space="preserve">Figura </w:t>
      </w:r>
      <w:fldSimple w:instr=" SEQ Figura \* ARABIC ">
        <w:r w:rsidR="004F77E2">
          <w:rPr>
            <w:noProof/>
          </w:rPr>
          <w:t>102</w:t>
        </w:r>
      </w:fldSimple>
      <w:r>
        <w:t xml:space="preserve"> - </w:t>
      </w:r>
      <w:r w:rsidRPr="00B603C7">
        <w:rPr>
          <w:noProof/>
        </w:rPr>
        <w:t>Aspecto visual da estrutura de captação de água bruta realizado por meio de poço artesiano (Local: 24K 0264566 7818014 / Altitude: 211 m).</w:t>
      </w:r>
      <w:bookmarkEnd w:id="331"/>
    </w:p>
    <w:p w:rsidR="00E32574" w:rsidRDefault="00E32574" w:rsidP="00E32574">
      <w:pPr>
        <w:jc w:val="center"/>
        <w:rPr>
          <w:u w:val="single"/>
        </w:rPr>
      </w:pPr>
      <w:r w:rsidRPr="00B244CE">
        <w:rPr>
          <w:noProof/>
          <w:lang w:eastAsia="pt-BR"/>
        </w:rPr>
        <w:drawing>
          <wp:inline distT="0" distB="0" distL="0" distR="0" wp14:anchorId="16DB1C03" wp14:editId="6ECE6FEF">
            <wp:extent cx="2931903" cy="3899002"/>
            <wp:effectExtent l="0" t="0" r="1905" b="6350"/>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938981" cy="3908415"/>
                    </a:xfrm>
                    <a:prstGeom prst="rect">
                      <a:avLst/>
                    </a:prstGeom>
                    <a:noFill/>
                    <a:ln>
                      <a:noFill/>
                    </a:ln>
                  </pic:spPr>
                </pic:pic>
              </a:graphicData>
            </a:graphic>
          </wp:inline>
        </w:drawing>
      </w:r>
    </w:p>
    <w:p w:rsidR="00E32574" w:rsidRDefault="00F878F3" w:rsidP="00B70B31">
      <w:pPr>
        <w:pStyle w:val="Fonte"/>
        <w:ind w:left="1416" w:firstLine="427"/>
        <w:rPr>
          <w:lang w:eastAsia="pt-BR"/>
        </w:rPr>
      </w:pPr>
      <w:r>
        <w:rPr>
          <w:lang w:eastAsia="pt-BR"/>
        </w:rPr>
        <w:t xml:space="preserve">  </w:t>
      </w:r>
      <w:r w:rsidR="00E32574" w:rsidRPr="00192C99">
        <w:rPr>
          <w:lang w:eastAsia="pt-BR"/>
        </w:rPr>
        <w:t>Fonte: Fundação Educacional de Caratinga - FUNEC, 2013</w:t>
      </w:r>
    </w:p>
    <w:p w:rsidR="00E32574" w:rsidRDefault="00B70B31" w:rsidP="00B70B31">
      <w:pPr>
        <w:spacing w:after="0" w:line="360" w:lineRule="auto"/>
        <w:ind w:firstLine="709"/>
        <w:jc w:val="both"/>
      </w:pPr>
      <w:r>
        <w:t xml:space="preserve">A </w:t>
      </w:r>
      <w:r w:rsidR="00E32574" w:rsidRPr="005A2B0B">
        <w:t xml:space="preserve">adução </w:t>
      </w:r>
      <w:r>
        <w:t xml:space="preserve">é realizada </w:t>
      </w:r>
      <w:r w:rsidR="00E32574" w:rsidRPr="005A2B0B">
        <w:t>p</w:t>
      </w:r>
      <w:r w:rsidR="00E32574">
        <w:t>or recalque de aproximadamente 3</w:t>
      </w:r>
      <w:r w:rsidR="00E32574" w:rsidRPr="005A2B0B">
        <w:t>00 metros, sendo a adutora de PVC</w:t>
      </w:r>
      <w:r w:rsidR="00E32574">
        <w:t>. Não foi informado o diâmetro da tubulação.</w:t>
      </w:r>
      <w:r w:rsidR="00E32574" w:rsidRPr="005A2B0B">
        <w:t xml:space="preserve"> </w:t>
      </w:r>
    </w:p>
    <w:p w:rsidR="00E32574" w:rsidRPr="00B70B31" w:rsidRDefault="00E32574" w:rsidP="00B70B31">
      <w:pPr>
        <w:spacing w:after="0" w:line="360" w:lineRule="auto"/>
        <w:ind w:firstLine="709"/>
        <w:jc w:val="both"/>
        <w:rPr>
          <w:szCs w:val="24"/>
        </w:rPr>
      </w:pPr>
      <w:r w:rsidRPr="00B70B31">
        <w:rPr>
          <w:szCs w:val="24"/>
        </w:rPr>
        <w:t xml:space="preserve">A água bruta chega passando por um Aerador, seguindo para um filtro (não se tem a vazão e a capacidade de nenhuma estrutura das ETA’s de Aimorés e distritos, exceto do reservatório), sendo transportada para ser adicionado hipoclorito de cálcio granular (0,5 kg por mês), seguindo então para o reservatório (Figura </w:t>
      </w:r>
      <w:r w:rsidR="00B70B31">
        <w:rPr>
          <w:szCs w:val="24"/>
        </w:rPr>
        <w:t>103</w:t>
      </w:r>
      <w:r w:rsidRPr="00B70B31">
        <w:rPr>
          <w:szCs w:val="24"/>
        </w:rPr>
        <w:t>). A análise é realizada na ETA mensalmente e no ponto de captação a cada 6 meses</w:t>
      </w:r>
    </w:p>
    <w:p w:rsidR="00E32574" w:rsidRDefault="00E32574" w:rsidP="00E32574">
      <w:pPr>
        <w:spacing w:line="360" w:lineRule="auto"/>
        <w:jc w:val="both"/>
      </w:pPr>
    </w:p>
    <w:p w:rsidR="00F878F3" w:rsidRDefault="00F878F3">
      <w:pPr>
        <w:spacing w:after="200" w:line="276" w:lineRule="auto"/>
        <w:rPr>
          <w:rFonts w:eastAsiaTheme="minorEastAsia" w:cs="Times New Roman"/>
          <w:bCs/>
          <w:szCs w:val="24"/>
          <w:lang w:eastAsia="pt-BR"/>
        </w:rPr>
      </w:pPr>
      <w:r>
        <w:br w:type="page"/>
      </w:r>
    </w:p>
    <w:p w:rsidR="00F878F3" w:rsidRPr="009D0B15" w:rsidRDefault="00291A25" w:rsidP="00291A25">
      <w:pPr>
        <w:pStyle w:val="Legenda"/>
      </w:pPr>
      <w:bookmarkStart w:id="332" w:name="_Toc372740186"/>
      <w:r>
        <w:lastRenderedPageBreak/>
        <w:t xml:space="preserve">Figura </w:t>
      </w:r>
      <w:fldSimple w:instr=" SEQ Figura \* ARABIC ">
        <w:r w:rsidR="004F77E2">
          <w:rPr>
            <w:noProof/>
          </w:rPr>
          <w:t>103</w:t>
        </w:r>
      </w:fldSimple>
      <w:r>
        <w:t xml:space="preserve"> - </w:t>
      </w:r>
      <w:r w:rsidRPr="0082519D">
        <w:rPr>
          <w:noProof/>
        </w:rPr>
        <w:t>Estação de Tratamento de Água (Local: 24K 0264463 7817859/ Altitude: 206 m).</w:t>
      </w:r>
      <w:bookmarkEnd w:id="332"/>
    </w:p>
    <w:p w:rsidR="00E32574" w:rsidRDefault="00E32574" w:rsidP="00333B19">
      <w:pPr>
        <w:spacing w:after="0" w:line="360" w:lineRule="auto"/>
        <w:jc w:val="center"/>
        <w:rPr>
          <w:u w:val="single"/>
        </w:rPr>
      </w:pPr>
      <w:r w:rsidRPr="00B244CE">
        <w:rPr>
          <w:noProof/>
          <w:lang w:eastAsia="pt-BR"/>
        </w:rPr>
        <w:drawing>
          <wp:inline distT="0" distB="0" distL="0" distR="0" wp14:anchorId="00A923A8" wp14:editId="73C99302">
            <wp:extent cx="3776869" cy="2862929"/>
            <wp:effectExtent l="19050" t="0" r="0" b="0"/>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804817" cy="2884114"/>
                    </a:xfrm>
                    <a:prstGeom prst="rect">
                      <a:avLst/>
                    </a:prstGeom>
                    <a:noFill/>
                    <a:ln>
                      <a:noFill/>
                    </a:ln>
                  </pic:spPr>
                </pic:pic>
              </a:graphicData>
            </a:graphic>
          </wp:inline>
        </w:drawing>
      </w:r>
    </w:p>
    <w:p w:rsidR="00E32574" w:rsidRDefault="00E32574" w:rsidP="00333B19">
      <w:pPr>
        <w:pStyle w:val="Fonte"/>
        <w:spacing w:before="0"/>
        <w:ind w:firstLine="1276"/>
        <w:rPr>
          <w:lang w:eastAsia="pt-BR"/>
        </w:rPr>
      </w:pPr>
      <w:r w:rsidRPr="00192C99">
        <w:rPr>
          <w:lang w:eastAsia="pt-BR"/>
        </w:rPr>
        <w:t>Fonte: Fundação Educacional de Caratinga - FUNEC, 2013</w:t>
      </w:r>
      <w:r>
        <w:rPr>
          <w:lang w:eastAsia="pt-BR"/>
        </w:rPr>
        <w:t>.</w:t>
      </w:r>
    </w:p>
    <w:p w:rsidR="00E32574" w:rsidRPr="00333B19" w:rsidRDefault="00E32574" w:rsidP="00333B19">
      <w:pPr>
        <w:spacing w:after="0" w:line="360" w:lineRule="auto"/>
        <w:ind w:firstLine="709"/>
        <w:jc w:val="both"/>
        <w:rPr>
          <w:szCs w:val="24"/>
        </w:rPr>
      </w:pPr>
      <w:r w:rsidRPr="00333B19">
        <w:rPr>
          <w:szCs w:val="24"/>
        </w:rPr>
        <w:t xml:space="preserve">O sistema possui um reservatório com capacidade de 20 m³ de água tratada, localizado próxima a ETA (Figura </w:t>
      </w:r>
      <w:r w:rsidR="00333B19">
        <w:rPr>
          <w:szCs w:val="24"/>
        </w:rPr>
        <w:t>104</w:t>
      </w:r>
      <w:r w:rsidRPr="00333B19">
        <w:rPr>
          <w:szCs w:val="24"/>
        </w:rPr>
        <w:t>).</w:t>
      </w:r>
    </w:p>
    <w:p w:rsidR="00E32574" w:rsidRPr="00333B19" w:rsidRDefault="00291A25" w:rsidP="00291A25">
      <w:pPr>
        <w:pStyle w:val="Legenda"/>
        <w:rPr>
          <w:b w:val="0"/>
        </w:rPr>
      </w:pPr>
      <w:bookmarkStart w:id="333" w:name="_Toc372740187"/>
      <w:r>
        <w:t xml:space="preserve">Figura </w:t>
      </w:r>
      <w:fldSimple w:instr=" SEQ Figura \* ARABIC ">
        <w:r w:rsidR="004F77E2">
          <w:rPr>
            <w:noProof/>
          </w:rPr>
          <w:t>104</w:t>
        </w:r>
      </w:fldSimple>
      <w:r>
        <w:t xml:space="preserve"> - </w:t>
      </w:r>
      <w:r w:rsidRPr="00AF183C">
        <w:rPr>
          <w:noProof/>
        </w:rPr>
        <w:t>Reservatório (Local: 24K 0264463 7817859/ Altitude: 206 m).</w:t>
      </w:r>
      <w:bookmarkEnd w:id="333"/>
    </w:p>
    <w:p w:rsidR="00E32574" w:rsidRDefault="00E32574" w:rsidP="00C77BF3">
      <w:pPr>
        <w:spacing w:after="0"/>
        <w:ind w:firstLine="709"/>
        <w:jc w:val="center"/>
        <w:rPr>
          <w:u w:val="single"/>
        </w:rPr>
      </w:pPr>
      <w:r w:rsidRPr="00B244CE">
        <w:rPr>
          <w:noProof/>
          <w:lang w:eastAsia="pt-BR"/>
        </w:rPr>
        <w:drawing>
          <wp:inline distT="0" distB="0" distL="0" distR="0" wp14:anchorId="1719AFA9" wp14:editId="4F74B60B">
            <wp:extent cx="4159345" cy="3152851"/>
            <wp:effectExtent l="0" t="0" r="0" b="9525"/>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165102" cy="3157215"/>
                    </a:xfrm>
                    <a:prstGeom prst="rect">
                      <a:avLst/>
                    </a:prstGeom>
                    <a:noFill/>
                    <a:ln>
                      <a:noFill/>
                    </a:ln>
                  </pic:spPr>
                </pic:pic>
              </a:graphicData>
            </a:graphic>
          </wp:inline>
        </w:drawing>
      </w:r>
    </w:p>
    <w:p w:rsidR="00E32574" w:rsidRDefault="009C5985" w:rsidP="009C5985">
      <w:pPr>
        <w:pStyle w:val="Fonte"/>
        <w:ind w:left="708"/>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333B19" w:rsidRPr="00333B19" w:rsidRDefault="00333B19" w:rsidP="00333B19">
      <w:pPr>
        <w:spacing w:after="0" w:line="360" w:lineRule="auto"/>
        <w:ind w:firstLine="709"/>
        <w:jc w:val="both"/>
        <w:rPr>
          <w:szCs w:val="24"/>
          <w:u w:val="single"/>
        </w:rPr>
      </w:pPr>
      <w:r w:rsidRPr="00333B19">
        <w:rPr>
          <w:szCs w:val="24"/>
        </w:rPr>
        <w:lastRenderedPageBreak/>
        <w:t>Não existe informações sobre a rede de distribuição.</w:t>
      </w:r>
    </w:p>
    <w:p w:rsidR="00E32574" w:rsidRPr="00A275C9" w:rsidRDefault="00A275C9" w:rsidP="00971B37">
      <w:pPr>
        <w:pStyle w:val="Titulo"/>
      </w:pPr>
      <w:bookmarkStart w:id="334" w:name="_Toc372559111"/>
      <w:bookmarkStart w:id="335" w:name="_Toc372789543"/>
      <w:r>
        <w:t>11.7.</w:t>
      </w:r>
      <w:r w:rsidR="005445E2">
        <w:t>12</w:t>
      </w:r>
      <w:r w:rsidR="00C82D86" w:rsidRPr="00A275C9">
        <w:t xml:space="preserve"> </w:t>
      </w:r>
      <w:r w:rsidR="00E32574" w:rsidRPr="00A275C9">
        <w:t>Sistema São José do Limoeiro</w:t>
      </w:r>
      <w:bookmarkEnd w:id="334"/>
      <w:bookmarkEnd w:id="335"/>
    </w:p>
    <w:p w:rsidR="00E32574" w:rsidRPr="0079719B" w:rsidRDefault="00E32574" w:rsidP="00333B19">
      <w:pPr>
        <w:spacing w:after="0" w:line="360" w:lineRule="auto"/>
        <w:ind w:firstLine="709"/>
        <w:jc w:val="both"/>
        <w:rPr>
          <w:b/>
          <w:bCs/>
          <w:szCs w:val="24"/>
        </w:rPr>
      </w:pPr>
      <w:r w:rsidRPr="00D91967">
        <w:t xml:space="preserve">O Sistema localiza-se no </w:t>
      </w:r>
      <w:r>
        <w:t>povoado</w:t>
      </w:r>
      <w:r w:rsidRPr="00D91967">
        <w:t xml:space="preserve"> de </w:t>
      </w:r>
      <w:r>
        <w:t>São José do Limoeiro</w:t>
      </w:r>
      <w:r w:rsidRPr="00D91967">
        <w:t xml:space="preserve"> e atende a população </w:t>
      </w:r>
      <w:r>
        <w:t>do povoado.</w:t>
      </w:r>
    </w:p>
    <w:p w:rsidR="00E32574" w:rsidRDefault="00E32574" w:rsidP="00333B19">
      <w:pPr>
        <w:spacing w:after="0" w:line="360" w:lineRule="auto"/>
        <w:ind w:firstLine="709"/>
        <w:jc w:val="both"/>
      </w:pPr>
      <w:r w:rsidRPr="00333B19">
        <w:rPr>
          <w:szCs w:val="24"/>
        </w:rPr>
        <w:t xml:space="preserve">A captação é subterrânea por meio de um poço raso (Figura </w:t>
      </w:r>
      <w:r w:rsidR="00333B19">
        <w:rPr>
          <w:szCs w:val="24"/>
        </w:rPr>
        <w:t>105</w:t>
      </w:r>
      <w:r w:rsidRPr="00333B19">
        <w:rPr>
          <w:szCs w:val="24"/>
        </w:rPr>
        <w:t>). A vazão é de aproximadamente</w:t>
      </w:r>
      <w:r w:rsidRPr="004D233B">
        <w:t xml:space="preserve"> 1 L.s</w:t>
      </w:r>
      <w:r w:rsidRPr="004D233B">
        <w:rPr>
          <w:vertAlign w:val="superscript"/>
        </w:rPr>
        <w:t>-1</w:t>
      </w:r>
      <w:r w:rsidRPr="004D233B">
        <w:t>.</w:t>
      </w:r>
    </w:p>
    <w:p w:rsidR="00F878F3" w:rsidRDefault="00291A25" w:rsidP="00291A25">
      <w:pPr>
        <w:pStyle w:val="Legenda"/>
      </w:pPr>
      <w:bookmarkStart w:id="336" w:name="_Toc372740188"/>
      <w:r>
        <w:t xml:space="preserve">Figura </w:t>
      </w:r>
      <w:fldSimple w:instr=" SEQ Figura \* ARABIC ">
        <w:r w:rsidR="004F77E2">
          <w:rPr>
            <w:noProof/>
          </w:rPr>
          <w:t>105</w:t>
        </w:r>
      </w:fldSimple>
      <w:r>
        <w:t xml:space="preserve"> - </w:t>
      </w:r>
      <w:r w:rsidRPr="00276F1E">
        <w:rPr>
          <w:noProof/>
        </w:rPr>
        <w:t>Aspecto visual da estrutura de proteção da captação de água bruta em poço raso (Local: 24K 0250785 7834484 / Altitude: 192 m).</w:t>
      </w:r>
      <w:bookmarkEnd w:id="336"/>
    </w:p>
    <w:p w:rsidR="00E32574" w:rsidRDefault="00E32574" w:rsidP="00E32574">
      <w:pPr>
        <w:jc w:val="center"/>
        <w:rPr>
          <w:u w:val="single"/>
        </w:rPr>
      </w:pPr>
      <w:r w:rsidRPr="00B244CE">
        <w:rPr>
          <w:noProof/>
          <w:lang w:eastAsia="pt-BR"/>
        </w:rPr>
        <w:drawing>
          <wp:inline distT="0" distB="0" distL="0" distR="0" wp14:anchorId="4B78A10F" wp14:editId="6DC786DA">
            <wp:extent cx="4371656" cy="3313786"/>
            <wp:effectExtent l="0" t="0" r="0" b="1270"/>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374332" cy="3315814"/>
                    </a:xfrm>
                    <a:prstGeom prst="rect">
                      <a:avLst/>
                    </a:prstGeom>
                    <a:noFill/>
                    <a:ln>
                      <a:noFill/>
                    </a:ln>
                  </pic:spPr>
                </pic:pic>
              </a:graphicData>
            </a:graphic>
          </wp:inline>
        </w:drawing>
      </w:r>
    </w:p>
    <w:p w:rsidR="00E32574" w:rsidRDefault="009C5985" w:rsidP="009C5985">
      <w:pPr>
        <w:pStyle w:val="Fonte"/>
        <w:ind w:firstLine="708"/>
        <w:rPr>
          <w:lang w:eastAsia="pt-BR"/>
        </w:rPr>
      </w:pPr>
      <w:r>
        <w:rPr>
          <w:lang w:eastAsia="pt-BR"/>
        </w:rPr>
        <w:t xml:space="preserve">  </w:t>
      </w:r>
      <w:r w:rsidR="00E32574" w:rsidRPr="00192C99">
        <w:rPr>
          <w:lang w:eastAsia="pt-BR"/>
        </w:rPr>
        <w:t>Fonte: Fundação Educacional de Caratinga - FUNEC, 2013</w:t>
      </w:r>
    </w:p>
    <w:p w:rsidR="00E32574" w:rsidRPr="00333B19" w:rsidRDefault="00333B19" w:rsidP="00333B19">
      <w:pPr>
        <w:spacing w:after="0" w:line="360" w:lineRule="auto"/>
        <w:ind w:firstLine="709"/>
        <w:jc w:val="both"/>
      </w:pPr>
      <w:r w:rsidRPr="00333B19">
        <w:t>Não foram encontradas informações sobre a a</w:t>
      </w:r>
      <w:r w:rsidR="00E32574" w:rsidRPr="00333B19">
        <w:t xml:space="preserve">dução de </w:t>
      </w:r>
      <w:r w:rsidRPr="00333B19">
        <w:t>á</w:t>
      </w:r>
      <w:r w:rsidR="00E32574" w:rsidRPr="00333B19">
        <w:t xml:space="preserve">gua </w:t>
      </w:r>
      <w:r w:rsidRPr="00333B19">
        <w:t>b</w:t>
      </w:r>
      <w:r w:rsidR="00E32574" w:rsidRPr="00333B19">
        <w:t>ruta</w:t>
      </w:r>
    </w:p>
    <w:p w:rsidR="00E32574" w:rsidRPr="00333B19" w:rsidRDefault="00E32574" w:rsidP="00333B19">
      <w:pPr>
        <w:spacing w:after="0" w:line="360" w:lineRule="auto"/>
        <w:ind w:firstLine="709"/>
        <w:jc w:val="both"/>
        <w:rPr>
          <w:szCs w:val="24"/>
        </w:rPr>
      </w:pPr>
      <w:r w:rsidRPr="00333B19">
        <w:rPr>
          <w:szCs w:val="24"/>
        </w:rPr>
        <w:t xml:space="preserve">A água bruta chega passando por um Aerador, seguindo para um filtro (não se tem a vazão e a capacidade de nenhuma estrutura das ETA’s de Aimorés e distritos, exceto do reservatório), sendo transportada para ser adicionado hipoclorito de cálcio granular (0,5 kg por mês), seguindo então para o reservatório (Figura </w:t>
      </w:r>
      <w:r w:rsidR="00333B19">
        <w:rPr>
          <w:szCs w:val="24"/>
        </w:rPr>
        <w:t>106</w:t>
      </w:r>
      <w:r w:rsidRPr="00333B19">
        <w:rPr>
          <w:szCs w:val="24"/>
        </w:rPr>
        <w:t>).</w:t>
      </w:r>
    </w:p>
    <w:p w:rsidR="009C5985" w:rsidRDefault="009C5985">
      <w:pPr>
        <w:spacing w:after="200" w:line="276" w:lineRule="auto"/>
        <w:rPr>
          <w:rFonts w:eastAsiaTheme="minorEastAsia" w:cs="Times New Roman"/>
          <w:bCs/>
          <w:szCs w:val="24"/>
          <w:lang w:eastAsia="pt-BR"/>
        </w:rPr>
      </w:pPr>
      <w:r>
        <w:br w:type="page"/>
      </w:r>
    </w:p>
    <w:p w:rsidR="009C5985" w:rsidRDefault="00291A25" w:rsidP="00291A25">
      <w:pPr>
        <w:pStyle w:val="Legenda"/>
      </w:pPr>
      <w:bookmarkStart w:id="337" w:name="_Toc372740189"/>
      <w:r>
        <w:lastRenderedPageBreak/>
        <w:t xml:space="preserve">Figura </w:t>
      </w:r>
      <w:fldSimple w:instr=" SEQ Figura \* ARABIC ">
        <w:r w:rsidR="004F77E2">
          <w:rPr>
            <w:noProof/>
          </w:rPr>
          <w:t>106</w:t>
        </w:r>
      </w:fldSimple>
      <w:r>
        <w:t xml:space="preserve"> - </w:t>
      </w:r>
      <w:r w:rsidRPr="00F1508C">
        <w:rPr>
          <w:noProof/>
        </w:rPr>
        <w:t>Estação de Tratamento de Água (Local: 24K 0250785 7834456/ Altitude: 218 m).</w:t>
      </w:r>
      <w:bookmarkEnd w:id="337"/>
    </w:p>
    <w:p w:rsidR="00E32574" w:rsidRDefault="00E32574" w:rsidP="00C12FCA">
      <w:pPr>
        <w:spacing w:after="0" w:line="360" w:lineRule="auto"/>
        <w:jc w:val="center"/>
        <w:rPr>
          <w:u w:val="single"/>
        </w:rPr>
      </w:pPr>
      <w:r w:rsidRPr="00B244CE">
        <w:rPr>
          <w:noProof/>
          <w:lang w:eastAsia="pt-BR"/>
        </w:rPr>
        <w:drawing>
          <wp:inline distT="0" distB="0" distL="0" distR="0" wp14:anchorId="1A8D4133" wp14:editId="380AF980">
            <wp:extent cx="3881160" cy="2941983"/>
            <wp:effectExtent l="19050" t="0" r="504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00715" cy="2956806"/>
                    </a:xfrm>
                    <a:prstGeom prst="rect">
                      <a:avLst/>
                    </a:prstGeom>
                    <a:noFill/>
                    <a:ln>
                      <a:noFill/>
                    </a:ln>
                  </pic:spPr>
                </pic:pic>
              </a:graphicData>
            </a:graphic>
          </wp:inline>
        </w:drawing>
      </w:r>
    </w:p>
    <w:p w:rsidR="00E32574" w:rsidRDefault="009C5985" w:rsidP="00C12FCA">
      <w:pPr>
        <w:pStyle w:val="Fonte"/>
        <w:spacing w:before="0" w:after="120"/>
        <w:ind w:firstLine="851"/>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E32574" w:rsidRPr="00333B19" w:rsidRDefault="00E32574" w:rsidP="00333B19">
      <w:pPr>
        <w:spacing w:after="0" w:line="360" w:lineRule="auto"/>
        <w:ind w:firstLine="709"/>
        <w:jc w:val="both"/>
        <w:rPr>
          <w:szCs w:val="24"/>
        </w:rPr>
      </w:pPr>
      <w:r w:rsidRPr="00333B19">
        <w:rPr>
          <w:szCs w:val="24"/>
        </w:rPr>
        <w:t xml:space="preserve">O sistema possui um reservatório com capacidade de 10 m³ de água tratada, localizado próxima a ETA (Figura </w:t>
      </w:r>
      <w:r w:rsidR="00C12FCA">
        <w:rPr>
          <w:szCs w:val="24"/>
        </w:rPr>
        <w:t>107</w:t>
      </w:r>
      <w:r w:rsidRPr="00333B19">
        <w:rPr>
          <w:szCs w:val="24"/>
        </w:rPr>
        <w:t>).</w:t>
      </w:r>
    </w:p>
    <w:p w:rsidR="00E32574" w:rsidRPr="00C12FCA" w:rsidRDefault="00291A25" w:rsidP="00291A25">
      <w:pPr>
        <w:pStyle w:val="Legenda"/>
        <w:rPr>
          <w:b w:val="0"/>
        </w:rPr>
      </w:pPr>
      <w:bookmarkStart w:id="338" w:name="_Toc372740190"/>
      <w:r>
        <w:t xml:space="preserve">Figura </w:t>
      </w:r>
      <w:fldSimple w:instr=" SEQ Figura \* ARABIC ">
        <w:r w:rsidR="004F77E2">
          <w:rPr>
            <w:noProof/>
          </w:rPr>
          <w:t>107</w:t>
        </w:r>
      </w:fldSimple>
      <w:r>
        <w:t xml:space="preserve"> - </w:t>
      </w:r>
      <w:r w:rsidRPr="003D71AF">
        <w:rPr>
          <w:noProof/>
        </w:rPr>
        <w:t>Reservatório (Local: 24K 0250785 7834456/ Altitude: 218 m).</w:t>
      </w:r>
      <w:bookmarkEnd w:id="338"/>
    </w:p>
    <w:p w:rsidR="00E32574" w:rsidRDefault="00E32574" w:rsidP="00C12FCA">
      <w:pPr>
        <w:spacing w:after="0" w:line="360" w:lineRule="auto"/>
        <w:jc w:val="center"/>
        <w:rPr>
          <w:u w:val="single"/>
        </w:rPr>
      </w:pPr>
      <w:r w:rsidRPr="00B244CE">
        <w:rPr>
          <w:noProof/>
          <w:lang w:eastAsia="pt-BR"/>
        </w:rPr>
        <w:drawing>
          <wp:inline distT="0" distB="0" distL="0" distR="0" wp14:anchorId="18127147" wp14:editId="1690791A">
            <wp:extent cx="4072491" cy="3087014"/>
            <wp:effectExtent l="0" t="0" r="4445"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99398" cy="3107410"/>
                    </a:xfrm>
                    <a:prstGeom prst="rect">
                      <a:avLst/>
                    </a:prstGeom>
                    <a:noFill/>
                    <a:ln>
                      <a:noFill/>
                    </a:ln>
                  </pic:spPr>
                </pic:pic>
              </a:graphicData>
            </a:graphic>
          </wp:inline>
        </w:drawing>
      </w:r>
    </w:p>
    <w:p w:rsidR="00E32574" w:rsidRDefault="009C5985" w:rsidP="00C12FCA">
      <w:pPr>
        <w:pStyle w:val="Fonte"/>
        <w:spacing w:before="0"/>
        <w:ind w:firstLine="709"/>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E32574" w:rsidRDefault="00E32574" w:rsidP="00C12FCA">
      <w:pPr>
        <w:spacing w:after="0" w:line="360" w:lineRule="auto"/>
        <w:ind w:firstLine="709"/>
        <w:jc w:val="both"/>
        <w:rPr>
          <w:u w:val="single"/>
        </w:rPr>
      </w:pPr>
      <w:r>
        <w:lastRenderedPageBreak/>
        <w:t>Não há informações sobre a rede de distribuição.</w:t>
      </w:r>
    </w:p>
    <w:p w:rsidR="00E32574" w:rsidRPr="00A275C9" w:rsidRDefault="00A275C9" w:rsidP="00971B37">
      <w:pPr>
        <w:pStyle w:val="Titulo"/>
      </w:pPr>
      <w:bookmarkStart w:id="339" w:name="_Toc372559112"/>
      <w:bookmarkStart w:id="340" w:name="_Toc372789544"/>
      <w:r>
        <w:t>11.7.1</w:t>
      </w:r>
      <w:r w:rsidR="005445E2">
        <w:t>3</w:t>
      </w:r>
      <w:r w:rsidR="00C82D86" w:rsidRPr="00A275C9">
        <w:t xml:space="preserve"> </w:t>
      </w:r>
      <w:r w:rsidR="00E32574" w:rsidRPr="00A275C9">
        <w:t>Sistema Santa Terezinha</w:t>
      </w:r>
      <w:bookmarkEnd w:id="339"/>
      <w:bookmarkEnd w:id="340"/>
    </w:p>
    <w:p w:rsidR="00E32574" w:rsidRPr="00BA341D" w:rsidRDefault="00E32574" w:rsidP="005F075C">
      <w:pPr>
        <w:spacing w:after="0" w:line="360" w:lineRule="auto"/>
        <w:ind w:firstLine="709"/>
        <w:jc w:val="both"/>
        <w:rPr>
          <w:b/>
          <w:bCs/>
          <w:szCs w:val="24"/>
        </w:rPr>
      </w:pPr>
      <w:r w:rsidRPr="00BA341D">
        <w:rPr>
          <w:szCs w:val="24"/>
        </w:rPr>
        <w:t>O Sistema localiza-se no povoado de Santa Terezinha e atende a população do povoado.</w:t>
      </w:r>
    </w:p>
    <w:p w:rsidR="00E32574" w:rsidRDefault="00E32574" w:rsidP="005F075C">
      <w:pPr>
        <w:spacing w:after="0" w:line="360" w:lineRule="auto"/>
        <w:ind w:firstLine="709"/>
        <w:jc w:val="both"/>
      </w:pPr>
      <w:r w:rsidRPr="00BA341D">
        <w:rPr>
          <w:szCs w:val="24"/>
        </w:rPr>
        <w:t xml:space="preserve">A captação é subterrânea por meio de poço raso (Figura </w:t>
      </w:r>
      <w:r w:rsidR="00BA341D">
        <w:rPr>
          <w:szCs w:val="24"/>
        </w:rPr>
        <w:t>108</w:t>
      </w:r>
      <w:r w:rsidRPr="00BA341D">
        <w:rPr>
          <w:szCs w:val="24"/>
        </w:rPr>
        <w:t>). A vazão é de aproximadamente 1 L.s</w:t>
      </w:r>
      <w:r w:rsidRPr="00BA341D">
        <w:rPr>
          <w:szCs w:val="24"/>
          <w:vertAlign w:val="superscript"/>
        </w:rPr>
        <w:t>-1</w:t>
      </w:r>
      <w:r w:rsidRPr="00BA341D">
        <w:rPr>
          <w:szCs w:val="24"/>
        </w:rPr>
        <w:t>. Necessita-se de estudos para uma nova captação de água</w:t>
      </w:r>
      <w:r>
        <w:t xml:space="preserve"> bruta.</w:t>
      </w:r>
    </w:p>
    <w:p w:rsidR="009C5985" w:rsidRDefault="00291A25" w:rsidP="00291A25">
      <w:pPr>
        <w:pStyle w:val="Legenda"/>
      </w:pPr>
      <w:bookmarkStart w:id="341" w:name="_Toc372740191"/>
      <w:r>
        <w:t xml:space="preserve">Figura </w:t>
      </w:r>
      <w:fldSimple w:instr=" SEQ Figura \* ARABIC ">
        <w:r w:rsidR="004F77E2">
          <w:rPr>
            <w:noProof/>
          </w:rPr>
          <w:t>108</w:t>
        </w:r>
      </w:fldSimple>
      <w:r>
        <w:t xml:space="preserve"> - </w:t>
      </w:r>
      <w:r w:rsidRPr="003B1FE7">
        <w:rPr>
          <w:noProof/>
        </w:rPr>
        <w:t xml:space="preserve"> Aspecto visual da estrutura de proteção da captação de água bruta por poço raso (Local: 24K 0251225 7819821 / Altitude: 227 m).</w:t>
      </w:r>
      <w:bookmarkEnd w:id="341"/>
    </w:p>
    <w:p w:rsidR="00E32574" w:rsidRDefault="00E32574" w:rsidP="00BA341D">
      <w:pPr>
        <w:spacing w:after="0" w:line="360" w:lineRule="auto"/>
        <w:jc w:val="center"/>
        <w:rPr>
          <w:szCs w:val="24"/>
          <w:u w:val="single"/>
        </w:rPr>
      </w:pPr>
      <w:r w:rsidRPr="00B244CE">
        <w:rPr>
          <w:noProof/>
          <w:szCs w:val="24"/>
          <w:lang w:eastAsia="pt-BR"/>
        </w:rPr>
        <w:drawing>
          <wp:inline distT="0" distB="0" distL="0" distR="0" wp14:anchorId="3F8298C9" wp14:editId="102C35A8">
            <wp:extent cx="4237990" cy="3212465"/>
            <wp:effectExtent l="0" t="0" r="0" b="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37990" cy="3212465"/>
                    </a:xfrm>
                    <a:prstGeom prst="rect">
                      <a:avLst/>
                    </a:prstGeom>
                    <a:noFill/>
                    <a:ln>
                      <a:noFill/>
                    </a:ln>
                  </pic:spPr>
                </pic:pic>
              </a:graphicData>
            </a:graphic>
          </wp:inline>
        </w:drawing>
      </w:r>
    </w:p>
    <w:p w:rsidR="00E32574" w:rsidRDefault="009C5985" w:rsidP="009C5985">
      <w:pPr>
        <w:pStyle w:val="Fonte"/>
        <w:ind w:left="708"/>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E32574" w:rsidRPr="00BA341D" w:rsidRDefault="00BA341D" w:rsidP="00BA341D">
      <w:pPr>
        <w:spacing w:after="0" w:line="360" w:lineRule="auto"/>
        <w:ind w:firstLine="709"/>
        <w:jc w:val="both"/>
        <w:rPr>
          <w:szCs w:val="24"/>
        </w:rPr>
      </w:pPr>
      <w:r>
        <w:rPr>
          <w:szCs w:val="24"/>
        </w:rPr>
        <w:t xml:space="preserve">A </w:t>
      </w:r>
      <w:r w:rsidR="00E32574" w:rsidRPr="00BA341D">
        <w:rPr>
          <w:szCs w:val="24"/>
        </w:rPr>
        <w:t xml:space="preserve">adução </w:t>
      </w:r>
      <w:r>
        <w:rPr>
          <w:szCs w:val="24"/>
        </w:rPr>
        <w:t xml:space="preserve">é efetuada </w:t>
      </w:r>
      <w:r w:rsidR="00E32574" w:rsidRPr="00BA341D">
        <w:rPr>
          <w:szCs w:val="24"/>
        </w:rPr>
        <w:t>por recalque de aproximadamente 150 metros. Não há dados sobre o diâmetro da adutora.</w:t>
      </w:r>
    </w:p>
    <w:p w:rsidR="00E32574" w:rsidRPr="00BA341D" w:rsidRDefault="00E32574" w:rsidP="00BA341D">
      <w:pPr>
        <w:spacing w:after="0" w:line="360" w:lineRule="auto"/>
        <w:ind w:firstLine="709"/>
        <w:jc w:val="both"/>
        <w:rPr>
          <w:szCs w:val="24"/>
        </w:rPr>
      </w:pPr>
      <w:r w:rsidRPr="00BA341D">
        <w:rPr>
          <w:szCs w:val="24"/>
        </w:rPr>
        <w:t xml:space="preserve">A água bruta chega passando por um Aerador, seguindo para um filtro (não se tem a vazão e a capacidade de nenhuma estrutura das ETA’s de Aimorés e distritos, exceto do reservatório), sendo transportada para ser adicionado hipoclorito de cálcio granular (0,5 kg por mês), seguindo então para o reservatório. A análise de água é realizada na ETA mensalmente e no ponto de captação a cada 6 meses (Figura </w:t>
      </w:r>
      <w:r w:rsidR="00BA341D">
        <w:rPr>
          <w:szCs w:val="24"/>
        </w:rPr>
        <w:t>109</w:t>
      </w:r>
      <w:r w:rsidRPr="00BA341D">
        <w:rPr>
          <w:szCs w:val="24"/>
        </w:rPr>
        <w:t>). Sistema de abastecimento satisfatório, porém o volume de água produzida pela ETA é baixo.</w:t>
      </w:r>
    </w:p>
    <w:p w:rsidR="005333B5" w:rsidRDefault="00291A25" w:rsidP="00291A25">
      <w:pPr>
        <w:pStyle w:val="Legenda"/>
      </w:pPr>
      <w:bookmarkStart w:id="342" w:name="_Toc372740192"/>
      <w:r>
        <w:lastRenderedPageBreak/>
        <w:t xml:space="preserve">Figura </w:t>
      </w:r>
      <w:fldSimple w:instr=" SEQ Figura \* ARABIC ">
        <w:r w:rsidR="004F77E2">
          <w:rPr>
            <w:noProof/>
          </w:rPr>
          <w:t>109</w:t>
        </w:r>
      </w:fldSimple>
      <w:r>
        <w:t xml:space="preserve"> - </w:t>
      </w:r>
      <w:r w:rsidRPr="00400FA2">
        <w:t>Estação de Tratamento de Água (Local: 24K 0251188 7819836/ Altitude:234 m).</w:t>
      </w:r>
      <w:bookmarkEnd w:id="342"/>
    </w:p>
    <w:p w:rsidR="00E32574" w:rsidRDefault="00E32574" w:rsidP="00BA341D">
      <w:pPr>
        <w:spacing w:after="0" w:line="360" w:lineRule="auto"/>
        <w:jc w:val="center"/>
        <w:rPr>
          <w:u w:val="single"/>
        </w:rPr>
      </w:pPr>
      <w:r w:rsidRPr="00B244CE">
        <w:rPr>
          <w:noProof/>
          <w:lang w:eastAsia="pt-BR"/>
        </w:rPr>
        <w:drawing>
          <wp:inline distT="0" distB="0" distL="0" distR="0" wp14:anchorId="0B133152" wp14:editId="7A57CE9B">
            <wp:extent cx="4284802" cy="3247949"/>
            <wp:effectExtent l="0" t="0" r="1905" b="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306577" cy="3264455"/>
                    </a:xfrm>
                    <a:prstGeom prst="rect">
                      <a:avLst/>
                    </a:prstGeom>
                    <a:noFill/>
                    <a:ln>
                      <a:noFill/>
                    </a:ln>
                  </pic:spPr>
                </pic:pic>
              </a:graphicData>
            </a:graphic>
          </wp:inline>
        </w:drawing>
      </w:r>
    </w:p>
    <w:p w:rsidR="00E32574" w:rsidRDefault="005333B5" w:rsidP="00BA341D">
      <w:pPr>
        <w:pStyle w:val="Fonte"/>
        <w:spacing w:before="0"/>
        <w:ind w:firstLine="709"/>
        <w:rPr>
          <w:lang w:eastAsia="pt-BR"/>
        </w:rPr>
      </w:pPr>
      <w:r>
        <w:rPr>
          <w:lang w:eastAsia="pt-BR"/>
        </w:rPr>
        <w:t xml:space="preserve">   </w:t>
      </w:r>
      <w:r w:rsidR="00E32574" w:rsidRPr="00192C99">
        <w:rPr>
          <w:lang w:eastAsia="pt-BR"/>
        </w:rPr>
        <w:t>Fonte: Fundação Educacional de Caratinga - FUNEC, 2013</w:t>
      </w:r>
    </w:p>
    <w:p w:rsidR="00BA341D" w:rsidRDefault="00E32574" w:rsidP="00BA341D">
      <w:pPr>
        <w:spacing w:after="0" w:line="360" w:lineRule="auto"/>
        <w:ind w:firstLine="709"/>
        <w:jc w:val="both"/>
      </w:pPr>
      <w:r w:rsidRPr="00BA341D">
        <w:rPr>
          <w:szCs w:val="24"/>
        </w:rPr>
        <w:t xml:space="preserve">O sistema possui um reservatório com capacidade de 10 m³ de água tratada, localizado próxima a ETA (Figura </w:t>
      </w:r>
      <w:r w:rsidR="00BA341D">
        <w:rPr>
          <w:szCs w:val="24"/>
        </w:rPr>
        <w:t>110</w:t>
      </w:r>
      <w:r w:rsidRPr="00BA341D">
        <w:rPr>
          <w:szCs w:val="24"/>
        </w:rPr>
        <w:t>)</w:t>
      </w:r>
      <w:r>
        <w:t>.</w:t>
      </w:r>
    </w:p>
    <w:p w:rsidR="00BA341D" w:rsidRDefault="00BA341D" w:rsidP="00BA341D">
      <w:pPr>
        <w:spacing w:after="0" w:line="360" w:lineRule="auto"/>
        <w:ind w:firstLine="709"/>
        <w:jc w:val="both"/>
        <w:rPr>
          <w:u w:val="single"/>
        </w:rPr>
      </w:pPr>
      <w:r w:rsidRPr="00265606">
        <w:t>A rede</w:t>
      </w:r>
      <w:r>
        <w:t xml:space="preserve"> de distribuição de água tratada é composta de tubos de PVC 60 mm, sendo necessário </w:t>
      </w:r>
      <w:r w:rsidRPr="00265606">
        <w:t>redimensionar a rede</w:t>
      </w:r>
      <w:r>
        <w:t xml:space="preserve"> para 110 mm.</w:t>
      </w:r>
    </w:p>
    <w:p w:rsidR="00BA341D" w:rsidRDefault="00BA341D" w:rsidP="00BA341D">
      <w:pPr>
        <w:spacing w:after="0" w:line="360" w:lineRule="auto"/>
        <w:ind w:firstLine="709"/>
        <w:jc w:val="both"/>
      </w:pPr>
    </w:p>
    <w:p w:rsidR="005F075C" w:rsidRDefault="005F075C">
      <w:pPr>
        <w:spacing w:after="200" w:line="276" w:lineRule="auto"/>
        <w:rPr>
          <w:rFonts w:eastAsiaTheme="minorEastAsia" w:cs="Times New Roman"/>
          <w:bCs/>
          <w:szCs w:val="24"/>
          <w:lang w:eastAsia="pt-BR"/>
        </w:rPr>
      </w:pPr>
      <w:bookmarkStart w:id="343" w:name="_Toc372117159"/>
      <w:r>
        <w:br w:type="page"/>
      </w:r>
    </w:p>
    <w:p w:rsidR="005333B5" w:rsidRDefault="00291A25" w:rsidP="00291A25">
      <w:pPr>
        <w:pStyle w:val="Legenda"/>
      </w:pPr>
      <w:bookmarkStart w:id="344" w:name="_Toc372740193"/>
      <w:bookmarkEnd w:id="343"/>
      <w:r>
        <w:lastRenderedPageBreak/>
        <w:t xml:space="preserve">Figura </w:t>
      </w:r>
      <w:fldSimple w:instr=" SEQ Figura \* ARABIC ">
        <w:r w:rsidR="004F77E2">
          <w:rPr>
            <w:noProof/>
          </w:rPr>
          <w:t>110</w:t>
        </w:r>
      </w:fldSimple>
      <w:r>
        <w:t xml:space="preserve"> - </w:t>
      </w:r>
      <w:r w:rsidRPr="00210F17">
        <w:t>ETA e Reservatório (Local: 24K  0251188 7819836/ Altitude:234 m).</w:t>
      </w:r>
      <w:bookmarkEnd w:id="344"/>
    </w:p>
    <w:p w:rsidR="00E32574" w:rsidRDefault="00E32574" w:rsidP="00BA341D">
      <w:pPr>
        <w:spacing w:after="0" w:line="360" w:lineRule="auto"/>
        <w:jc w:val="center"/>
        <w:rPr>
          <w:u w:val="single"/>
        </w:rPr>
      </w:pPr>
      <w:r w:rsidRPr="00B244CE">
        <w:rPr>
          <w:noProof/>
          <w:lang w:eastAsia="pt-BR"/>
        </w:rPr>
        <w:drawing>
          <wp:inline distT="0" distB="0" distL="0" distR="0" wp14:anchorId="159E1CE1" wp14:editId="6DC68DEC">
            <wp:extent cx="4237990" cy="3212465"/>
            <wp:effectExtent l="0" t="0" r="0"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237990" cy="3212465"/>
                    </a:xfrm>
                    <a:prstGeom prst="rect">
                      <a:avLst/>
                    </a:prstGeom>
                    <a:noFill/>
                    <a:ln>
                      <a:noFill/>
                    </a:ln>
                  </pic:spPr>
                </pic:pic>
              </a:graphicData>
            </a:graphic>
          </wp:inline>
        </w:drawing>
      </w:r>
    </w:p>
    <w:p w:rsidR="00E32574" w:rsidRDefault="005333B5" w:rsidP="005333B5">
      <w:pPr>
        <w:pStyle w:val="Fonte"/>
        <w:ind w:firstLine="708"/>
        <w:rPr>
          <w:lang w:eastAsia="pt-BR"/>
        </w:rPr>
      </w:pPr>
      <w:r>
        <w:rPr>
          <w:lang w:eastAsia="pt-BR"/>
        </w:rPr>
        <w:t xml:space="preserve">   </w:t>
      </w:r>
      <w:r w:rsidR="00E32574" w:rsidRPr="00192C99">
        <w:rPr>
          <w:lang w:eastAsia="pt-BR"/>
        </w:rPr>
        <w:t>Fonte: Fundação Educacional de Caratinga - FUNEC, 2013</w:t>
      </w:r>
    </w:p>
    <w:p w:rsidR="00E64A13" w:rsidRPr="00BA341D" w:rsidRDefault="00E64A13" w:rsidP="00E64A13">
      <w:pPr>
        <w:pStyle w:val="Titulo"/>
      </w:pPr>
      <w:r w:rsidRPr="00A275C9">
        <w:t xml:space="preserve">11.8 </w:t>
      </w:r>
      <w:r>
        <w:t>Comunicação Social</w:t>
      </w:r>
    </w:p>
    <w:p w:rsidR="00ED7D13" w:rsidRPr="00A275C9" w:rsidRDefault="00ED7D13" w:rsidP="00ED7D13">
      <w:pPr>
        <w:pStyle w:val="Titulo"/>
      </w:pPr>
      <w:bookmarkStart w:id="345" w:name="_Toc372559113"/>
      <w:bookmarkStart w:id="346" w:name="_Toc372789545"/>
      <w:r w:rsidRPr="00A275C9">
        <w:t>11.</w:t>
      </w:r>
      <w:r>
        <w:t>8</w:t>
      </w:r>
      <w:r w:rsidRPr="00A275C9">
        <w:t xml:space="preserve">.1 </w:t>
      </w:r>
      <w:r>
        <w:t>Mobilização Comunitária</w:t>
      </w:r>
    </w:p>
    <w:p w:rsidR="00ED7D13" w:rsidRPr="00ED7D13" w:rsidRDefault="00ED7D13" w:rsidP="00ED7D13">
      <w:pPr>
        <w:spacing w:after="0" w:line="360" w:lineRule="auto"/>
        <w:ind w:firstLine="709"/>
        <w:jc w:val="both"/>
        <w:rPr>
          <w:rFonts w:eastAsia="Calibri" w:cs="Times New Roman"/>
          <w:sz w:val="28"/>
          <w:szCs w:val="28"/>
        </w:rPr>
      </w:pPr>
      <w:r w:rsidRPr="00ED7D13">
        <w:rPr>
          <w:rFonts w:eastAsia="Calibri" w:cs="Times New Roman"/>
          <w:szCs w:val="24"/>
        </w:rPr>
        <w:t>Em todas as etapas de elaboração do Plano Municipal de Saneamento Básico de Aimorés (PMSBA), deverá ser garantida a participação e o controle social, em conformidade com a Lei Federal 11.445/2007, que define a necessidade do estabelecimento de um conjunto de mecanismos e procedimentos que garantam à sociedade “informações, representações técnicas e participações nos processos de formulação de políticas, de planejamento e de avaliação relacionados aos serviços públicos de saneamento</w:t>
      </w:r>
      <w:r w:rsidRPr="00ED7D13">
        <w:rPr>
          <w:rFonts w:eastAsia="Calibri" w:cs="Times New Roman"/>
          <w:sz w:val="28"/>
          <w:szCs w:val="28"/>
        </w:rPr>
        <w:t xml:space="preserve"> </w:t>
      </w:r>
      <w:r w:rsidRPr="00ED7D13">
        <w:rPr>
          <w:rFonts w:eastAsia="Calibri" w:cs="Times New Roman"/>
          <w:szCs w:val="24"/>
        </w:rPr>
        <w:t>básico".</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A importância da participação da sociedade</w:t>
      </w:r>
      <w:r w:rsidR="00F67507">
        <w:rPr>
          <w:rFonts w:eastAsia="Calibri" w:cs="Times New Roman"/>
          <w:szCs w:val="24"/>
        </w:rPr>
        <w:t xml:space="preserve"> e do poder público, sendo que o poder público teve quase nenhuma participação neste processo somente com a participação ponderada do assistente do Secretário de Meio Ambiente do município,</w:t>
      </w:r>
      <w:r w:rsidRPr="00ED7D13">
        <w:rPr>
          <w:rFonts w:eastAsia="Calibri" w:cs="Times New Roman"/>
          <w:szCs w:val="24"/>
        </w:rPr>
        <w:t xml:space="preserve"> na elaboração do PMSBA está no entendimento de que é para ela que este instrumento essencialmente tem importância, pois além de trazer a relação profunda de pertencimento, trazendo o </w:t>
      </w:r>
      <w:r w:rsidRPr="00ED7D13">
        <w:rPr>
          <w:rFonts w:eastAsia="Calibri" w:cs="Times New Roman"/>
          <w:szCs w:val="24"/>
        </w:rPr>
        <w:lastRenderedPageBreak/>
        <w:t>empoderamento, e deverá permitir uma mobilização permanente que possa garantir a implantação integral do plano.</w:t>
      </w:r>
    </w:p>
    <w:p w:rsidR="00ED7D13" w:rsidRPr="00ED7D13" w:rsidRDefault="00ED7D13" w:rsidP="00ED7D13">
      <w:pPr>
        <w:spacing w:after="0" w:line="360" w:lineRule="auto"/>
        <w:ind w:firstLine="900"/>
        <w:jc w:val="both"/>
        <w:rPr>
          <w:rFonts w:eastAsia="Calibri" w:cs="Times New Roman"/>
          <w:szCs w:val="24"/>
        </w:rPr>
      </w:pPr>
      <w:r w:rsidRPr="00ED7D13">
        <w:rPr>
          <w:rFonts w:eastAsia="Calibri" w:cs="Times New Roman"/>
          <w:szCs w:val="24"/>
        </w:rPr>
        <w:t>O processo de mobilização social se dará de forma a atender os seguintes objetivos:</w:t>
      </w:r>
    </w:p>
    <w:p w:rsidR="00ED7D13" w:rsidRPr="00ED7D13" w:rsidRDefault="00ED7D13" w:rsidP="00ED7D13">
      <w:pPr>
        <w:numPr>
          <w:ilvl w:val="0"/>
          <w:numId w:val="56"/>
        </w:numPr>
        <w:spacing w:line="360" w:lineRule="auto"/>
        <w:contextualSpacing/>
        <w:jc w:val="both"/>
        <w:rPr>
          <w:rFonts w:eastAsia="Calibri" w:cs="Times New Roman"/>
          <w:szCs w:val="24"/>
        </w:rPr>
      </w:pPr>
      <w:r w:rsidRPr="00ED7D13">
        <w:rPr>
          <w:rFonts w:eastAsia="Calibri" w:cs="Times New Roman"/>
          <w:szCs w:val="24"/>
        </w:rPr>
        <w:t>Divulgar a elaboração do Plano de Saneamento Básico para o Município de Aimorés -MG;</w:t>
      </w:r>
    </w:p>
    <w:p w:rsidR="00ED7D13" w:rsidRPr="00ED7D13" w:rsidRDefault="00ED7D13" w:rsidP="00ED7D13">
      <w:pPr>
        <w:numPr>
          <w:ilvl w:val="0"/>
          <w:numId w:val="56"/>
        </w:numPr>
        <w:spacing w:line="360" w:lineRule="auto"/>
        <w:contextualSpacing/>
        <w:jc w:val="both"/>
        <w:rPr>
          <w:rFonts w:eastAsia="Calibri" w:cs="Times New Roman"/>
          <w:szCs w:val="24"/>
        </w:rPr>
      </w:pPr>
      <w:r w:rsidRPr="00ED7D13">
        <w:rPr>
          <w:rFonts w:eastAsia="Calibri" w:cs="Times New Roman"/>
          <w:szCs w:val="24"/>
        </w:rPr>
        <w:t>Sensibilizar a comunidade para participação das atividades referentes ao PMSBA;</w:t>
      </w:r>
    </w:p>
    <w:p w:rsidR="00ED7D13" w:rsidRPr="00ED7D13" w:rsidRDefault="00ED7D13" w:rsidP="00ED7D13">
      <w:pPr>
        <w:numPr>
          <w:ilvl w:val="0"/>
          <w:numId w:val="56"/>
        </w:numPr>
        <w:spacing w:line="360" w:lineRule="auto"/>
        <w:contextualSpacing/>
        <w:jc w:val="both"/>
        <w:rPr>
          <w:rFonts w:eastAsia="Calibri" w:cs="Times New Roman"/>
          <w:szCs w:val="24"/>
        </w:rPr>
      </w:pPr>
      <w:r w:rsidRPr="00ED7D13">
        <w:rPr>
          <w:rFonts w:eastAsia="Calibri" w:cs="Times New Roman"/>
          <w:szCs w:val="24"/>
        </w:rPr>
        <w:t>Estimular os diversos atores sociais a participarem do processo de gestão ambiental;</w:t>
      </w:r>
    </w:p>
    <w:p w:rsidR="00ED7D13" w:rsidRPr="00ED7D13" w:rsidRDefault="00ED7D13" w:rsidP="00ED7D13">
      <w:pPr>
        <w:numPr>
          <w:ilvl w:val="0"/>
          <w:numId w:val="56"/>
        </w:numPr>
        <w:spacing w:line="360" w:lineRule="auto"/>
        <w:contextualSpacing/>
        <w:jc w:val="both"/>
        <w:rPr>
          <w:rFonts w:eastAsia="Calibri" w:cs="Times New Roman"/>
          <w:szCs w:val="24"/>
        </w:rPr>
      </w:pPr>
      <w:r w:rsidRPr="00ED7D13">
        <w:rPr>
          <w:rFonts w:eastAsia="Calibri" w:cs="Times New Roman"/>
          <w:szCs w:val="24"/>
        </w:rPr>
        <w:t>Envolver a população na discussão das potencialidades e dos problemas de saneamento ambiental no município e suas implicações na qualidade de vida;</w:t>
      </w:r>
    </w:p>
    <w:p w:rsidR="00ED7D13" w:rsidRPr="00ED7D13" w:rsidRDefault="00ED7D13" w:rsidP="00ED7D13">
      <w:pPr>
        <w:numPr>
          <w:ilvl w:val="0"/>
          <w:numId w:val="56"/>
        </w:numPr>
        <w:spacing w:after="0" w:line="360" w:lineRule="auto"/>
        <w:contextualSpacing/>
        <w:jc w:val="both"/>
        <w:rPr>
          <w:rFonts w:eastAsia="Calibri" w:cs="Times New Roman"/>
          <w:szCs w:val="24"/>
        </w:rPr>
      </w:pPr>
      <w:r w:rsidRPr="00ED7D13">
        <w:rPr>
          <w:rFonts w:eastAsia="Calibri" w:cs="Times New Roman"/>
          <w:szCs w:val="24"/>
        </w:rPr>
        <w:t>Levantar diretrizes e propostas para soluções de problemas locais, através da manifestação popular, a serem consideradas na construção dos diagnósticos e propostas do Plano.</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 xml:space="preserve">A mobilização e sensibilização da comunidade é a ação mais complexa de todo o programa e deve ser planejada objetivando alcançar o maior número de moradores do município de Aimorés. As ações da mobilização devem ter um conteúdo educativo e informativo e devem atingir cronologicamente o núcleo gestor, os multiplicadores de ideias e a população para uma maior efetividade. </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O núcleo gestor deve ser formado com líderes ou representantes das regiões que, com sua experiência e conhecimento das realidades locais.</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Os multiplicadores são os agentes e lideranças locais que se interessam pelo tema ambiental e social e que são multiplicadores das atividades em cada lugar onde vão se realizar as audiências públicas. Entre os multiplicadores estão os agentes de saúde, os representantes e funcionários da Prefeitura, representantes de escolas, representantes de centro e saúde, líderes religiosos, esportivos e comunitários, representantes empresariais, políticos e estudantes.</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Deve-se estabelecer em conjunto as atividades mobilizadoras e educativas mais adequadas para fazer o programa para chegar ao público. Para o PMSB Aimorés foram utilizadas as seguintes medidas:</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lastRenderedPageBreak/>
        <w:t>- Carro/Moto/Bicicleta de Som;</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 Folders entregues aos munícipes na rua e no evento do aniversário da cidade;</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 Faixas nos locais mais visitados;</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 Cartazes na prefeitura e nos centros comerciais;</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 Apresentação em rádios locais;</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 xml:space="preserve">Mas apesar dos esforços realizados para esta mobilização, percebemos que o melhor modo de mobilizar a população dos distritos é utilizando o método denominado “boca a boca”, que consiste na visita das casas dos moradores do distrito informando o assunto tratado, o local, o dia, e a importância da presença dos mesmos para melhor formação do trabalho no município. </w:t>
      </w:r>
    </w:p>
    <w:p w:rsidR="00ED7D13" w:rsidRPr="00A275C9" w:rsidRDefault="00ED7D13" w:rsidP="00ED7D13">
      <w:pPr>
        <w:pStyle w:val="Titulo"/>
      </w:pPr>
      <w:r w:rsidRPr="00A275C9">
        <w:t>11.</w:t>
      </w:r>
      <w:r>
        <w:t>8</w:t>
      </w:r>
      <w:r w:rsidRPr="00A275C9">
        <w:t xml:space="preserve">.2 </w:t>
      </w:r>
      <w:r w:rsidRPr="00A84DE6">
        <w:t>Alguns problemas levantados pela comunidade durante a realização das audiências públicas do PMSB</w:t>
      </w:r>
      <w:r w:rsidRPr="00A275C9">
        <w:t xml:space="preserve"> </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b/>
          <w:szCs w:val="24"/>
        </w:rPr>
        <w:t xml:space="preserve">- </w:t>
      </w:r>
      <w:r w:rsidRPr="00ED7D13">
        <w:rPr>
          <w:rFonts w:eastAsia="Calibri" w:cs="Times New Roman"/>
          <w:szCs w:val="24"/>
        </w:rPr>
        <w:t>Nas audiências da sede do Município de Aimorés foi citado por três vezes em três, das quatro audiências da sede, sendo duas destas citações por delegados do PMSB, que há uma necessidade de aumentar a quantidade de reservação de água tratada, devido a momentos de interrupção do abastecimento de água;</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Na audiência do bairro Barra do Manhuaçu, foi sugerido por um dos delegados do PMSB, que se devem trocar todas as redes de amianto de distribuição de água, inclusive nesta audiência a prioridade de ação a ser executada é esta;</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Foi citado uma vez que se deve melhorar o serviço de abastecimento de água para a população, pois no distrito São João e no bairro Barra Preta só recebem este abastecimento à noite;</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Foi citado sete vezes em três audiências que há necessidade urgente de outros locais de captação de água, pois nos distritos de São Sebastião da Vala, Penha do Capim e Conceição, há na montante da captação, despejo de esgoto, despejo de água lixiviada de cemitérios, despejo de lixo, despejo de lixiviado de lavouras que utilizam agrotóxicos, de resíduos de bovino e suinocultura e de carcaças de animais;</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xml:space="preserve">- Citado nas audiências dos distritos de São Sebastião da Vala, Santo Antônio do Rio Doce, Penha do Capim, Alto Capim, Conceição do Capim, Mundo Novo de Minas, Expedicionário Alício e Conceição do Capim, deve-se melhorar o tratamento da água, </w:t>
      </w:r>
      <w:r w:rsidRPr="00ED7D13">
        <w:rPr>
          <w:rFonts w:eastAsia="Calibri" w:cs="Times New Roman"/>
          <w:szCs w:val="24"/>
        </w:rPr>
        <w:lastRenderedPageBreak/>
        <w:t>pois foi relatado que todos os distritos, excluindo o distrito de Tabaúna, há um forte gosto de cloro e barro, com odor forte, com presença de espuma na água e vários casos de doenças relacionadas ao consumo da água;</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Na audiência do distrito de Santo Antônio do Rio Doce, foi relatado por um delegado do PMSB, que se deve aumentar a rede de abastecimento, pois há dois loteamentos que estão sem acesso a água tratada, os loteamentos denominados de Mauá 1 e Mauá 2;</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Nas audiências dos distritos de Penha do Capim e Alto Capim, foi citado por duas vezes que se deve melhorar a forma de cobrança do tratamento e abastecimento, pois o valor mínimo cobrado é de 31 reais, mesmo se o serviço não for executado na integra ou mesmo se o serviço não tiver sido utilizado;</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Nas audiências dos distritos de Mundo Novo de Minas, Penha do Capim foi cita</w:t>
      </w:r>
      <w:r>
        <w:rPr>
          <w:rFonts w:eastAsia="Calibri" w:cs="Times New Roman"/>
          <w:szCs w:val="24"/>
        </w:rPr>
        <w:t>do</w:t>
      </w:r>
      <w:r w:rsidRPr="00ED7D13">
        <w:rPr>
          <w:rFonts w:eastAsia="Calibri" w:cs="Times New Roman"/>
          <w:szCs w:val="24"/>
        </w:rPr>
        <w:t xml:space="preserve"> que se devem implantar medidas de tratamento mais eficazes, pois as Estações de Tratamento de Água destes distritos e da localidade da São João do Capim só adicionam cloro como medida de desinfecção.</w:t>
      </w:r>
    </w:p>
    <w:p w:rsidR="00E32574" w:rsidRPr="00BA341D" w:rsidRDefault="00BA341D" w:rsidP="00971B37">
      <w:pPr>
        <w:pStyle w:val="Titulo"/>
      </w:pPr>
      <w:r w:rsidRPr="00A275C9">
        <w:t>11.</w:t>
      </w:r>
      <w:r w:rsidR="00E64A13">
        <w:t>9</w:t>
      </w:r>
      <w:r w:rsidRPr="00A275C9">
        <w:t xml:space="preserve"> </w:t>
      </w:r>
      <w:r w:rsidR="00E32574" w:rsidRPr="00BA38F4">
        <w:t>Prestador do Serviço</w:t>
      </w:r>
      <w:bookmarkEnd w:id="345"/>
      <w:bookmarkEnd w:id="346"/>
    </w:p>
    <w:p w:rsidR="00E32574" w:rsidRDefault="00E32574" w:rsidP="00A173AA">
      <w:pPr>
        <w:pStyle w:val="CM71"/>
        <w:spacing w:line="360" w:lineRule="auto"/>
        <w:ind w:firstLine="709"/>
        <w:jc w:val="both"/>
        <w:rPr>
          <w:rFonts w:ascii="Times New Roman" w:hAnsi="Times New Roman" w:cs="Times New Roman"/>
        </w:rPr>
      </w:pPr>
      <w:r w:rsidRPr="00CE0765">
        <w:rPr>
          <w:rFonts w:ascii="Times New Roman" w:hAnsi="Times New Roman" w:cs="Times New Roman"/>
        </w:rPr>
        <w:t xml:space="preserve">O prestador do serviço de Abastecimento de Água é o Serviço Autônomo de Água </w:t>
      </w:r>
      <w:r w:rsidR="00A173AA">
        <w:rPr>
          <w:rFonts w:ascii="Times New Roman" w:hAnsi="Times New Roman" w:cs="Times New Roman"/>
        </w:rPr>
        <w:t xml:space="preserve">e Esgoto </w:t>
      </w:r>
      <w:r w:rsidRPr="00CE0765">
        <w:rPr>
          <w:rFonts w:ascii="Times New Roman" w:hAnsi="Times New Roman" w:cs="Times New Roman"/>
        </w:rPr>
        <w:t xml:space="preserve">– SAAE, sendo uma Autarquia Municipal. </w:t>
      </w:r>
      <w:r>
        <w:rPr>
          <w:rFonts w:ascii="Times New Roman" w:hAnsi="Times New Roman" w:cs="Times New Roman"/>
        </w:rPr>
        <w:t xml:space="preserve">Fica localizada na Rua José Pego Sobrinho, n° 199, Igrejinha, Aimorés-MG, </w:t>
      </w:r>
      <w:r w:rsidR="00A173AA">
        <w:rPr>
          <w:rFonts w:ascii="Times New Roman" w:hAnsi="Times New Roman" w:cs="Times New Roman"/>
        </w:rPr>
        <w:t xml:space="preserve">sendo seu </w:t>
      </w:r>
      <w:r>
        <w:rPr>
          <w:rFonts w:ascii="Times New Roman" w:hAnsi="Times New Roman" w:cs="Times New Roman"/>
        </w:rPr>
        <w:t xml:space="preserve">CNPJ </w:t>
      </w:r>
      <w:r w:rsidR="00A173AA">
        <w:rPr>
          <w:rFonts w:ascii="Times New Roman" w:hAnsi="Times New Roman" w:cs="Times New Roman"/>
        </w:rPr>
        <w:t xml:space="preserve">de nº. </w:t>
      </w:r>
      <w:r>
        <w:rPr>
          <w:rFonts w:ascii="Times New Roman" w:hAnsi="Times New Roman" w:cs="Times New Roman"/>
        </w:rPr>
        <w:t>16.978.926/0001-96. A autarquia foi criada em 22 de dezembro de 1969, a partir da Lei Municipal n°</w:t>
      </w:r>
      <w:r w:rsidR="00A173AA">
        <w:rPr>
          <w:rFonts w:ascii="Times New Roman" w:hAnsi="Times New Roman" w:cs="Times New Roman"/>
        </w:rPr>
        <w:t>.</w:t>
      </w:r>
      <w:r>
        <w:rPr>
          <w:rFonts w:ascii="Times New Roman" w:hAnsi="Times New Roman" w:cs="Times New Roman"/>
        </w:rPr>
        <w:t xml:space="preserve"> 665 de 22 de dezembro de 1969. </w:t>
      </w:r>
    </w:p>
    <w:p w:rsidR="00E32574" w:rsidRPr="006C1C6C" w:rsidRDefault="00E32574" w:rsidP="00A173AA">
      <w:pPr>
        <w:pStyle w:val="CM71"/>
        <w:spacing w:line="360" w:lineRule="auto"/>
        <w:ind w:firstLine="709"/>
        <w:jc w:val="both"/>
        <w:rPr>
          <w:rFonts w:ascii="Times New Roman" w:hAnsi="Times New Roman" w:cs="Times New Roman"/>
        </w:rPr>
      </w:pPr>
      <w:r w:rsidRPr="006C1C6C">
        <w:rPr>
          <w:rFonts w:ascii="Times New Roman" w:hAnsi="Times New Roman" w:cs="Times New Roman"/>
        </w:rPr>
        <w:t>O termo autarquia surgiu na Itália em 189</w:t>
      </w:r>
      <w:r>
        <w:rPr>
          <w:rFonts w:ascii="Times New Roman" w:hAnsi="Times New Roman" w:cs="Times New Roman"/>
        </w:rPr>
        <w:t xml:space="preserve">7 quando </w:t>
      </w:r>
      <w:r w:rsidRPr="006C1C6C">
        <w:rPr>
          <w:rFonts w:ascii="Times New Roman" w:hAnsi="Times New Roman" w:cs="Times New Roman"/>
          <w:i/>
        </w:rPr>
        <w:t>Santi Romano</w:t>
      </w:r>
      <w:r>
        <w:rPr>
          <w:rFonts w:ascii="Times New Roman" w:hAnsi="Times New Roman" w:cs="Times New Roman"/>
        </w:rPr>
        <w:t xml:space="preserve"> discorria </w:t>
      </w:r>
      <w:r w:rsidRPr="006C1C6C">
        <w:rPr>
          <w:rFonts w:ascii="Times New Roman" w:hAnsi="Times New Roman" w:cs="Times New Roman"/>
        </w:rPr>
        <w:t>sobre o tema “</w:t>
      </w:r>
      <w:r w:rsidRPr="006C1C6C">
        <w:rPr>
          <w:rFonts w:ascii="Times New Roman" w:hAnsi="Times New Roman" w:cs="Times New Roman"/>
          <w:i/>
        </w:rPr>
        <w:t>decentramento amministrativo</w:t>
      </w:r>
      <w:r w:rsidRPr="006C1C6C">
        <w:rPr>
          <w:rFonts w:ascii="Times New Roman" w:hAnsi="Times New Roman" w:cs="Times New Roman"/>
        </w:rPr>
        <w:t>”</w:t>
      </w:r>
      <w:r>
        <w:rPr>
          <w:rFonts w:ascii="Times New Roman" w:hAnsi="Times New Roman" w:cs="Times New Roman"/>
        </w:rPr>
        <w:t xml:space="preserve">, referindo-se às comunas, </w:t>
      </w:r>
      <w:r w:rsidRPr="006C1C6C">
        <w:rPr>
          <w:rFonts w:ascii="Times New Roman" w:hAnsi="Times New Roman" w:cs="Times New Roman"/>
        </w:rPr>
        <w:t>províncias e outros entes públicos existentes nos Estados unitários.</w:t>
      </w:r>
      <w:r>
        <w:rPr>
          <w:rFonts w:ascii="Times New Roman" w:hAnsi="Times New Roman" w:cs="Times New Roman"/>
        </w:rPr>
        <w:t xml:space="preserve"> </w:t>
      </w:r>
      <w:r w:rsidRPr="006C1C6C">
        <w:rPr>
          <w:rFonts w:ascii="Times New Roman" w:hAnsi="Times New Roman" w:cs="Times New Roman"/>
        </w:rPr>
        <w:t>No direito positivo brasileiro, as autarquias surgiram no Decreto-lei n</w:t>
      </w:r>
      <w:r>
        <w:rPr>
          <w:rFonts w:ascii="Times New Roman" w:hAnsi="Times New Roman" w:cs="Times New Roman"/>
        </w:rPr>
        <w:t xml:space="preserve">° </w:t>
      </w:r>
      <w:r w:rsidRPr="006C1C6C">
        <w:rPr>
          <w:rFonts w:ascii="Times New Roman" w:hAnsi="Times New Roman" w:cs="Times New Roman"/>
        </w:rPr>
        <w:t xml:space="preserve">6.016, de 22 de novembro de 1943, como sendo o </w:t>
      </w:r>
      <w:r>
        <w:rPr>
          <w:rFonts w:ascii="Times New Roman" w:hAnsi="Times New Roman" w:cs="Times New Roman"/>
        </w:rPr>
        <w:t xml:space="preserve">serviço estatal descentralizado </w:t>
      </w:r>
      <w:r w:rsidRPr="006C1C6C">
        <w:rPr>
          <w:rFonts w:ascii="Times New Roman" w:hAnsi="Times New Roman" w:cs="Times New Roman"/>
        </w:rPr>
        <w:t>com personalidade de direito públi</w:t>
      </w:r>
      <w:r>
        <w:rPr>
          <w:rFonts w:ascii="Times New Roman" w:hAnsi="Times New Roman" w:cs="Times New Roman"/>
        </w:rPr>
        <w:t>co, explícita ou implicitamente reconhecida por lei (FGV, 2013).</w:t>
      </w:r>
    </w:p>
    <w:p w:rsidR="00E32574" w:rsidRDefault="00E32574" w:rsidP="00A173AA">
      <w:pPr>
        <w:pStyle w:val="CM71"/>
        <w:spacing w:line="360" w:lineRule="auto"/>
        <w:ind w:firstLine="709"/>
        <w:jc w:val="both"/>
        <w:rPr>
          <w:rFonts w:ascii="Times New Roman" w:hAnsi="Times New Roman" w:cs="Times New Roman"/>
        </w:rPr>
      </w:pPr>
      <w:r>
        <w:rPr>
          <w:rFonts w:ascii="Times New Roman" w:hAnsi="Times New Roman" w:cs="Times New Roman"/>
        </w:rPr>
        <w:t>Em 1949, a Lei n°</w:t>
      </w:r>
      <w:r w:rsidRPr="006C1C6C">
        <w:rPr>
          <w:rFonts w:ascii="Times New Roman" w:hAnsi="Times New Roman" w:cs="Times New Roman"/>
        </w:rPr>
        <w:t xml:space="preserve"> 830, de 23 de setembro</w:t>
      </w:r>
      <w:r>
        <w:rPr>
          <w:rFonts w:ascii="Times New Roman" w:hAnsi="Times New Roman" w:cs="Times New Roman"/>
        </w:rPr>
        <w:t xml:space="preserve">, que reorganizou o Tribunal de </w:t>
      </w:r>
      <w:r w:rsidRPr="006C1C6C">
        <w:rPr>
          <w:rFonts w:ascii="Times New Roman" w:hAnsi="Times New Roman" w:cs="Times New Roman"/>
        </w:rPr>
        <w:t>Contas da União, regulamentando o artigo 9</w:t>
      </w:r>
      <w:r>
        <w:rPr>
          <w:rFonts w:ascii="Times New Roman" w:hAnsi="Times New Roman" w:cs="Times New Roman"/>
        </w:rPr>
        <w:t>7 da Constituição Federal então vigente, defi</w:t>
      </w:r>
      <w:r w:rsidRPr="006C1C6C">
        <w:rPr>
          <w:rFonts w:ascii="Times New Roman" w:hAnsi="Times New Roman" w:cs="Times New Roman"/>
        </w:rPr>
        <w:t>niu em seu artigo 139 as entida</w:t>
      </w:r>
      <w:r>
        <w:rPr>
          <w:rFonts w:ascii="Times New Roman" w:hAnsi="Times New Roman" w:cs="Times New Roman"/>
        </w:rPr>
        <w:t xml:space="preserve">des autárquicas como sendo: (i) </w:t>
      </w:r>
      <w:r w:rsidRPr="006C1C6C">
        <w:rPr>
          <w:rFonts w:ascii="Times New Roman" w:hAnsi="Times New Roman" w:cs="Times New Roman"/>
        </w:rPr>
        <w:t>o serviço estatal, descentralizado, com personalid</w:t>
      </w:r>
      <w:r>
        <w:rPr>
          <w:rFonts w:ascii="Times New Roman" w:hAnsi="Times New Roman" w:cs="Times New Roman"/>
        </w:rPr>
        <w:t xml:space="preserve">ade jurídica, custeado mediante </w:t>
      </w:r>
      <w:r w:rsidRPr="006C1C6C">
        <w:rPr>
          <w:rFonts w:ascii="Times New Roman" w:hAnsi="Times New Roman" w:cs="Times New Roman"/>
        </w:rPr>
        <w:t xml:space="preserve">orçamento próprio, independente do </w:t>
      </w:r>
      <w:r w:rsidRPr="006C1C6C">
        <w:rPr>
          <w:rFonts w:ascii="Times New Roman" w:hAnsi="Times New Roman" w:cs="Times New Roman"/>
        </w:rPr>
        <w:lastRenderedPageBreak/>
        <w:t>or</w:t>
      </w:r>
      <w:r>
        <w:rPr>
          <w:rFonts w:ascii="Times New Roman" w:hAnsi="Times New Roman" w:cs="Times New Roman"/>
        </w:rPr>
        <w:t xml:space="preserve">çamento geral; e (ii) as demais </w:t>
      </w:r>
      <w:r w:rsidRPr="006C1C6C">
        <w:rPr>
          <w:rFonts w:ascii="Times New Roman" w:hAnsi="Times New Roman" w:cs="Times New Roman"/>
        </w:rPr>
        <w:t xml:space="preserve">pessoas jurídicas especialmente instituídas por </w:t>
      </w:r>
      <w:r>
        <w:rPr>
          <w:rFonts w:ascii="Times New Roman" w:hAnsi="Times New Roman" w:cs="Times New Roman"/>
        </w:rPr>
        <w:t xml:space="preserve">lei para execução de serviço de </w:t>
      </w:r>
      <w:r w:rsidRPr="006C1C6C">
        <w:rPr>
          <w:rFonts w:ascii="Times New Roman" w:hAnsi="Times New Roman" w:cs="Times New Roman"/>
        </w:rPr>
        <w:t>interesse público ou social, custeadas por tributos de qualquer natureza ou</w:t>
      </w:r>
      <w:r>
        <w:rPr>
          <w:rFonts w:ascii="Times New Roman" w:hAnsi="Times New Roman" w:cs="Times New Roman"/>
        </w:rPr>
        <w:t xml:space="preserve"> </w:t>
      </w:r>
      <w:r w:rsidRPr="006C1C6C">
        <w:rPr>
          <w:rFonts w:ascii="Times New Roman" w:hAnsi="Times New Roman" w:cs="Times New Roman"/>
        </w:rPr>
        <w:t>por outr</w:t>
      </w:r>
      <w:r>
        <w:rPr>
          <w:rFonts w:ascii="Times New Roman" w:hAnsi="Times New Roman" w:cs="Times New Roman"/>
        </w:rPr>
        <w:t>os recursos oriundos do Tesouro (FGV, 2013).</w:t>
      </w:r>
    </w:p>
    <w:p w:rsidR="00E32574" w:rsidRDefault="00E32574" w:rsidP="00E32574">
      <w:pPr>
        <w:pStyle w:val="CM71"/>
        <w:spacing w:line="360" w:lineRule="auto"/>
        <w:ind w:firstLine="708"/>
        <w:jc w:val="both"/>
        <w:rPr>
          <w:rFonts w:ascii="Times New Roman" w:hAnsi="Times New Roman" w:cs="Times New Roman"/>
        </w:rPr>
      </w:pPr>
      <w:r w:rsidRPr="006C1C6C">
        <w:rPr>
          <w:rFonts w:ascii="Times New Roman" w:hAnsi="Times New Roman" w:cs="Times New Roman"/>
        </w:rPr>
        <w:t>Por sua vez, o Decreto-lei n</w:t>
      </w:r>
      <w:r>
        <w:rPr>
          <w:rFonts w:ascii="Times New Roman" w:hAnsi="Times New Roman" w:cs="Times New Roman"/>
        </w:rPr>
        <w:t>°</w:t>
      </w:r>
      <w:r w:rsidRPr="006C1C6C">
        <w:rPr>
          <w:rFonts w:ascii="Times New Roman" w:hAnsi="Times New Roman" w:cs="Times New Roman"/>
        </w:rPr>
        <w:t xml:space="preserve"> 200, de 25-02-1967,</w:t>
      </w:r>
      <w:r>
        <w:rPr>
          <w:rFonts w:ascii="Times New Roman" w:hAnsi="Times New Roman" w:cs="Times New Roman"/>
        </w:rPr>
        <w:t xml:space="preserve"> que dispõe sobre a organização </w:t>
      </w:r>
      <w:r w:rsidRPr="006C1C6C">
        <w:rPr>
          <w:rFonts w:ascii="Times New Roman" w:hAnsi="Times New Roman" w:cs="Times New Roman"/>
        </w:rPr>
        <w:t>da Administração Federal e estabe</w:t>
      </w:r>
      <w:r>
        <w:rPr>
          <w:rFonts w:ascii="Times New Roman" w:hAnsi="Times New Roman" w:cs="Times New Roman"/>
        </w:rPr>
        <w:t xml:space="preserve">leceu diretrizes para a Reforma </w:t>
      </w:r>
      <w:r w:rsidRPr="006C1C6C">
        <w:rPr>
          <w:rFonts w:ascii="Times New Roman" w:hAnsi="Times New Roman" w:cs="Times New Roman"/>
        </w:rPr>
        <w:t>Administrativa à época,</w:t>
      </w:r>
      <w:r>
        <w:rPr>
          <w:rFonts w:ascii="Times New Roman" w:hAnsi="Times New Roman" w:cs="Times New Roman"/>
        </w:rPr>
        <w:t xml:space="preserve"> definiu autarquia como sendo:</w:t>
      </w:r>
      <w:r w:rsidRPr="006C1C6C">
        <w:rPr>
          <w:rFonts w:ascii="Times New Roman" w:hAnsi="Times New Roman" w:cs="Times New Roman"/>
        </w:rPr>
        <w:t xml:space="preserve"> </w:t>
      </w:r>
      <w:r w:rsidR="00BA38F4">
        <w:rPr>
          <w:rFonts w:ascii="Times New Roman" w:hAnsi="Times New Roman" w:cs="Times New Roman"/>
        </w:rPr>
        <w:t>“</w:t>
      </w:r>
      <w:r w:rsidRPr="006C1C6C">
        <w:rPr>
          <w:rFonts w:ascii="Times New Roman" w:hAnsi="Times New Roman" w:cs="Times New Roman"/>
        </w:rPr>
        <w:t>o serviço autônomo criado por lei, com per</w:t>
      </w:r>
      <w:r>
        <w:rPr>
          <w:rFonts w:ascii="Times New Roman" w:hAnsi="Times New Roman" w:cs="Times New Roman"/>
        </w:rPr>
        <w:t xml:space="preserve">sonalidade jurídica, patrimônio </w:t>
      </w:r>
      <w:r w:rsidRPr="006C1C6C">
        <w:rPr>
          <w:rFonts w:ascii="Times New Roman" w:hAnsi="Times New Roman" w:cs="Times New Roman"/>
        </w:rPr>
        <w:t>e receita próprios, para executar atividades típic</w:t>
      </w:r>
      <w:r>
        <w:rPr>
          <w:rFonts w:ascii="Times New Roman" w:hAnsi="Times New Roman" w:cs="Times New Roman"/>
        </w:rPr>
        <w:t xml:space="preserve">as da administração pública que </w:t>
      </w:r>
      <w:r w:rsidRPr="006C1C6C">
        <w:rPr>
          <w:rFonts w:ascii="Times New Roman" w:hAnsi="Times New Roman" w:cs="Times New Roman"/>
        </w:rPr>
        <w:t>requeiram, para seu melhor funcionamento, gest</w:t>
      </w:r>
      <w:r>
        <w:rPr>
          <w:rFonts w:ascii="Times New Roman" w:hAnsi="Times New Roman" w:cs="Times New Roman"/>
        </w:rPr>
        <w:t>ão administrativa e financeira descentralizada</w:t>
      </w:r>
      <w:r w:rsidR="00BA38F4">
        <w:rPr>
          <w:rFonts w:ascii="Times New Roman" w:hAnsi="Times New Roman" w:cs="Times New Roman"/>
        </w:rPr>
        <w:t>”</w:t>
      </w:r>
      <w:r>
        <w:rPr>
          <w:rFonts w:ascii="Times New Roman" w:hAnsi="Times New Roman" w:cs="Times New Roman"/>
        </w:rPr>
        <w:t xml:space="preserve"> (FGV, 2013).</w:t>
      </w:r>
    </w:p>
    <w:p w:rsidR="00E32574" w:rsidRPr="006C1C6C" w:rsidRDefault="00E32574" w:rsidP="00BA38F4">
      <w:pPr>
        <w:pStyle w:val="CM71"/>
        <w:spacing w:line="360" w:lineRule="auto"/>
        <w:ind w:firstLine="708"/>
        <w:jc w:val="both"/>
        <w:rPr>
          <w:rFonts w:ascii="Times New Roman" w:hAnsi="Times New Roman" w:cs="Times New Roman"/>
        </w:rPr>
      </w:pPr>
      <w:r w:rsidRPr="006C1C6C">
        <w:rPr>
          <w:rFonts w:ascii="Times New Roman" w:hAnsi="Times New Roman" w:cs="Times New Roman"/>
        </w:rPr>
        <w:t>A definição trazida pelo decreto-lei no 200/67 deixa extreme de dúvidas que as autarquias exercem funções administrativas – “atividades típicas da administração pública”, sendo, por conseguinte, pessoas jurídicas de direito público. As autarquias possuem determinado grau d</w:t>
      </w:r>
      <w:r>
        <w:rPr>
          <w:rFonts w:ascii="Times New Roman" w:hAnsi="Times New Roman" w:cs="Times New Roman"/>
        </w:rPr>
        <w:t>e autonomia face à Administraçã</w:t>
      </w:r>
      <w:r w:rsidR="00BA38F4">
        <w:rPr>
          <w:rFonts w:ascii="Times New Roman" w:hAnsi="Times New Roman" w:cs="Times New Roman"/>
        </w:rPr>
        <w:t>o</w:t>
      </w:r>
      <w:r>
        <w:rPr>
          <w:rFonts w:ascii="Times New Roman" w:hAnsi="Times New Roman" w:cs="Times New Roman"/>
        </w:rPr>
        <w:t xml:space="preserve"> </w:t>
      </w:r>
      <w:r w:rsidR="00BA38F4" w:rsidRPr="006C1C6C">
        <w:rPr>
          <w:rFonts w:ascii="Times New Roman" w:hAnsi="Times New Roman" w:cs="Times New Roman"/>
        </w:rPr>
        <w:t>Pública Direta, uma vez que lhe são inerentes as características de personalidade jurídica própria, bem como patrimônio e receitas próprios</w:t>
      </w:r>
      <w:r w:rsidR="00BA38F4">
        <w:rPr>
          <w:rFonts w:ascii="Times New Roman" w:hAnsi="Times New Roman" w:cs="Times New Roman"/>
        </w:rPr>
        <w:t xml:space="preserve"> </w:t>
      </w:r>
      <w:r>
        <w:rPr>
          <w:rFonts w:ascii="Times New Roman" w:hAnsi="Times New Roman" w:cs="Times New Roman"/>
        </w:rPr>
        <w:t>(FGV, 2013).</w:t>
      </w:r>
    </w:p>
    <w:p w:rsidR="00E32574" w:rsidRPr="006C1C6C" w:rsidRDefault="00E32574" w:rsidP="00E32574">
      <w:pPr>
        <w:pStyle w:val="CM71"/>
        <w:spacing w:line="360" w:lineRule="auto"/>
        <w:ind w:firstLine="708"/>
        <w:jc w:val="both"/>
        <w:rPr>
          <w:rFonts w:ascii="Times New Roman" w:hAnsi="Times New Roman" w:cs="Times New Roman"/>
        </w:rPr>
      </w:pPr>
      <w:r w:rsidRPr="006C1C6C">
        <w:rPr>
          <w:rFonts w:ascii="Times New Roman" w:hAnsi="Times New Roman" w:cs="Times New Roman"/>
        </w:rPr>
        <w:t>As autarquias, sendo pessoas jurídicas de direito público interno, são instituídas por lei em sentido estrito, nos termos d</w:t>
      </w:r>
      <w:r>
        <w:rPr>
          <w:rFonts w:ascii="Times New Roman" w:hAnsi="Times New Roman" w:cs="Times New Roman"/>
        </w:rPr>
        <w:t xml:space="preserve">o art. 37, XIX, da Constituição </w:t>
      </w:r>
      <w:r w:rsidRPr="006C1C6C">
        <w:rPr>
          <w:rFonts w:ascii="Times New Roman" w:hAnsi="Times New Roman" w:cs="Times New Roman"/>
        </w:rPr>
        <w:t>Federal de 1988:</w:t>
      </w:r>
    </w:p>
    <w:p w:rsidR="00E32574" w:rsidRDefault="00E32574" w:rsidP="00E32574">
      <w:pPr>
        <w:pStyle w:val="CM71"/>
        <w:spacing w:line="360" w:lineRule="auto"/>
        <w:ind w:firstLine="708"/>
        <w:jc w:val="both"/>
        <w:rPr>
          <w:rFonts w:ascii="Times New Roman" w:hAnsi="Times New Roman" w:cs="Times New Roman"/>
        </w:rPr>
      </w:pPr>
      <w:r w:rsidRPr="006C1C6C">
        <w:rPr>
          <w:rFonts w:ascii="Times New Roman" w:hAnsi="Times New Roman" w:cs="Times New Roman"/>
        </w:rPr>
        <w:t>Somente por lei específica poderá ser criada autarquia e autorizada a instituição de empresa pública, sociedade de economia mista e de fundação, cabendo à lei complementar, neste último ca</w:t>
      </w:r>
      <w:r>
        <w:rPr>
          <w:rFonts w:ascii="Times New Roman" w:hAnsi="Times New Roman" w:cs="Times New Roman"/>
        </w:rPr>
        <w:t>so, definir as áreas de atuação (FGV, 2013).</w:t>
      </w:r>
    </w:p>
    <w:p w:rsidR="00E32574" w:rsidRPr="00AF3430" w:rsidRDefault="00E32574" w:rsidP="00E32574">
      <w:pPr>
        <w:pStyle w:val="CM71"/>
        <w:spacing w:line="360" w:lineRule="auto"/>
        <w:ind w:firstLine="708"/>
        <w:jc w:val="both"/>
        <w:rPr>
          <w:rFonts w:ascii="Times New Roman" w:hAnsi="Times New Roman" w:cs="Times New Roman"/>
        </w:rPr>
      </w:pPr>
      <w:r w:rsidRPr="00AF3430">
        <w:rPr>
          <w:rFonts w:ascii="Times New Roman" w:hAnsi="Times New Roman" w:cs="Times New Roman"/>
        </w:rPr>
        <w:t>Sendo parte da Administração pública, o anteprojeto de lei que as institua será de iniciativa privativa do Chefe do Poder</w:t>
      </w:r>
      <w:r>
        <w:rPr>
          <w:rFonts w:ascii="Times New Roman" w:hAnsi="Times New Roman" w:cs="Times New Roman"/>
        </w:rPr>
        <w:t xml:space="preserve"> Executivo, a teor do art. art. </w:t>
      </w:r>
      <w:r w:rsidRPr="00AF3430">
        <w:rPr>
          <w:rFonts w:ascii="Times New Roman" w:hAnsi="Times New Roman" w:cs="Times New Roman"/>
        </w:rPr>
        <w:t>61, §1o, II, ‘e’, CF/88:</w:t>
      </w:r>
    </w:p>
    <w:p w:rsidR="00E32574" w:rsidRPr="00AF3430" w:rsidRDefault="00E32574" w:rsidP="00E32574">
      <w:pPr>
        <w:pStyle w:val="CM71"/>
        <w:spacing w:line="360" w:lineRule="auto"/>
        <w:ind w:firstLine="708"/>
        <w:jc w:val="both"/>
        <w:rPr>
          <w:rFonts w:ascii="Times New Roman" w:hAnsi="Times New Roman" w:cs="Times New Roman"/>
        </w:rPr>
      </w:pPr>
      <w:r w:rsidRPr="00AF3430">
        <w:rPr>
          <w:rFonts w:ascii="Times New Roman" w:hAnsi="Times New Roman" w:cs="Times New Roman"/>
        </w:rPr>
        <w:t>Com a reforma do Estado empreendida ao longo da década de 90, o instituto da autarquia foi revisitado, com a criação das agências reguladoras, as quais possuem natureza jurídica de autarquias em regime especial. As características que tornam as agências reguladoras autarquias “especiais” serão objeto de estudo no próximo semestre.</w:t>
      </w:r>
      <w:r w:rsidRPr="00A150D8">
        <w:rPr>
          <w:rFonts w:ascii="Times New Roman" w:hAnsi="Times New Roman" w:cs="Times New Roman"/>
        </w:rPr>
        <w:t xml:space="preserve"> </w:t>
      </w:r>
      <w:r>
        <w:rPr>
          <w:rFonts w:ascii="Times New Roman" w:hAnsi="Times New Roman" w:cs="Times New Roman"/>
        </w:rPr>
        <w:t>(FGV, 2013).</w:t>
      </w:r>
    </w:p>
    <w:p w:rsidR="00BA38F4" w:rsidRDefault="00BA38F4" w:rsidP="00BA38F4">
      <w:pPr>
        <w:pStyle w:val="CM71"/>
        <w:spacing w:line="360" w:lineRule="auto"/>
        <w:ind w:firstLine="708"/>
        <w:jc w:val="both"/>
      </w:pPr>
      <w:r w:rsidRPr="00CC15F3">
        <w:rPr>
          <w:rFonts w:ascii="Times New Roman" w:hAnsi="Times New Roman" w:cs="Times New Roman"/>
        </w:rPr>
        <w:t xml:space="preserve">O Art. 7° da Lei Municipal n° 1.491 de 25 de outubro de 1995, que cria a Estrutura Administrativa do SAAE de Aimorés-MG, constitui os órgãos administrativos em consonância com as finalidades atribuídas, representados na Figura </w:t>
      </w:r>
      <w:r>
        <w:rPr>
          <w:rFonts w:ascii="Times New Roman" w:hAnsi="Times New Roman" w:cs="Times New Roman"/>
        </w:rPr>
        <w:t>111</w:t>
      </w:r>
      <w:r w:rsidRPr="00CC15F3">
        <w:rPr>
          <w:rFonts w:ascii="Times New Roman" w:hAnsi="Times New Roman" w:cs="Times New Roman"/>
        </w:rPr>
        <w:t xml:space="preserve"> abaixo:</w:t>
      </w:r>
    </w:p>
    <w:p w:rsidR="00E32574" w:rsidRDefault="00E32574" w:rsidP="00BA38F4">
      <w:pPr>
        <w:pStyle w:val="CM71"/>
        <w:spacing w:line="360" w:lineRule="auto"/>
        <w:ind w:firstLine="709"/>
        <w:jc w:val="both"/>
        <w:rPr>
          <w:rFonts w:ascii="Times New Roman" w:hAnsi="Times New Roman" w:cs="Times New Roman"/>
        </w:rPr>
      </w:pPr>
      <w:r>
        <w:rPr>
          <w:rFonts w:ascii="Times New Roman" w:hAnsi="Times New Roman" w:cs="Times New Roman"/>
        </w:rPr>
        <w:lastRenderedPageBreak/>
        <w:t xml:space="preserve">O SAAE possui sede própria na sede municipal, ainda conta com sete carros e oito motos para a prestação dos serviços. A arrecadação anual é de aproximadamente R$ 3.967.509,00 gerados a partir de tarifas e de outras fontes. O total de despesas anuais é de R$ 3.647.297,00, sendo </w:t>
      </w:r>
      <w:r w:rsidR="00BA38F4">
        <w:rPr>
          <w:rFonts w:ascii="Times New Roman" w:hAnsi="Times New Roman" w:cs="Times New Roman"/>
        </w:rPr>
        <w:t xml:space="preserve">que </w:t>
      </w:r>
      <w:r>
        <w:rPr>
          <w:rFonts w:ascii="Times New Roman" w:hAnsi="Times New Roman" w:cs="Times New Roman"/>
        </w:rPr>
        <w:t xml:space="preserve">as despesas com pessoal gira em torno de R$ 1.771.031,02; despesas com energia elétrica em R$ 426.000,00; produtos químicos é de R$ 17.776,00 e outros é de aproximadamente R$ 542.956,00 anuais. A despesa total de investimento varia entre R$ 621.708,00 ao ano. </w:t>
      </w:r>
    </w:p>
    <w:p w:rsidR="00E32574" w:rsidRDefault="00E32574" w:rsidP="00E32574">
      <w:pPr>
        <w:rPr>
          <w:lang w:eastAsia="pt-BR"/>
        </w:rPr>
        <w:sectPr w:rsidR="00E32574" w:rsidSect="00E32574">
          <w:pgSz w:w="11906" w:h="16838"/>
          <w:pgMar w:top="1417" w:right="1701" w:bottom="1417" w:left="1701" w:header="708" w:footer="708" w:gutter="0"/>
          <w:cols w:space="708"/>
          <w:docGrid w:linePitch="360"/>
        </w:sectPr>
      </w:pPr>
    </w:p>
    <w:p w:rsidR="009C5985" w:rsidRPr="00BA38F4" w:rsidRDefault="00291A25" w:rsidP="00291A25">
      <w:pPr>
        <w:pStyle w:val="Legenda"/>
      </w:pPr>
      <w:bookmarkStart w:id="347" w:name="_Toc372740194"/>
      <w:r>
        <w:lastRenderedPageBreak/>
        <w:t xml:space="preserve">Figura </w:t>
      </w:r>
      <w:fldSimple w:instr=" SEQ Figura \* ARABIC ">
        <w:r w:rsidR="004F77E2">
          <w:rPr>
            <w:noProof/>
          </w:rPr>
          <w:t>111</w:t>
        </w:r>
      </w:fldSimple>
      <w:r>
        <w:t xml:space="preserve"> - </w:t>
      </w:r>
      <w:r w:rsidRPr="00740942">
        <w:rPr>
          <w:noProof/>
        </w:rPr>
        <w:t>Organograma da estrutura administrativa do SAAE de Aimorés.</w:t>
      </w:r>
      <w:bookmarkEnd w:id="347"/>
    </w:p>
    <w:p w:rsidR="00E32574" w:rsidRPr="00BA38F4" w:rsidRDefault="00E32574" w:rsidP="00BA38F4">
      <w:pPr>
        <w:rPr>
          <w:rFonts w:cs="Times New Roman"/>
          <w:sz w:val="20"/>
          <w:szCs w:val="20"/>
          <w:lang w:eastAsia="pt-BR"/>
        </w:rPr>
      </w:pPr>
      <w:r w:rsidRPr="00BA38F4">
        <w:rPr>
          <w:rFonts w:cs="Times New Roman"/>
          <w:noProof/>
          <w:szCs w:val="24"/>
          <w:bdr w:val="single" w:sz="4" w:space="0" w:color="auto"/>
          <w:lang w:eastAsia="pt-BR"/>
        </w:rPr>
        <w:drawing>
          <wp:inline distT="0" distB="0" distL="0" distR="0" wp14:anchorId="753F7AB0" wp14:editId="1F5297C4">
            <wp:extent cx="9429115" cy="3713480"/>
            <wp:effectExtent l="0" t="0" r="57785" b="0"/>
            <wp:docPr id="57" name="Diagrama 5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2" r:lo="rId163" r:qs="rId164" r:cs="rId165"/>
              </a:graphicData>
            </a:graphic>
          </wp:inline>
        </w:drawing>
      </w:r>
      <w:r w:rsidRPr="00BA38F4">
        <w:rPr>
          <w:rFonts w:cs="Times New Roman"/>
          <w:sz w:val="20"/>
          <w:szCs w:val="20"/>
          <w:lang w:eastAsia="pt-BR"/>
        </w:rPr>
        <w:t>Fonte: Fundação Educacional de Caratinga - FUNEC, 2013</w:t>
      </w:r>
    </w:p>
    <w:p w:rsidR="00E32574" w:rsidRDefault="00E32574" w:rsidP="00E32574">
      <w:pPr>
        <w:rPr>
          <w:lang w:eastAsia="pt-BR"/>
        </w:rPr>
      </w:pPr>
    </w:p>
    <w:p w:rsidR="00E32574" w:rsidRDefault="00E32574" w:rsidP="00E32574">
      <w:pPr>
        <w:rPr>
          <w:lang w:eastAsia="pt-BR"/>
        </w:rPr>
        <w:sectPr w:rsidR="00E32574" w:rsidSect="00E32574">
          <w:pgSz w:w="16838" w:h="11906" w:orient="landscape"/>
          <w:pgMar w:top="1701" w:right="1418" w:bottom="1701" w:left="1418" w:header="709" w:footer="709" w:gutter="0"/>
          <w:cols w:space="708"/>
          <w:docGrid w:linePitch="360"/>
        </w:sectPr>
      </w:pPr>
    </w:p>
    <w:p w:rsidR="00E32574" w:rsidRPr="00A275C9" w:rsidRDefault="00C82D86" w:rsidP="00971B37">
      <w:pPr>
        <w:pStyle w:val="Titulo"/>
      </w:pPr>
      <w:bookmarkStart w:id="348" w:name="_Toc372559114"/>
      <w:bookmarkStart w:id="349" w:name="_Toc372789546"/>
      <w:r w:rsidRPr="00A275C9">
        <w:lastRenderedPageBreak/>
        <w:t>11.</w:t>
      </w:r>
      <w:r w:rsidR="00E64A13">
        <w:t>9</w:t>
      </w:r>
      <w:r w:rsidRPr="00A275C9">
        <w:t xml:space="preserve">.1 </w:t>
      </w:r>
      <w:r w:rsidR="00E32574" w:rsidRPr="00A275C9">
        <w:t>Reclamações e Solicitações</w:t>
      </w:r>
      <w:bookmarkEnd w:id="348"/>
      <w:bookmarkEnd w:id="349"/>
    </w:p>
    <w:p w:rsidR="00E32574" w:rsidRDefault="00E32574" w:rsidP="00BA38F4">
      <w:pPr>
        <w:pStyle w:val="CM71"/>
        <w:spacing w:line="360" w:lineRule="auto"/>
        <w:ind w:firstLine="709"/>
        <w:jc w:val="both"/>
        <w:rPr>
          <w:rFonts w:ascii="Times New Roman" w:hAnsi="Times New Roman" w:cs="Times New Roman"/>
        </w:rPr>
      </w:pPr>
      <w:r w:rsidRPr="00561948">
        <w:rPr>
          <w:rFonts w:ascii="Times New Roman" w:hAnsi="Times New Roman" w:cs="Times New Roman"/>
        </w:rPr>
        <w:t>O SAAE do município de Aimorés não possui um banco de dados para registro de reclamações e/ou solicitações acerca dos serviços prestados em Abastecimento de Água e Esgoto.</w:t>
      </w:r>
    </w:p>
    <w:p w:rsidR="00E32574" w:rsidRPr="00A275C9" w:rsidRDefault="00C82D86" w:rsidP="00971B37">
      <w:pPr>
        <w:pStyle w:val="Titulo"/>
      </w:pPr>
      <w:bookmarkStart w:id="350" w:name="_Toc372559115"/>
      <w:bookmarkStart w:id="351" w:name="_Toc372789547"/>
      <w:r w:rsidRPr="00A275C9">
        <w:t>11.</w:t>
      </w:r>
      <w:r w:rsidR="00E64A13">
        <w:t>9</w:t>
      </w:r>
      <w:r w:rsidRPr="00A275C9">
        <w:t xml:space="preserve">.2 </w:t>
      </w:r>
      <w:r w:rsidR="00E32574" w:rsidRPr="00A275C9">
        <w:t>Empregados</w:t>
      </w:r>
      <w:bookmarkEnd w:id="350"/>
      <w:bookmarkEnd w:id="351"/>
      <w:r w:rsidR="00E32574" w:rsidRPr="00A275C9">
        <w:t xml:space="preserve"> </w:t>
      </w:r>
    </w:p>
    <w:p w:rsidR="00E32574" w:rsidRPr="00E05FF5" w:rsidRDefault="00E32574" w:rsidP="00E32574">
      <w:pPr>
        <w:pStyle w:val="CM71"/>
        <w:spacing w:line="360" w:lineRule="auto"/>
        <w:ind w:firstLine="708"/>
        <w:jc w:val="both"/>
        <w:rPr>
          <w:rFonts w:ascii="Times New Roman" w:hAnsi="Times New Roman" w:cs="Times New Roman"/>
        </w:rPr>
      </w:pPr>
      <w:r w:rsidRPr="00C67806">
        <w:rPr>
          <w:rFonts w:ascii="Times New Roman" w:hAnsi="Times New Roman" w:cs="Times New Roman"/>
        </w:rPr>
        <w:t>O SAAE possui 5</w:t>
      </w:r>
      <w:r>
        <w:rPr>
          <w:rFonts w:ascii="Times New Roman" w:hAnsi="Times New Roman" w:cs="Times New Roman"/>
        </w:rPr>
        <w:t>6</w:t>
      </w:r>
      <w:r w:rsidRPr="00C67806">
        <w:rPr>
          <w:rFonts w:ascii="Times New Roman" w:hAnsi="Times New Roman" w:cs="Times New Roman"/>
        </w:rPr>
        <w:t xml:space="preserve"> empregados, dentre estes, 15 fazem serviços de administração, 2</w:t>
      </w:r>
      <w:r>
        <w:rPr>
          <w:rFonts w:ascii="Times New Roman" w:hAnsi="Times New Roman" w:cs="Times New Roman"/>
        </w:rPr>
        <w:t>0</w:t>
      </w:r>
      <w:r w:rsidRPr="00C67806">
        <w:rPr>
          <w:rFonts w:ascii="Times New Roman" w:hAnsi="Times New Roman" w:cs="Times New Roman"/>
        </w:rPr>
        <w:t xml:space="preserve"> fazem serviços de operação e </w:t>
      </w:r>
      <w:r>
        <w:rPr>
          <w:rFonts w:ascii="Times New Roman" w:hAnsi="Times New Roman" w:cs="Times New Roman"/>
        </w:rPr>
        <w:t>21</w:t>
      </w:r>
      <w:r w:rsidRPr="00C67806">
        <w:rPr>
          <w:rFonts w:ascii="Times New Roman" w:hAnsi="Times New Roman" w:cs="Times New Roman"/>
        </w:rPr>
        <w:t xml:space="preserve"> fazem servi</w:t>
      </w:r>
      <w:r>
        <w:rPr>
          <w:rFonts w:ascii="Times New Roman" w:hAnsi="Times New Roman" w:cs="Times New Roman"/>
        </w:rPr>
        <w:t>ços de manutenção (dados de 2013) (</w:t>
      </w:r>
      <w:r w:rsidRPr="00E05FF5">
        <w:rPr>
          <w:rFonts w:ascii="Times New Roman" w:hAnsi="Times New Roman" w:cs="Times New Roman"/>
        </w:rPr>
        <w:t xml:space="preserve">Tabela </w:t>
      </w:r>
      <w:r w:rsidR="00BF5409" w:rsidRPr="00E05FF5">
        <w:rPr>
          <w:rFonts w:ascii="Times New Roman" w:hAnsi="Times New Roman" w:cs="Times New Roman"/>
        </w:rPr>
        <w:t>5</w:t>
      </w:r>
      <w:r w:rsidRPr="00E05FF5">
        <w:rPr>
          <w:rFonts w:ascii="Times New Roman" w:hAnsi="Times New Roman" w:cs="Times New Roman"/>
        </w:rPr>
        <w:t xml:space="preserve">). </w:t>
      </w:r>
    </w:p>
    <w:p w:rsidR="005333B5" w:rsidRPr="009C5985" w:rsidRDefault="00A80257" w:rsidP="00A80257">
      <w:pPr>
        <w:pStyle w:val="Legenda"/>
      </w:pPr>
      <w:bookmarkStart w:id="352" w:name="_Toc372740353"/>
      <w:r>
        <w:t xml:space="preserve">Tabela </w:t>
      </w:r>
      <w:fldSimple w:instr=" SEQ Tabela \* ARABIC ">
        <w:r w:rsidR="004F77E2">
          <w:rPr>
            <w:noProof/>
          </w:rPr>
          <w:t>5</w:t>
        </w:r>
      </w:fldSimple>
      <w:r>
        <w:t xml:space="preserve"> - </w:t>
      </w:r>
      <w:r w:rsidRPr="00336339">
        <w:rPr>
          <w:noProof/>
        </w:rPr>
        <w:t>Quantidade de funcionários por setor e função do SAAE.</w:t>
      </w:r>
      <w:bookmarkEnd w:id="352"/>
    </w:p>
    <w:tbl>
      <w:tblPr>
        <w:tblW w:w="7612" w:type="dxa"/>
        <w:jc w:val="center"/>
        <w:tblLayout w:type="fixed"/>
        <w:tblLook w:val="0000" w:firstRow="0" w:lastRow="0" w:firstColumn="0" w:lastColumn="0" w:noHBand="0" w:noVBand="0"/>
      </w:tblPr>
      <w:tblGrid>
        <w:gridCol w:w="1790"/>
        <w:gridCol w:w="4262"/>
        <w:gridCol w:w="1560"/>
      </w:tblGrid>
      <w:tr w:rsidR="00E32574" w:rsidRPr="006173C5" w:rsidTr="00E32574">
        <w:trPr>
          <w:trHeight w:val="532"/>
          <w:jc w:val="center"/>
        </w:trPr>
        <w:tc>
          <w:tcPr>
            <w:tcW w:w="1790" w:type="dxa"/>
            <w:tcBorders>
              <w:top w:val="single" w:sz="6" w:space="0" w:color="000000"/>
              <w:left w:val="single" w:sz="2" w:space="0" w:color="000000"/>
              <w:bottom w:val="single" w:sz="6" w:space="0" w:color="000000"/>
              <w:right w:val="single" w:sz="4" w:space="0" w:color="000000"/>
            </w:tcBorders>
            <w:shd w:val="clear" w:color="auto" w:fill="D9D9D9"/>
            <w:vAlign w:val="center"/>
          </w:tcPr>
          <w:p w:rsidR="00E32574" w:rsidRPr="006173C5" w:rsidRDefault="00E32574" w:rsidP="000C17EB">
            <w:pPr>
              <w:pStyle w:val="Default"/>
              <w:spacing w:before="120" w:after="120"/>
              <w:jc w:val="center"/>
              <w:rPr>
                <w:rFonts w:ascii="Times New Roman" w:hAnsi="Times New Roman" w:cs="Times New Roman"/>
                <w:b/>
              </w:rPr>
            </w:pPr>
            <w:r w:rsidRPr="006173C5">
              <w:rPr>
                <w:rFonts w:ascii="Times New Roman" w:hAnsi="Times New Roman" w:cs="Times New Roman"/>
                <w:b/>
              </w:rPr>
              <w:t>Setor</w:t>
            </w:r>
          </w:p>
        </w:tc>
        <w:tc>
          <w:tcPr>
            <w:tcW w:w="4262" w:type="dxa"/>
            <w:tcBorders>
              <w:top w:val="single" w:sz="6" w:space="0" w:color="000000"/>
              <w:left w:val="single" w:sz="2" w:space="0" w:color="000000"/>
              <w:bottom w:val="single" w:sz="6" w:space="0" w:color="000000"/>
              <w:right w:val="single" w:sz="4" w:space="0" w:color="000000"/>
            </w:tcBorders>
            <w:shd w:val="clear" w:color="auto" w:fill="D9D9D9"/>
            <w:vAlign w:val="center"/>
          </w:tcPr>
          <w:p w:rsidR="00E32574" w:rsidRPr="006173C5" w:rsidRDefault="00E32574" w:rsidP="000C17EB">
            <w:pPr>
              <w:pStyle w:val="Default"/>
              <w:spacing w:before="120" w:after="120"/>
              <w:jc w:val="center"/>
              <w:rPr>
                <w:rFonts w:ascii="Times New Roman" w:hAnsi="Times New Roman" w:cs="Times New Roman"/>
                <w:b/>
              </w:rPr>
            </w:pPr>
            <w:r w:rsidRPr="006173C5">
              <w:rPr>
                <w:rFonts w:ascii="Times New Roman" w:hAnsi="Times New Roman" w:cs="Times New Roman"/>
                <w:b/>
              </w:rPr>
              <w:t>Função</w:t>
            </w:r>
          </w:p>
        </w:tc>
        <w:tc>
          <w:tcPr>
            <w:tcW w:w="1560"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6173C5" w:rsidRDefault="00E32574" w:rsidP="000C17EB">
            <w:pPr>
              <w:pStyle w:val="Default"/>
              <w:spacing w:before="120" w:after="120"/>
              <w:rPr>
                <w:rFonts w:ascii="Times New Roman" w:hAnsi="Times New Roman" w:cs="Times New Roman"/>
                <w:b/>
              </w:rPr>
            </w:pPr>
            <w:r w:rsidRPr="006173C5">
              <w:rPr>
                <w:rFonts w:ascii="Times New Roman" w:hAnsi="Times New Roman" w:cs="Times New Roman"/>
                <w:b/>
              </w:rPr>
              <w:t xml:space="preserve">Quantidade </w:t>
            </w:r>
          </w:p>
        </w:tc>
      </w:tr>
      <w:tr w:rsidR="00E32574" w:rsidRPr="00202B64" w:rsidTr="005333B5">
        <w:trPr>
          <w:trHeight w:val="567"/>
          <w:jc w:val="center"/>
        </w:trPr>
        <w:tc>
          <w:tcPr>
            <w:tcW w:w="1790" w:type="dxa"/>
            <w:vMerge w:val="restart"/>
            <w:tcBorders>
              <w:top w:val="single" w:sz="6" w:space="0" w:color="000000"/>
              <w:left w:val="single" w:sz="2"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Manutenção</w:t>
            </w:r>
          </w:p>
        </w:tc>
        <w:tc>
          <w:tcPr>
            <w:tcW w:w="4262"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 xml:space="preserve">Bombeiro Hidráulico </w:t>
            </w:r>
          </w:p>
        </w:tc>
        <w:tc>
          <w:tcPr>
            <w:tcW w:w="156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5</w:t>
            </w:r>
          </w:p>
        </w:tc>
      </w:tr>
      <w:tr w:rsidR="00E32574" w:rsidRPr="00202B64" w:rsidTr="005333B5">
        <w:trPr>
          <w:trHeight w:val="567"/>
          <w:jc w:val="center"/>
        </w:trPr>
        <w:tc>
          <w:tcPr>
            <w:tcW w:w="1790" w:type="dxa"/>
            <w:vMerge/>
            <w:tcBorders>
              <w:left w:val="single" w:sz="2"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p>
        </w:tc>
        <w:tc>
          <w:tcPr>
            <w:tcW w:w="4262"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Pedreiro com mestre de obras</w:t>
            </w:r>
          </w:p>
        </w:tc>
        <w:tc>
          <w:tcPr>
            <w:tcW w:w="156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2</w:t>
            </w:r>
          </w:p>
        </w:tc>
      </w:tr>
      <w:tr w:rsidR="00E32574" w:rsidRPr="00202B64" w:rsidTr="005333B5">
        <w:trPr>
          <w:trHeight w:val="567"/>
          <w:jc w:val="center"/>
        </w:trPr>
        <w:tc>
          <w:tcPr>
            <w:tcW w:w="1790" w:type="dxa"/>
            <w:vMerge/>
            <w:tcBorders>
              <w:left w:val="single" w:sz="2"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p>
        </w:tc>
        <w:tc>
          <w:tcPr>
            <w:tcW w:w="4262"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Ajudante</w:t>
            </w:r>
          </w:p>
        </w:tc>
        <w:tc>
          <w:tcPr>
            <w:tcW w:w="156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14</w:t>
            </w:r>
          </w:p>
        </w:tc>
      </w:tr>
      <w:tr w:rsidR="00E32574" w:rsidRPr="00202B64" w:rsidTr="005333B5">
        <w:trPr>
          <w:trHeight w:val="567"/>
          <w:jc w:val="center"/>
        </w:trPr>
        <w:tc>
          <w:tcPr>
            <w:tcW w:w="1790" w:type="dxa"/>
            <w:vMerge w:val="restart"/>
            <w:tcBorders>
              <w:top w:val="single" w:sz="6" w:space="0" w:color="000000"/>
              <w:left w:val="single" w:sz="2"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Operação</w:t>
            </w:r>
          </w:p>
        </w:tc>
        <w:tc>
          <w:tcPr>
            <w:tcW w:w="4262"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Operador de ETA</w:t>
            </w:r>
          </w:p>
        </w:tc>
        <w:tc>
          <w:tcPr>
            <w:tcW w:w="156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5</w:t>
            </w:r>
          </w:p>
        </w:tc>
      </w:tr>
      <w:tr w:rsidR="00E32574" w:rsidRPr="00202B64" w:rsidTr="005333B5">
        <w:trPr>
          <w:trHeight w:val="567"/>
          <w:jc w:val="center"/>
        </w:trPr>
        <w:tc>
          <w:tcPr>
            <w:tcW w:w="1790" w:type="dxa"/>
            <w:vMerge/>
            <w:tcBorders>
              <w:left w:val="single" w:sz="2" w:space="0" w:color="000000"/>
              <w:right w:val="single" w:sz="4" w:space="0" w:color="000000"/>
            </w:tcBorders>
          </w:tcPr>
          <w:p w:rsidR="00E32574" w:rsidRPr="00202B64" w:rsidRDefault="00E32574" w:rsidP="000C17EB">
            <w:pPr>
              <w:pStyle w:val="Default"/>
              <w:spacing w:before="120" w:after="120"/>
              <w:jc w:val="center"/>
              <w:rPr>
                <w:rFonts w:ascii="Times New Roman" w:hAnsi="Times New Roman" w:cs="Times New Roman"/>
              </w:rPr>
            </w:pPr>
          </w:p>
        </w:tc>
        <w:tc>
          <w:tcPr>
            <w:tcW w:w="4262"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Fiscais</w:t>
            </w:r>
          </w:p>
        </w:tc>
        <w:tc>
          <w:tcPr>
            <w:tcW w:w="156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3</w:t>
            </w:r>
          </w:p>
        </w:tc>
      </w:tr>
      <w:tr w:rsidR="00E32574" w:rsidRPr="00202B64" w:rsidTr="005333B5">
        <w:trPr>
          <w:trHeight w:val="567"/>
          <w:jc w:val="center"/>
        </w:trPr>
        <w:tc>
          <w:tcPr>
            <w:tcW w:w="1790" w:type="dxa"/>
            <w:vMerge/>
            <w:tcBorders>
              <w:left w:val="single" w:sz="2" w:space="0" w:color="000000"/>
              <w:right w:val="single" w:sz="4" w:space="0" w:color="000000"/>
            </w:tcBorders>
          </w:tcPr>
          <w:p w:rsidR="00E32574" w:rsidRPr="00202B64" w:rsidRDefault="00E32574" w:rsidP="000C17EB">
            <w:pPr>
              <w:pStyle w:val="Default"/>
              <w:spacing w:before="120" w:after="120"/>
              <w:jc w:val="center"/>
              <w:rPr>
                <w:rFonts w:ascii="Times New Roman" w:hAnsi="Times New Roman" w:cs="Times New Roman"/>
              </w:rPr>
            </w:pPr>
          </w:p>
        </w:tc>
        <w:tc>
          <w:tcPr>
            <w:tcW w:w="4262"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Operadores de pequenos sistemas</w:t>
            </w:r>
          </w:p>
        </w:tc>
        <w:tc>
          <w:tcPr>
            <w:tcW w:w="156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10</w:t>
            </w:r>
          </w:p>
        </w:tc>
      </w:tr>
      <w:tr w:rsidR="00E32574" w:rsidRPr="00202B64" w:rsidTr="005333B5">
        <w:trPr>
          <w:trHeight w:val="567"/>
          <w:jc w:val="center"/>
        </w:trPr>
        <w:tc>
          <w:tcPr>
            <w:tcW w:w="1790" w:type="dxa"/>
            <w:vMerge/>
            <w:tcBorders>
              <w:left w:val="single" w:sz="2" w:space="0" w:color="000000"/>
              <w:bottom w:val="single" w:sz="6" w:space="0" w:color="000000"/>
              <w:right w:val="single" w:sz="4" w:space="0" w:color="000000"/>
            </w:tcBorders>
          </w:tcPr>
          <w:p w:rsidR="00E32574" w:rsidRPr="00202B64" w:rsidRDefault="00E32574" w:rsidP="000C17EB">
            <w:pPr>
              <w:pStyle w:val="Default"/>
              <w:spacing w:before="120" w:after="120"/>
              <w:jc w:val="center"/>
              <w:rPr>
                <w:rFonts w:ascii="Times New Roman" w:hAnsi="Times New Roman" w:cs="Times New Roman"/>
              </w:rPr>
            </w:pPr>
          </w:p>
        </w:tc>
        <w:tc>
          <w:tcPr>
            <w:tcW w:w="4262"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Operador de máquina pesada e motorista</w:t>
            </w:r>
          </w:p>
        </w:tc>
        <w:tc>
          <w:tcPr>
            <w:tcW w:w="156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2</w:t>
            </w:r>
          </w:p>
        </w:tc>
      </w:tr>
      <w:tr w:rsidR="00E32574" w:rsidRPr="00202B64" w:rsidTr="005333B5">
        <w:trPr>
          <w:trHeight w:val="567"/>
          <w:jc w:val="center"/>
        </w:trPr>
        <w:tc>
          <w:tcPr>
            <w:tcW w:w="1790"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Administrativo</w:t>
            </w:r>
          </w:p>
        </w:tc>
        <w:tc>
          <w:tcPr>
            <w:tcW w:w="4262"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Administrativo</w:t>
            </w:r>
          </w:p>
        </w:tc>
        <w:tc>
          <w:tcPr>
            <w:tcW w:w="156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15</w:t>
            </w:r>
          </w:p>
        </w:tc>
      </w:tr>
    </w:tbl>
    <w:p w:rsidR="00E32574" w:rsidRDefault="005333B5" w:rsidP="005333B5">
      <w:pPr>
        <w:pStyle w:val="Fonte"/>
        <w:rPr>
          <w:lang w:eastAsia="pt-BR"/>
        </w:rPr>
      </w:pPr>
      <w:r>
        <w:rPr>
          <w:lang w:eastAsia="pt-BR"/>
        </w:rPr>
        <w:t xml:space="preserve">        </w:t>
      </w:r>
      <w:r w:rsidR="00E32574" w:rsidRPr="00082391">
        <w:rPr>
          <w:lang w:eastAsia="pt-BR"/>
        </w:rPr>
        <w:t>Fonte: SAAE, 2013.</w:t>
      </w:r>
    </w:p>
    <w:p w:rsidR="00E32574" w:rsidRPr="00C67806" w:rsidRDefault="00E32574" w:rsidP="000C17EB">
      <w:pPr>
        <w:pStyle w:val="CM71"/>
        <w:spacing w:line="360" w:lineRule="auto"/>
        <w:ind w:firstLine="709"/>
        <w:jc w:val="both"/>
        <w:rPr>
          <w:rFonts w:ascii="Times New Roman" w:hAnsi="Times New Roman" w:cs="Times New Roman"/>
        </w:rPr>
      </w:pPr>
      <w:r w:rsidRPr="00C67806">
        <w:rPr>
          <w:rFonts w:ascii="Times New Roman" w:hAnsi="Times New Roman" w:cs="Times New Roman"/>
        </w:rPr>
        <w:t xml:space="preserve">O número de funcionários efetivos e comissionados que desempenham os serviços de operação, manutenção e administração do SAAE são considerados </w:t>
      </w:r>
      <w:r w:rsidRPr="008D6A5E">
        <w:rPr>
          <w:rFonts w:ascii="Times New Roman" w:hAnsi="Times New Roman" w:cs="Times New Roman"/>
        </w:rPr>
        <w:t>suficientes</w:t>
      </w:r>
      <w:r w:rsidRPr="00C67806">
        <w:rPr>
          <w:rFonts w:ascii="Times New Roman" w:hAnsi="Times New Roman" w:cs="Times New Roman"/>
        </w:rPr>
        <w:t xml:space="preserve"> para atender a demanda dos serviços de água e esgotamento sanitário. </w:t>
      </w:r>
    </w:p>
    <w:p w:rsidR="000C17EB" w:rsidRDefault="000C17EB">
      <w:pPr>
        <w:spacing w:after="200" w:line="276" w:lineRule="auto"/>
        <w:rPr>
          <w:rFonts w:cs="Times New Roman"/>
          <w:b/>
        </w:rPr>
      </w:pPr>
      <w:r>
        <w:br w:type="page"/>
      </w:r>
    </w:p>
    <w:p w:rsidR="00E32574" w:rsidRPr="00A275C9" w:rsidRDefault="00C82D86" w:rsidP="00971B37">
      <w:pPr>
        <w:pStyle w:val="Titulo"/>
      </w:pPr>
      <w:bookmarkStart w:id="353" w:name="_Toc372559116"/>
      <w:bookmarkStart w:id="354" w:name="_Toc372789548"/>
      <w:r w:rsidRPr="00A275C9">
        <w:lastRenderedPageBreak/>
        <w:t>11.</w:t>
      </w:r>
      <w:r w:rsidR="00E64A13">
        <w:t>9</w:t>
      </w:r>
      <w:r w:rsidRPr="00A275C9">
        <w:t xml:space="preserve">.3 </w:t>
      </w:r>
      <w:r w:rsidR="00E32574" w:rsidRPr="00A275C9">
        <w:t>Consumo, Ligações, Economias e Volume</w:t>
      </w:r>
      <w:bookmarkEnd w:id="353"/>
      <w:bookmarkEnd w:id="354"/>
    </w:p>
    <w:p w:rsidR="00E32574" w:rsidRPr="00857730" w:rsidRDefault="000C17EB" w:rsidP="000C17EB">
      <w:pPr>
        <w:spacing w:after="0" w:line="360" w:lineRule="auto"/>
        <w:ind w:firstLine="709"/>
        <w:jc w:val="both"/>
        <w:rPr>
          <w:szCs w:val="24"/>
          <w:lang w:eastAsia="pt-BR"/>
        </w:rPr>
      </w:pPr>
      <w:r>
        <w:rPr>
          <w:szCs w:val="24"/>
          <w:lang w:eastAsia="pt-BR"/>
        </w:rPr>
        <w:t>O Quadro 2</w:t>
      </w:r>
      <w:r w:rsidR="005703B0">
        <w:rPr>
          <w:szCs w:val="24"/>
          <w:lang w:eastAsia="pt-BR"/>
        </w:rPr>
        <w:t>3</w:t>
      </w:r>
      <w:r w:rsidR="00E32574" w:rsidRPr="00857730">
        <w:rPr>
          <w:szCs w:val="24"/>
          <w:lang w:eastAsia="pt-BR"/>
        </w:rPr>
        <w:t xml:space="preserve"> apresenta o número de ligações prediais e </w:t>
      </w:r>
      <w:r>
        <w:rPr>
          <w:szCs w:val="24"/>
          <w:lang w:eastAsia="pt-BR"/>
        </w:rPr>
        <w:t>o</w:t>
      </w:r>
      <w:r w:rsidR="00E32574" w:rsidRPr="00857730">
        <w:rPr>
          <w:szCs w:val="24"/>
          <w:lang w:eastAsia="pt-BR"/>
        </w:rPr>
        <w:t xml:space="preserve"> </w:t>
      </w:r>
      <w:r>
        <w:rPr>
          <w:szCs w:val="24"/>
          <w:lang w:eastAsia="pt-BR"/>
        </w:rPr>
        <w:t>Quadro 2</w:t>
      </w:r>
      <w:r w:rsidR="005703B0">
        <w:rPr>
          <w:szCs w:val="24"/>
          <w:lang w:eastAsia="pt-BR"/>
        </w:rPr>
        <w:t>4</w:t>
      </w:r>
      <w:r w:rsidR="00E32574" w:rsidRPr="00857730">
        <w:rPr>
          <w:szCs w:val="24"/>
          <w:lang w:eastAsia="pt-BR"/>
        </w:rPr>
        <w:t xml:space="preserve"> apresenta a quantidade de economias no município de Aimorés, informada pelo SAAE.</w:t>
      </w:r>
    </w:p>
    <w:p w:rsidR="005333B5" w:rsidRDefault="0075744C" w:rsidP="0075744C">
      <w:pPr>
        <w:pStyle w:val="Legenda"/>
      </w:pPr>
      <w:bookmarkStart w:id="355" w:name="_Toc372740529"/>
      <w:r>
        <w:t xml:space="preserve">Quadro </w:t>
      </w:r>
      <w:fldSimple w:instr=" SEQ Quadro \* ARABIC ">
        <w:r w:rsidR="004F77E2">
          <w:rPr>
            <w:noProof/>
          </w:rPr>
          <w:t>23</w:t>
        </w:r>
      </w:fldSimple>
      <w:r>
        <w:t xml:space="preserve"> - </w:t>
      </w:r>
      <w:r w:rsidRPr="00204E9F">
        <w:rPr>
          <w:noProof/>
        </w:rPr>
        <w:t>Movimento de Ligações com referência mês de Agosto de 2013.</w:t>
      </w:r>
      <w:bookmarkEnd w:id="355"/>
    </w:p>
    <w:tbl>
      <w:tblPr>
        <w:tblW w:w="0" w:type="auto"/>
        <w:jc w:val="center"/>
        <w:tblLayout w:type="fixed"/>
        <w:tblLook w:val="0000" w:firstRow="0" w:lastRow="0" w:firstColumn="0" w:lastColumn="0" w:noHBand="0" w:noVBand="0"/>
      </w:tblPr>
      <w:tblGrid>
        <w:gridCol w:w="2600"/>
        <w:gridCol w:w="2415"/>
      </w:tblGrid>
      <w:tr w:rsidR="00E32574" w:rsidRPr="006173C5" w:rsidTr="00E32574">
        <w:trPr>
          <w:trHeight w:val="485"/>
          <w:jc w:val="center"/>
        </w:trPr>
        <w:tc>
          <w:tcPr>
            <w:tcW w:w="2600"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6173C5" w:rsidRDefault="00E32574" w:rsidP="000C17EB">
            <w:pPr>
              <w:pStyle w:val="Default"/>
              <w:spacing w:before="120" w:after="120"/>
              <w:jc w:val="center"/>
              <w:rPr>
                <w:rFonts w:ascii="Times New Roman" w:hAnsi="Times New Roman" w:cs="Times New Roman"/>
                <w:b/>
              </w:rPr>
            </w:pPr>
            <w:r w:rsidRPr="006173C5">
              <w:rPr>
                <w:rFonts w:ascii="Times New Roman" w:hAnsi="Times New Roman" w:cs="Times New Roman"/>
                <w:b/>
              </w:rPr>
              <w:t>Categoria</w:t>
            </w:r>
          </w:p>
        </w:tc>
        <w:tc>
          <w:tcPr>
            <w:tcW w:w="2415"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6173C5" w:rsidRDefault="00E32574" w:rsidP="000C17EB">
            <w:pPr>
              <w:pStyle w:val="Default"/>
              <w:spacing w:before="120" w:after="120"/>
              <w:jc w:val="center"/>
              <w:rPr>
                <w:rFonts w:ascii="Times New Roman" w:hAnsi="Times New Roman" w:cs="Times New Roman"/>
                <w:b/>
              </w:rPr>
            </w:pPr>
            <w:r w:rsidRPr="006173C5">
              <w:rPr>
                <w:rFonts w:ascii="Times New Roman" w:hAnsi="Times New Roman" w:cs="Times New Roman"/>
                <w:b/>
              </w:rPr>
              <w:t>Quantidade</w:t>
            </w:r>
          </w:p>
        </w:tc>
      </w:tr>
      <w:tr w:rsidR="00E32574" w:rsidRPr="00202B64" w:rsidTr="00E32574">
        <w:trPr>
          <w:trHeight w:val="317"/>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0C17EB">
            <w:pPr>
              <w:pStyle w:val="Default"/>
              <w:spacing w:before="120" w:after="120"/>
              <w:rPr>
                <w:rFonts w:ascii="Times New Roman" w:hAnsi="Times New Roman" w:cs="Times New Roman"/>
              </w:rPr>
            </w:pPr>
            <w:r w:rsidRPr="00202B64">
              <w:rPr>
                <w:rFonts w:ascii="Times New Roman" w:hAnsi="Times New Roman" w:cs="Times New Roman"/>
              </w:rPr>
              <w:t>Existente</w:t>
            </w:r>
          </w:p>
        </w:tc>
        <w:tc>
          <w:tcPr>
            <w:tcW w:w="2415"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9.782</w:t>
            </w:r>
          </w:p>
        </w:tc>
      </w:tr>
      <w:tr w:rsidR="00E32574" w:rsidRPr="00202B64" w:rsidTr="00E32574">
        <w:trPr>
          <w:trHeight w:val="297"/>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0C17EB">
            <w:pPr>
              <w:pStyle w:val="Default"/>
              <w:spacing w:before="120" w:after="120"/>
              <w:rPr>
                <w:rFonts w:ascii="Times New Roman" w:hAnsi="Times New Roman" w:cs="Times New Roman"/>
              </w:rPr>
            </w:pPr>
            <w:r w:rsidRPr="00202B64">
              <w:rPr>
                <w:rFonts w:ascii="Times New Roman" w:hAnsi="Times New Roman" w:cs="Times New Roman"/>
              </w:rPr>
              <w:t>Funcionando</w:t>
            </w:r>
          </w:p>
        </w:tc>
        <w:tc>
          <w:tcPr>
            <w:tcW w:w="2415"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7.902</w:t>
            </w:r>
          </w:p>
        </w:tc>
      </w:tr>
      <w:tr w:rsidR="00E32574" w:rsidRPr="00202B64" w:rsidTr="00E32574">
        <w:trPr>
          <w:trHeight w:val="322"/>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0C17EB">
            <w:pPr>
              <w:pStyle w:val="Default"/>
              <w:spacing w:before="120" w:after="120"/>
              <w:rPr>
                <w:rFonts w:ascii="Times New Roman" w:hAnsi="Times New Roman" w:cs="Times New Roman"/>
              </w:rPr>
            </w:pPr>
            <w:r w:rsidRPr="00202B64">
              <w:rPr>
                <w:rFonts w:ascii="Times New Roman" w:hAnsi="Times New Roman" w:cs="Times New Roman"/>
              </w:rPr>
              <w:t>Cortadas</w:t>
            </w:r>
          </w:p>
        </w:tc>
        <w:tc>
          <w:tcPr>
            <w:tcW w:w="2415"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1.880</w:t>
            </w:r>
          </w:p>
        </w:tc>
      </w:tr>
      <w:tr w:rsidR="00E32574" w:rsidRPr="00202B64" w:rsidTr="00E32574">
        <w:trPr>
          <w:trHeight w:val="335"/>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0C17EB">
            <w:pPr>
              <w:pStyle w:val="Default"/>
              <w:spacing w:before="120" w:after="120"/>
              <w:rPr>
                <w:rFonts w:ascii="Times New Roman" w:hAnsi="Times New Roman" w:cs="Times New Roman"/>
              </w:rPr>
            </w:pPr>
            <w:r w:rsidRPr="00202B64">
              <w:rPr>
                <w:rFonts w:ascii="Times New Roman" w:hAnsi="Times New Roman" w:cs="Times New Roman"/>
              </w:rPr>
              <w:t>Cortadas no mês</w:t>
            </w:r>
          </w:p>
        </w:tc>
        <w:tc>
          <w:tcPr>
            <w:tcW w:w="2415"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222</w:t>
            </w:r>
          </w:p>
        </w:tc>
      </w:tr>
      <w:tr w:rsidR="00E32574" w:rsidRPr="00202B64" w:rsidTr="00E32574">
        <w:trPr>
          <w:trHeight w:val="335"/>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0C17EB">
            <w:pPr>
              <w:pStyle w:val="Default"/>
              <w:spacing w:before="120" w:after="120"/>
              <w:rPr>
                <w:rFonts w:ascii="Times New Roman" w:hAnsi="Times New Roman" w:cs="Times New Roman"/>
              </w:rPr>
            </w:pPr>
            <w:r w:rsidRPr="00202B64">
              <w:rPr>
                <w:rFonts w:ascii="Times New Roman" w:hAnsi="Times New Roman" w:cs="Times New Roman"/>
              </w:rPr>
              <w:t>Ligadas no mês</w:t>
            </w:r>
          </w:p>
        </w:tc>
        <w:tc>
          <w:tcPr>
            <w:tcW w:w="2415"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0</w:t>
            </w:r>
          </w:p>
        </w:tc>
      </w:tr>
      <w:tr w:rsidR="00E32574" w:rsidRPr="00202B64" w:rsidTr="00E32574">
        <w:trPr>
          <w:trHeight w:val="335"/>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0C17EB">
            <w:pPr>
              <w:pStyle w:val="Default"/>
              <w:spacing w:before="120" w:after="120"/>
              <w:rPr>
                <w:rFonts w:ascii="Times New Roman" w:hAnsi="Times New Roman" w:cs="Times New Roman"/>
              </w:rPr>
            </w:pPr>
            <w:r w:rsidRPr="00202B64">
              <w:rPr>
                <w:rFonts w:ascii="Times New Roman" w:hAnsi="Times New Roman" w:cs="Times New Roman"/>
              </w:rPr>
              <w:t>Religadas no mês</w:t>
            </w:r>
          </w:p>
        </w:tc>
        <w:tc>
          <w:tcPr>
            <w:tcW w:w="2415"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202</w:t>
            </w:r>
          </w:p>
        </w:tc>
      </w:tr>
    </w:tbl>
    <w:p w:rsidR="00E32574" w:rsidRPr="00082391" w:rsidRDefault="005333B5" w:rsidP="005333B5">
      <w:pPr>
        <w:pStyle w:val="Fonte"/>
        <w:ind w:left="708" w:firstLine="708"/>
        <w:rPr>
          <w:lang w:eastAsia="pt-BR"/>
        </w:rPr>
      </w:pPr>
      <w:r>
        <w:rPr>
          <w:lang w:eastAsia="pt-BR"/>
        </w:rPr>
        <w:t xml:space="preserve">      </w:t>
      </w:r>
      <w:r w:rsidR="00E32574" w:rsidRPr="00082391">
        <w:rPr>
          <w:lang w:eastAsia="pt-BR"/>
        </w:rPr>
        <w:t>Fonte: SAAE, 2013.</w:t>
      </w:r>
    </w:p>
    <w:p w:rsidR="00E32574" w:rsidRDefault="0075744C" w:rsidP="0075744C">
      <w:pPr>
        <w:pStyle w:val="Legenda"/>
      </w:pPr>
      <w:bookmarkStart w:id="356" w:name="_Toc372740530"/>
      <w:r>
        <w:t xml:space="preserve">Quadro </w:t>
      </w:r>
      <w:fldSimple w:instr=" SEQ Quadro \* ARABIC ">
        <w:r w:rsidR="004F77E2">
          <w:rPr>
            <w:noProof/>
          </w:rPr>
          <w:t>24</w:t>
        </w:r>
      </w:fldSimple>
      <w:r>
        <w:t xml:space="preserve"> - </w:t>
      </w:r>
      <w:r w:rsidRPr="00722D66">
        <w:rPr>
          <w:noProof/>
        </w:rPr>
        <w:t>Número de Economias.</w:t>
      </w:r>
      <w:bookmarkEnd w:id="356"/>
    </w:p>
    <w:tbl>
      <w:tblPr>
        <w:tblW w:w="0" w:type="auto"/>
        <w:jc w:val="center"/>
        <w:tblLayout w:type="fixed"/>
        <w:tblLook w:val="0000" w:firstRow="0" w:lastRow="0" w:firstColumn="0" w:lastColumn="0" w:noHBand="0" w:noVBand="0"/>
      </w:tblPr>
      <w:tblGrid>
        <w:gridCol w:w="2600"/>
        <w:gridCol w:w="2415"/>
      </w:tblGrid>
      <w:tr w:rsidR="00E32574" w:rsidRPr="006173C5" w:rsidTr="00E32574">
        <w:trPr>
          <w:trHeight w:val="485"/>
          <w:jc w:val="center"/>
        </w:trPr>
        <w:tc>
          <w:tcPr>
            <w:tcW w:w="2600"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6173C5" w:rsidRDefault="00E32574" w:rsidP="000C17EB">
            <w:pPr>
              <w:pStyle w:val="Default"/>
              <w:spacing w:before="120" w:after="120"/>
              <w:jc w:val="center"/>
              <w:rPr>
                <w:rFonts w:ascii="Times New Roman" w:hAnsi="Times New Roman" w:cs="Times New Roman"/>
                <w:b/>
              </w:rPr>
            </w:pPr>
            <w:r w:rsidRPr="006173C5">
              <w:rPr>
                <w:rFonts w:ascii="Times New Roman" w:hAnsi="Times New Roman" w:cs="Times New Roman"/>
                <w:b/>
              </w:rPr>
              <w:t>Categoria</w:t>
            </w:r>
          </w:p>
        </w:tc>
        <w:tc>
          <w:tcPr>
            <w:tcW w:w="2415"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6173C5" w:rsidRDefault="00E32574" w:rsidP="000C17EB">
            <w:pPr>
              <w:pStyle w:val="Default"/>
              <w:spacing w:before="120" w:after="120"/>
              <w:jc w:val="center"/>
              <w:rPr>
                <w:rFonts w:ascii="Times New Roman" w:hAnsi="Times New Roman" w:cs="Times New Roman"/>
                <w:b/>
              </w:rPr>
            </w:pPr>
            <w:r w:rsidRPr="006173C5">
              <w:rPr>
                <w:rFonts w:ascii="Times New Roman" w:hAnsi="Times New Roman" w:cs="Times New Roman"/>
                <w:b/>
              </w:rPr>
              <w:t>Quantidade</w:t>
            </w:r>
          </w:p>
        </w:tc>
      </w:tr>
      <w:tr w:rsidR="00E32574" w:rsidRPr="00202B64" w:rsidTr="00E32574">
        <w:trPr>
          <w:trHeight w:val="317"/>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0C17EB">
            <w:pPr>
              <w:pStyle w:val="Default"/>
              <w:spacing w:before="120" w:after="120"/>
              <w:rPr>
                <w:rFonts w:ascii="Times New Roman" w:hAnsi="Times New Roman" w:cs="Times New Roman"/>
              </w:rPr>
            </w:pPr>
            <w:r w:rsidRPr="00202B64">
              <w:rPr>
                <w:rFonts w:ascii="Times New Roman" w:hAnsi="Times New Roman" w:cs="Times New Roman"/>
              </w:rPr>
              <w:t>Existente</w:t>
            </w:r>
          </w:p>
        </w:tc>
        <w:tc>
          <w:tcPr>
            <w:tcW w:w="2415"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10.126</w:t>
            </w:r>
          </w:p>
        </w:tc>
      </w:tr>
      <w:tr w:rsidR="00E32574" w:rsidRPr="00202B64" w:rsidTr="00E32574">
        <w:trPr>
          <w:trHeight w:val="297"/>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0C17EB">
            <w:pPr>
              <w:pStyle w:val="Default"/>
              <w:spacing w:before="120" w:after="120"/>
              <w:rPr>
                <w:rFonts w:ascii="Times New Roman" w:hAnsi="Times New Roman" w:cs="Times New Roman"/>
              </w:rPr>
            </w:pPr>
            <w:r w:rsidRPr="00202B64">
              <w:rPr>
                <w:rFonts w:ascii="Times New Roman" w:hAnsi="Times New Roman" w:cs="Times New Roman"/>
              </w:rPr>
              <w:t>Funcionando</w:t>
            </w:r>
          </w:p>
        </w:tc>
        <w:tc>
          <w:tcPr>
            <w:tcW w:w="2415"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8.175</w:t>
            </w:r>
          </w:p>
        </w:tc>
      </w:tr>
      <w:tr w:rsidR="00E32574" w:rsidRPr="00202B64" w:rsidTr="00E32574">
        <w:trPr>
          <w:trHeight w:val="322"/>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0C17EB">
            <w:pPr>
              <w:pStyle w:val="Default"/>
              <w:spacing w:before="120" w:after="120"/>
              <w:rPr>
                <w:rFonts w:ascii="Times New Roman" w:hAnsi="Times New Roman" w:cs="Times New Roman"/>
              </w:rPr>
            </w:pPr>
            <w:r w:rsidRPr="00202B64">
              <w:rPr>
                <w:rFonts w:ascii="Times New Roman" w:hAnsi="Times New Roman" w:cs="Times New Roman"/>
              </w:rPr>
              <w:t>Cortadas</w:t>
            </w:r>
          </w:p>
        </w:tc>
        <w:tc>
          <w:tcPr>
            <w:tcW w:w="2415"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1.951</w:t>
            </w:r>
          </w:p>
        </w:tc>
      </w:tr>
    </w:tbl>
    <w:p w:rsidR="00E32574" w:rsidRPr="00082391" w:rsidRDefault="005333B5" w:rsidP="005333B5">
      <w:pPr>
        <w:pStyle w:val="Fonte"/>
        <w:ind w:left="708" w:firstLine="708"/>
        <w:rPr>
          <w:lang w:eastAsia="pt-BR"/>
        </w:rPr>
      </w:pPr>
      <w:r>
        <w:rPr>
          <w:lang w:eastAsia="pt-BR"/>
        </w:rPr>
        <w:t xml:space="preserve">      </w:t>
      </w:r>
      <w:r w:rsidR="00E32574" w:rsidRPr="00082391">
        <w:rPr>
          <w:lang w:eastAsia="pt-BR"/>
        </w:rPr>
        <w:t>Fonte: SAAE, 2013.</w:t>
      </w:r>
    </w:p>
    <w:p w:rsidR="00E32574" w:rsidRPr="00857730" w:rsidRDefault="000C17EB" w:rsidP="000C17EB">
      <w:pPr>
        <w:spacing w:after="0" w:line="360" w:lineRule="auto"/>
        <w:ind w:firstLine="709"/>
        <w:jc w:val="both"/>
        <w:rPr>
          <w:szCs w:val="24"/>
          <w:lang w:eastAsia="pt-BR"/>
        </w:rPr>
      </w:pPr>
      <w:r>
        <w:rPr>
          <w:szCs w:val="24"/>
          <w:lang w:eastAsia="pt-BR"/>
        </w:rPr>
        <w:t xml:space="preserve">O Quadro </w:t>
      </w:r>
      <w:r w:rsidR="005703B0">
        <w:rPr>
          <w:szCs w:val="24"/>
          <w:lang w:eastAsia="pt-BR"/>
        </w:rPr>
        <w:t>25</w:t>
      </w:r>
      <w:r w:rsidR="00E32574" w:rsidRPr="00857730">
        <w:rPr>
          <w:szCs w:val="24"/>
          <w:lang w:eastAsia="pt-BR"/>
        </w:rPr>
        <w:t xml:space="preserve"> apresenta o número de ligações </w:t>
      </w:r>
      <w:r w:rsidR="00E32574">
        <w:rPr>
          <w:szCs w:val="24"/>
          <w:lang w:eastAsia="pt-BR"/>
        </w:rPr>
        <w:t xml:space="preserve">hidrometradas e não-hidrometrada e </w:t>
      </w:r>
      <w:r>
        <w:rPr>
          <w:szCs w:val="24"/>
          <w:lang w:eastAsia="pt-BR"/>
        </w:rPr>
        <w:t>o Quadro 2</w:t>
      </w:r>
      <w:r w:rsidR="005703B0">
        <w:rPr>
          <w:szCs w:val="24"/>
          <w:lang w:eastAsia="pt-BR"/>
        </w:rPr>
        <w:t>6</w:t>
      </w:r>
      <w:r w:rsidR="00E32574" w:rsidRPr="00857730">
        <w:rPr>
          <w:szCs w:val="24"/>
          <w:lang w:eastAsia="pt-BR"/>
        </w:rPr>
        <w:t xml:space="preserve"> apresenta a </w:t>
      </w:r>
      <w:r w:rsidR="00E32574">
        <w:rPr>
          <w:szCs w:val="24"/>
          <w:lang w:eastAsia="pt-BR"/>
        </w:rPr>
        <w:t>número</w:t>
      </w:r>
      <w:r w:rsidR="00E32574" w:rsidRPr="00857730">
        <w:rPr>
          <w:szCs w:val="24"/>
          <w:lang w:eastAsia="pt-BR"/>
        </w:rPr>
        <w:t xml:space="preserve"> de </w:t>
      </w:r>
      <w:r w:rsidR="00E32574">
        <w:rPr>
          <w:szCs w:val="24"/>
          <w:lang w:eastAsia="pt-BR"/>
        </w:rPr>
        <w:t>hidrômetros</w:t>
      </w:r>
      <w:r w:rsidR="00E32574" w:rsidRPr="00857730">
        <w:rPr>
          <w:szCs w:val="24"/>
          <w:lang w:eastAsia="pt-BR"/>
        </w:rPr>
        <w:t xml:space="preserve"> </w:t>
      </w:r>
      <w:r w:rsidR="00E32574">
        <w:rPr>
          <w:szCs w:val="24"/>
          <w:lang w:eastAsia="pt-BR"/>
        </w:rPr>
        <w:t xml:space="preserve">existentes </w:t>
      </w:r>
      <w:r w:rsidR="00E32574" w:rsidRPr="00857730">
        <w:rPr>
          <w:szCs w:val="24"/>
          <w:lang w:eastAsia="pt-BR"/>
        </w:rPr>
        <w:t>no município de Aimorés, informada pelo SAAE.</w:t>
      </w:r>
    </w:p>
    <w:p w:rsidR="000C17EB" w:rsidRDefault="000C17EB">
      <w:pPr>
        <w:spacing w:after="200" w:line="276" w:lineRule="auto"/>
        <w:rPr>
          <w:rFonts w:eastAsiaTheme="minorEastAsia" w:cs="Times New Roman"/>
          <w:b/>
          <w:bCs/>
          <w:szCs w:val="24"/>
          <w:lang w:eastAsia="pt-BR"/>
        </w:rPr>
      </w:pPr>
      <w:bookmarkStart w:id="357" w:name="_Toc372117271"/>
      <w:r>
        <w:rPr>
          <w:b/>
        </w:rPr>
        <w:br w:type="page"/>
      </w:r>
    </w:p>
    <w:p w:rsidR="005333B5" w:rsidRDefault="0075744C" w:rsidP="0075744C">
      <w:pPr>
        <w:pStyle w:val="Legenda"/>
      </w:pPr>
      <w:bookmarkStart w:id="358" w:name="_Toc372740531"/>
      <w:bookmarkEnd w:id="357"/>
      <w:r>
        <w:lastRenderedPageBreak/>
        <w:t xml:space="preserve">Quadro </w:t>
      </w:r>
      <w:fldSimple w:instr=" SEQ Quadro \* ARABIC ">
        <w:r w:rsidR="004F77E2">
          <w:rPr>
            <w:noProof/>
          </w:rPr>
          <w:t>25</w:t>
        </w:r>
      </w:fldSimple>
      <w:r>
        <w:t xml:space="preserve"> - </w:t>
      </w:r>
      <w:r w:rsidRPr="005B24C5">
        <w:rPr>
          <w:noProof/>
        </w:rPr>
        <w:t>Ligações Hidrometradas e não-hidrometradas anual por categoria.</w:t>
      </w:r>
      <w:bookmarkEnd w:id="358"/>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35"/>
        <w:gridCol w:w="2122"/>
        <w:gridCol w:w="2122"/>
      </w:tblGrid>
      <w:tr w:rsidR="00E32574" w:rsidRPr="006173C5" w:rsidTr="00E32574">
        <w:trPr>
          <w:cantSplit/>
          <w:jc w:val="center"/>
        </w:trPr>
        <w:tc>
          <w:tcPr>
            <w:tcW w:w="2535" w:type="dxa"/>
            <w:shd w:val="pct20" w:color="000000" w:fill="FFFFFF"/>
          </w:tcPr>
          <w:p w:rsidR="00E32574" w:rsidRPr="006173C5" w:rsidRDefault="00E32574" w:rsidP="000C17EB">
            <w:pPr>
              <w:pStyle w:val="Default"/>
              <w:spacing w:before="120" w:after="120"/>
              <w:jc w:val="center"/>
              <w:rPr>
                <w:rFonts w:ascii="Times New Roman" w:hAnsi="Times New Roman" w:cs="Times New Roman"/>
                <w:b/>
              </w:rPr>
            </w:pPr>
            <w:r w:rsidRPr="006173C5">
              <w:rPr>
                <w:rFonts w:ascii="Times New Roman" w:hAnsi="Times New Roman" w:cs="Times New Roman"/>
                <w:b/>
              </w:rPr>
              <w:t>Categoria</w:t>
            </w:r>
          </w:p>
        </w:tc>
        <w:tc>
          <w:tcPr>
            <w:tcW w:w="2122" w:type="dxa"/>
            <w:shd w:val="pct20" w:color="000000" w:fill="FFFFFF"/>
          </w:tcPr>
          <w:p w:rsidR="00E32574" w:rsidRPr="006173C5" w:rsidRDefault="00E32574" w:rsidP="000C17EB">
            <w:pPr>
              <w:pStyle w:val="Default"/>
              <w:spacing w:before="120" w:after="120"/>
              <w:jc w:val="center"/>
              <w:rPr>
                <w:rFonts w:ascii="Times New Roman" w:hAnsi="Times New Roman" w:cs="Times New Roman"/>
                <w:b/>
              </w:rPr>
            </w:pPr>
            <w:r w:rsidRPr="006173C5">
              <w:rPr>
                <w:rFonts w:ascii="Times New Roman" w:hAnsi="Times New Roman" w:cs="Times New Roman"/>
                <w:b/>
              </w:rPr>
              <w:t>Hidrometrada</w:t>
            </w:r>
          </w:p>
        </w:tc>
        <w:tc>
          <w:tcPr>
            <w:tcW w:w="2122" w:type="dxa"/>
            <w:shd w:val="pct20" w:color="000000" w:fill="FFFFFF"/>
          </w:tcPr>
          <w:p w:rsidR="00E32574" w:rsidRPr="006173C5" w:rsidRDefault="00E32574" w:rsidP="000C17EB">
            <w:pPr>
              <w:pStyle w:val="Default"/>
              <w:spacing w:before="120" w:after="120"/>
              <w:jc w:val="center"/>
              <w:rPr>
                <w:rFonts w:ascii="Times New Roman" w:hAnsi="Times New Roman" w:cs="Times New Roman"/>
                <w:b/>
              </w:rPr>
            </w:pPr>
            <w:r w:rsidRPr="006173C5">
              <w:rPr>
                <w:rFonts w:ascii="Times New Roman" w:hAnsi="Times New Roman" w:cs="Times New Roman"/>
                <w:b/>
              </w:rPr>
              <w:t>Não-hidrometrada</w:t>
            </w:r>
          </w:p>
        </w:tc>
      </w:tr>
      <w:tr w:rsidR="00E32574" w:rsidRPr="00202B64" w:rsidTr="00E32574">
        <w:trPr>
          <w:cantSplit/>
          <w:jc w:val="center"/>
        </w:trPr>
        <w:tc>
          <w:tcPr>
            <w:tcW w:w="2535" w:type="dxa"/>
            <w:shd w:val="clear" w:color="auto" w:fill="FFFFFF"/>
            <w:vAlign w:val="center"/>
          </w:tcPr>
          <w:p w:rsidR="00E32574" w:rsidRPr="00E70836" w:rsidRDefault="00E32574" w:rsidP="000C17EB">
            <w:pPr>
              <w:pStyle w:val="Tabela"/>
              <w:numPr>
                <w:ilvl w:val="0"/>
                <w:numId w:val="0"/>
              </w:numPr>
              <w:spacing w:before="120" w:after="120"/>
              <w:ind w:right="-107"/>
              <w:rPr>
                <w:rFonts w:ascii="Times New Roman" w:hAnsi="Times New Roman"/>
                <w:sz w:val="24"/>
                <w:szCs w:val="24"/>
              </w:rPr>
            </w:pPr>
            <w:r w:rsidRPr="00E70836">
              <w:rPr>
                <w:rFonts w:ascii="Times New Roman" w:hAnsi="Times New Roman"/>
                <w:sz w:val="24"/>
                <w:szCs w:val="24"/>
              </w:rPr>
              <w:t>Residencial</w:t>
            </w:r>
          </w:p>
        </w:tc>
        <w:tc>
          <w:tcPr>
            <w:tcW w:w="2122" w:type="dxa"/>
            <w:shd w:val="clear" w:color="auto" w:fill="FFFFFF"/>
          </w:tcPr>
          <w:p w:rsidR="00E32574" w:rsidRPr="00E70836"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8679</w:t>
            </w:r>
          </w:p>
        </w:tc>
        <w:tc>
          <w:tcPr>
            <w:tcW w:w="2122" w:type="dxa"/>
            <w:shd w:val="clear" w:color="auto" w:fill="FFFFFF"/>
          </w:tcPr>
          <w:p w:rsidR="00E32574"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180</w:t>
            </w:r>
          </w:p>
        </w:tc>
      </w:tr>
      <w:tr w:rsidR="00E32574" w:rsidRPr="00202B64" w:rsidTr="00E32574">
        <w:trPr>
          <w:cantSplit/>
          <w:jc w:val="center"/>
        </w:trPr>
        <w:tc>
          <w:tcPr>
            <w:tcW w:w="2535" w:type="dxa"/>
            <w:shd w:val="clear" w:color="auto" w:fill="FFFFFF"/>
            <w:vAlign w:val="center"/>
          </w:tcPr>
          <w:p w:rsidR="00E32574" w:rsidRPr="00E70836" w:rsidRDefault="00E32574" w:rsidP="000C17EB">
            <w:pPr>
              <w:pStyle w:val="Tabela"/>
              <w:numPr>
                <w:ilvl w:val="0"/>
                <w:numId w:val="0"/>
              </w:numPr>
              <w:spacing w:before="120" w:after="120"/>
              <w:ind w:right="-107"/>
              <w:rPr>
                <w:rFonts w:ascii="Times New Roman" w:hAnsi="Times New Roman"/>
                <w:sz w:val="24"/>
                <w:szCs w:val="24"/>
              </w:rPr>
            </w:pPr>
            <w:r w:rsidRPr="00E70836">
              <w:rPr>
                <w:rFonts w:ascii="Times New Roman" w:hAnsi="Times New Roman"/>
                <w:sz w:val="24"/>
                <w:szCs w:val="24"/>
              </w:rPr>
              <w:t>Comercial</w:t>
            </w:r>
          </w:p>
        </w:tc>
        <w:tc>
          <w:tcPr>
            <w:tcW w:w="2122" w:type="dxa"/>
            <w:shd w:val="clear" w:color="auto" w:fill="FFFFFF"/>
          </w:tcPr>
          <w:p w:rsidR="00E32574" w:rsidRPr="00E70836"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895</w:t>
            </w:r>
          </w:p>
        </w:tc>
        <w:tc>
          <w:tcPr>
            <w:tcW w:w="2122" w:type="dxa"/>
            <w:shd w:val="clear" w:color="auto" w:fill="FFFFFF"/>
          </w:tcPr>
          <w:p w:rsidR="00E32574"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27</w:t>
            </w:r>
          </w:p>
        </w:tc>
      </w:tr>
      <w:tr w:rsidR="00E32574" w:rsidRPr="00202B64" w:rsidTr="00E32574">
        <w:trPr>
          <w:cantSplit/>
          <w:jc w:val="center"/>
        </w:trPr>
        <w:tc>
          <w:tcPr>
            <w:tcW w:w="2535" w:type="dxa"/>
            <w:shd w:val="clear" w:color="auto" w:fill="FFFFFF"/>
            <w:vAlign w:val="center"/>
          </w:tcPr>
          <w:p w:rsidR="00E32574" w:rsidRPr="00E70836" w:rsidRDefault="00E32574" w:rsidP="000C17EB">
            <w:pPr>
              <w:pStyle w:val="Tabela"/>
              <w:numPr>
                <w:ilvl w:val="0"/>
                <w:numId w:val="0"/>
              </w:numPr>
              <w:spacing w:before="120" w:after="120"/>
              <w:ind w:right="-107"/>
              <w:rPr>
                <w:rFonts w:ascii="Times New Roman" w:hAnsi="Times New Roman"/>
                <w:sz w:val="24"/>
                <w:szCs w:val="24"/>
              </w:rPr>
            </w:pPr>
            <w:r w:rsidRPr="00E70836">
              <w:rPr>
                <w:rFonts w:ascii="Times New Roman" w:hAnsi="Times New Roman"/>
                <w:sz w:val="24"/>
                <w:szCs w:val="24"/>
              </w:rPr>
              <w:t>Pública</w:t>
            </w:r>
          </w:p>
        </w:tc>
        <w:tc>
          <w:tcPr>
            <w:tcW w:w="2122" w:type="dxa"/>
            <w:shd w:val="clear" w:color="auto" w:fill="FFFFFF"/>
          </w:tcPr>
          <w:p w:rsidR="00E32574" w:rsidRPr="00E70836"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0</w:t>
            </w:r>
          </w:p>
        </w:tc>
        <w:tc>
          <w:tcPr>
            <w:tcW w:w="2122" w:type="dxa"/>
            <w:shd w:val="clear" w:color="auto" w:fill="FFFFFF"/>
          </w:tcPr>
          <w:p w:rsidR="00E32574"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0</w:t>
            </w:r>
          </w:p>
        </w:tc>
      </w:tr>
      <w:tr w:rsidR="00E32574" w:rsidRPr="00202B64" w:rsidTr="00E32574">
        <w:trPr>
          <w:cantSplit/>
          <w:jc w:val="center"/>
        </w:trPr>
        <w:tc>
          <w:tcPr>
            <w:tcW w:w="2535" w:type="dxa"/>
            <w:shd w:val="clear" w:color="auto" w:fill="FFFFFF"/>
            <w:vAlign w:val="center"/>
          </w:tcPr>
          <w:p w:rsidR="00E32574" w:rsidRPr="00E70836" w:rsidRDefault="00E32574" w:rsidP="000C17EB">
            <w:pPr>
              <w:pStyle w:val="Tabela"/>
              <w:numPr>
                <w:ilvl w:val="0"/>
                <w:numId w:val="0"/>
              </w:numPr>
              <w:spacing w:before="120" w:after="120"/>
              <w:ind w:right="-107"/>
              <w:rPr>
                <w:rFonts w:ascii="Times New Roman" w:hAnsi="Times New Roman"/>
                <w:sz w:val="24"/>
                <w:szCs w:val="24"/>
              </w:rPr>
            </w:pPr>
            <w:r w:rsidRPr="00E70836">
              <w:rPr>
                <w:rFonts w:ascii="Times New Roman" w:hAnsi="Times New Roman"/>
                <w:sz w:val="24"/>
                <w:szCs w:val="24"/>
              </w:rPr>
              <w:t>Industrial</w:t>
            </w:r>
          </w:p>
        </w:tc>
        <w:tc>
          <w:tcPr>
            <w:tcW w:w="2122" w:type="dxa"/>
            <w:shd w:val="clear" w:color="auto" w:fill="FFFFFF"/>
          </w:tcPr>
          <w:p w:rsidR="00E32574" w:rsidRPr="00E70836"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1</w:t>
            </w:r>
          </w:p>
        </w:tc>
        <w:tc>
          <w:tcPr>
            <w:tcW w:w="2122" w:type="dxa"/>
            <w:shd w:val="clear" w:color="auto" w:fill="FFFFFF"/>
          </w:tcPr>
          <w:p w:rsidR="00E32574"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0</w:t>
            </w:r>
          </w:p>
        </w:tc>
      </w:tr>
      <w:tr w:rsidR="00E32574" w:rsidRPr="00202B64" w:rsidTr="00E32574">
        <w:trPr>
          <w:cantSplit/>
          <w:jc w:val="center"/>
        </w:trPr>
        <w:tc>
          <w:tcPr>
            <w:tcW w:w="2535" w:type="dxa"/>
            <w:shd w:val="clear" w:color="auto" w:fill="FFFFFF"/>
            <w:vAlign w:val="center"/>
          </w:tcPr>
          <w:p w:rsidR="00E32574" w:rsidRPr="00E70836" w:rsidRDefault="00E32574" w:rsidP="000C17EB">
            <w:pPr>
              <w:pStyle w:val="Tabela"/>
              <w:numPr>
                <w:ilvl w:val="0"/>
                <w:numId w:val="0"/>
              </w:numPr>
              <w:spacing w:before="120" w:after="120"/>
              <w:ind w:right="-107"/>
              <w:rPr>
                <w:rFonts w:ascii="Times New Roman" w:hAnsi="Times New Roman"/>
                <w:sz w:val="24"/>
                <w:szCs w:val="24"/>
              </w:rPr>
            </w:pPr>
            <w:r>
              <w:rPr>
                <w:rFonts w:ascii="Times New Roman" w:hAnsi="Times New Roman"/>
                <w:sz w:val="24"/>
                <w:szCs w:val="24"/>
              </w:rPr>
              <w:t>Obras</w:t>
            </w:r>
          </w:p>
        </w:tc>
        <w:tc>
          <w:tcPr>
            <w:tcW w:w="2122" w:type="dxa"/>
            <w:shd w:val="clear" w:color="auto" w:fill="FFFFFF"/>
          </w:tcPr>
          <w:p w:rsidR="00E32574"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0</w:t>
            </w:r>
          </w:p>
        </w:tc>
        <w:tc>
          <w:tcPr>
            <w:tcW w:w="2122" w:type="dxa"/>
            <w:shd w:val="clear" w:color="auto" w:fill="FFFFFF"/>
          </w:tcPr>
          <w:p w:rsidR="00E32574"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0</w:t>
            </w:r>
          </w:p>
        </w:tc>
      </w:tr>
    </w:tbl>
    <w:p w:rsidR="00E32574" w:rsidRPr="00082391" w:rsidRDefault="005333B5" w:rsidP="005333B5">
      <w:pPr>
        <w:pStyle w:val="Fonte"/>
        <w:ind w:firstLine="708"/>
        <w:rPr>
          <w:lang w:eastAsia="pt-BR"/>
        </w:rPr>
      </w:pPr>
      <w:r>
        <w:rPr>
          <w:lang w:eastAsia="pt-BR"/>
        </w:rPr>
        <w:t xml:space="preserve">   </w:t>
      </w:r>
      <w:r w:rsidR="00E32574" w:rsidRPr="00082391">
        <w:rPr>
          <w:lang w:eastAsia="pt-BR"/>
        </w:rPr>
        <w:t>Fonte: SAAE, 2013.</w:t>
      </w:r>
    </w:p>
    <w:p w:rsidR="005333B5" w:rsidRDefault="0075744C" w:rsidP="0075744C">
      <w:pPr>
        <w:pStyle w:val="Legenda"/>
      </w:pPr>
      <w:bookmarkStart w:id="359" w:name="_Toc372740532"/>
      <w:r>
        <w:t xml:space="preserve">Quadro </w:t>
      </w:r>
      <w:fldSimple w:instr=" SEQ Quadro \* ARABIC ">
        <w:r w:rsidR="004F77E2">
          <w:rPr>
            <w:noProof/>
          </w:rPr>
          <w:t>26</w:t>
        </w:r>
      </w:fldSimple>
      <w:r>
        <w:t xml:space="preserve"> - </w:t>
      </w:r>
      <w:r w:rsidRPr="00B37514">
        <w:rPr>
          <w:noProof/>
        </w:rPr>
        <w:t>Número de hidrômetros com referência mês de Agosto de 2013.</w:t>
      </w:r>
      <w:bookmarkEnd w:id="359"/>
    </w:p>
    <w:tbl>
      <w:tblPr>
        <w:tblW w:w="4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35"/>
        <w:gridCol w:w="2122"/>
      </w:tblGrid>
      <w:tr w:rsidR="00E32574" w:rsidRPr="006173C5" w:rsidTr="00E32574">
        <w:trPr>
          <w:cantSplit/>
          <w:jc w:val="center"/>
        </w:trPr>
        <w:tc>
          <w:tcPr>
            <w:tcW w:w="2535" w:type="dxa"/>
            <w:shd w:val="pct20" w:color="000000" w:fill="FFFFFF"/>
          </w:tcPr>
          <w:p w:rsidR="00E32574" w:rsidRPr="006173C5" w:rsidRDefault="00E32574" w:rsidP="000C17EB">
            <w:pPr>
              <w:pStyle w:val="Tabela"/>
              <w:numPr>
                <w:ilvl w:val="0"/>
                <w:numId w:val="0"/>
              </w:numPr>
              <w:spacing w:before="120" w:after="120"/>
              <w:ind w:right="-107"/>
              <w:jc w:val="center"/>
              <w:rPr>
                <w:rFonts w:ascii="Times New Roman" w:hAnsi="Times New Roman"/>
                <w:b/>
                <w:sz w:val="24"/>
                <w:szCs w:val="24"/>
              </w:rPr>
            </w:pPr>
            <w:r w:rsidRPr="006173C5">
              <w:rPr>
                <w:rFonts w:ascii="Times New Roman" w:hAnsi="Times New Roman"/>
                <w:b/>
                <w:sz w:val="24"/>
                <w:szCs w:val="24"/>
              </w:rPr>
              <w:t>Categoria</w:t>
            </w:r>
          </w:p>
        </w:tc>
        <w:tc>
          <w:tcPr>
            <w:tcW w:w="2122" w:type="dxa"/>
            <w:shd w:val="pct20" w:color="000000" w:fill="FFFFFF"/>
          </w:tcPr>
          <w:p w:rsidR="00E32574" w:rsidRPr="006173C5" w:rsidRDefault="00E32574" w:rsidP="000C17EB">
            <w:pPr>
              <w:pStyle w:val="Tabela"/>
              <w:numPr>
                <w:ilvl w:val="0"/>
                <w:numId w:val="0"/>
              </w:numPr>
              <w:spacing w:before="120" w:after="120"/>
              <w:jc w:val="center"/>
              <w:rPr>
                <w:rFonts w:ascii="Times New Roman" w:hAnsi="Times New Roman"/>
                <w:b/>
                <w:sz w:val="24"/>
                <w:szCs w:val="24"/>
              </w:rPr>
            </w:pPr>
            <w:r w:rsidRPr="006173C5">
              <w:rPr>
                <w:rFonts w:ascii="Times New Roman" w:hAnsi="Times New Roman"/>
                <w:b/>
                <w:sz w:val="24"/>
                <w:szCs w:val="24"/>
              </w:rPr>
              <w:t>Quantidade</w:t>
            </w:r>
          </w:p>
        </w:tc>
      </w:tr>
      <w:tr w:rsidR="00E32574" w:rsidRPr="00202B64" w:rsidTr="00E32574">
        <w:trPr>
          <w:cantSplit/>
          <w:jc w:val="center"/>
        </w:trPr>
        <w:tc>
          <w:tcPr>
            <w:tcW w:w="2535" w:type="dxa"/>
            <w:shd w:val="clear" w:color="auto" w:fill="FFFFFF"/>
            <w:vAlign w:val="center"/>
          </w:tcPr>
          <w:p w:rsidR="00E32574" w:rsidRPr="00E70836" w:rsidRDefault="00E32574" w:rsidP="000C17EB">
            <w:pPr>
              <w:pStyle w:val="Tabela"/>
              <w:numPr>
                <w:ilvl w:val="0"/>
                <w:numId w:val="0"/>
              </w:numPr>
              <w:spacing w:before="120" w:after="120"/>
              <w:ind w:right="-107"/>
              <w:rPr>
                <w:rFonts w:ascii="Times New Roman" w:hAnsi="Times New Roman"/>
                <w:sz w:val="24"/>
                <w:szCs w:val="24"/>
              </w:rPr>
            </w:pPr>
            <w:r>
              <w:rPr>
                <w:rFonts w:ascii="Times New Roman" w:hAnsi="Times New Roman"/>
                <w:sz w:val="24"/>
                <w:szCs w:val="24"/>
              </w:rPr>
              <w:t>Funcionando</w:t>
            </w:r>
          </w:p>
        </w:tc>
        <w:tc>
          <w:tcPr>
            <w:tcW w:w="2122" w:type="dxa"/>
            <w:shd w:val="clear" w:color="auto" w:fill="FFFFFF"/>
          </w:tcPr>
          <w:p w:rsidR="00E32574" w:rsidRPr="00E70836"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7.773</w:t>
            </w:r>
          </w:p>
        </w:tc>
      </w:tr>
      <w:tr w:rsidR="00E32574" w:rsidRPr="00202B64" w:rsidTr="00E32574">
        <w:trPr>
          <w:cantSplit/>
          <w:jc w:val="center"/>
        </w:trPr>
        <w:tc>
          <w:tcPr>
            <w:tcW w:w="2535" w:type="dxa"/>
            <w:shd w:val="clear" w:color="auto" w:fill="FFFFFF"/>
            <w:vAlign w:val="center"/>
          </w:tcPr>
          <w:p w:rsidR="00E32574" w:rsidRPr="00E70836" w:rsidRDefault="00E32574" w:rsidP="000C17EB">
            <w:pPr>
              <w:pStyle w:val="Tabela"/>
              <w:numPr>
                <w:ilvl w:val="0"/>
                <w:numId w:val="0"/>
              </w:numPr>
              <w:spacing w:before="120" w:after="120"/>
              <w:ind w:right="-107"/>
              <w:rPr>
                <w:rFonts w:ascii="Times New Roman" w:hAnsi="Times New Roman"/>
                <w:sz w:val="24"/>
                <w:szCs w:val="24"/>
              </w:rPr>
            </w:pPr>
            <w:r>
              <w:rPr>
                <w:rFonts w:ascii="Times New Roman" w:hAnsi="Times New Roman"/>
                <w:sz w:val="24"/>
                <w:szCs w:val="24"/>
              </w:rPr>
              <w:t>Cortados</w:t>
            </w:r>
          </w:p>
        </w:tc>
        <w:tc>
          <w:tcPr>
            <w:tcW w:w="2122" w:type="dxa"/>
            <w:shd w:val="clear" w:color="auto" w:fill="FFFFFF"/>
          </w:tcPr>
          <w:p w:rsidR="00E32574" w:rsidRPr="00E70836"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1.802</w:t>
            </w:r>
          </w:p>
        </w:tc>
      </w:tr>
      <w:tr w:rsidR="00E32574" w:rsidRPr="00202B64" w:rsidTr="00E32574">
        <w:trPr>
          <w:cantSplit/>
          <w:jc w:val="center"/>
        </w:trPr>
        <w:tc>
          <w:tcPr>
            <w:tcW w:w="2535" w:type="dxa"/>
            <w:shd w:val="clear" w:color="auto" w:fill="FFFFFF"/>
            <w:vAlign w:val="center"/>
          </w:tcPr>
          <w:p w:rsidR="00E32574" w:rsidRPr="00E70836" w:rsidRDefault="00E32574" w:rsidP="000C17EB">
            <w:pPr>
              <w:pStyle w:val="Tabela"/>
              <w:numPr>
                <w:ilvl w:val="0"/>
                <w:numId w:val="0"/>
              </w:numPr>
              <w:spacing w:before="120" w:after="120"/>
              <w:ind w:right="-107"/>
              <w:rPr>
                <w:rFonts w:ascii="Times New Roman" w:hAnsi="Times New Roman"/>
                <w:sz w:val="24"/>
                <w:szCs w:val="24"/>
              </w:rPr>
            </w:pPr>
            <w:r>
              <w:rPr>
                <w:rFonts w:ascii="Times New Roman" w:hAnsi="Times New Roman"/>
                <w:sz w:val="24"/>
                <w:szCs w:val="24"/>
              </w:rPr>
              <w:t>Lidos</w:t>
            </w:r>
          </w:p>
        </w:tc>
        <w:tc>
          <w:tcPr>
            <w:tcW w:w="2122" w:type="dxa"/>
            <w:shd w:val="clear" w:color="auto" w:fill="FFFFFF"/>
          </w:tcPr>
          <w:p w:rsidR="00E32574" w:rsidRPr="00E70836"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7.747</w:t>
            </w:r>
          </w:p>
        </w:tc>
      </w:tr>
      <w:tr w:rsidR="00E32574" w:rsidRPr="00202B64" w:rsidTr="00E32574">
        <w:trPr>
          <w:cantSplit/>
          <w:jc w:val="center"/>
        </w:trPr>
        <w:tc>
          <w:tcPr>
            <w:tcW w:w="2535" w:type="dxa"/>
            <w:shd w:val="clear" w:color="auto" w:fill="FFFFFF"/>
            <w:vAlign w:val="center"/>
          </w:tcPr>
          <w:p w:rsidR="00E32574" w:rsidRPr="00E70836" w:rsidRDefault="00E32574" w:rsidP="000C17EB">
            <w:pPr>
              <w:pStyle w:val="Tabela"/>
              <w:numPr>
                <w:ilvl w:val="0"/>
                <w:numId w:val="0"/>
              </w:numPr>
              <w:spacing w:before="120" w:after="120"/>
              <w:ind w:right="-107"/>
              <w:rPr>
                <w:rFonts w:ascii="Times New Roman" w:hAnsi="Times New Roman"/>
                <w:sz w:val="24"/>
                <w:szCs w:val="24"/>
              </w:rPr>
            </w:pPr>
            <w:r>
              <w:rPr>
                <w:rFonts w:ascii="Times New Roman" w:hAnsi="Times New Roman"/>
                <w:sz w:val="24"/>
                <w:szCs w:val="24"/>
              </w:rPr>
              <w:t>Instalados</w:t>
            </w:r>
          </w:p>
        </w:tc>
        <w:tc>
          <w:tcPr>
            <w:tcW w:w="2122" w:type="dxa"/>
            <w:shd w:val="clear" w:color="auto" w:fill="FFFFFF"/>
          </w:tcPr>
          <w:p w:rsidR="00E32574" w:rsidRPr="00E70836"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22</w:t>
            </w:r>
          </w:p>
        </w:tc>
      </w:tr>
      <w:tr w:rsidR="00E32574" w:rsidRPr="00202B64" w:rsidTr="00E32574">
        <w:trPr>
          <w:cantSplit/>
          <w:jc w:val="center"/>
        </w:trPr>
        <w:tc>
          <w:tcPr>
            <w:tcW w:w="2535" w:type="dxa"/>
            <w:shd w:val="clear" w:color="auto" w:fill="FFFFFF"/>
            <w:vAlign w:val="center"/>
          </w:tcPr>
          <w:p w:rsidR="00E32574" w:rsidRPr="00E70836" w:rsidRDefault="00E32574" w:rsidP="000C17EB">
            <w:pPr>
              <w:pStyle w:val="Tabela"/>
              <w:numPr>
                <w:ilvl w:val="0"/>
                <w:numId w:val="0"/>
              </w:numPr>
              <w:spacing w:before="120" w:after="120"/>
              <w:ind w:right="-107"/>
              <w:rPr>
                <w:rFonts w:ascii="Times New Roman" w:hAnsi="Times New Roman"/>
                <w:sz w:val="24"/>
                <w:szCs w:val="24"/>
              </w:rPr>
            </w:pPr>
            <w:r>
              <w:rPr>
                <w:rFonts w:ascii="Times New Roman" w:hAnsi="Times New Roman"/>
                <w:sz w:val="24"/>
                <w:szCs w:val="24"/>
              </w:rPr>
              <w:t>Reparados</w:t>
            </w:r>
          </w:p>
        </w:tc>
        <w:tc>
          <w:tcPr>
            <w:tcW w:w="2122" w:type="dxa"/>
            <w:shd w:val="clear" w:color="auto" w:fill="FFFFFF"/>
          </w:tcPr>
          <w:p w:rsidR="00E32574"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2</w:t>
            </w:r>
          </w:p>
        </w:tc>
      </w:tr>
      <w:tr w:rsidR="00E32574" w:rsidRPr="00202B64" w:rsidTr="00E32574">
        <w:trPr>
          <w:cantSplit/>
          <w:jc w:val="center"/>
        </w:trPr>
        <w:tc>
          <w:tcPr>
            <w:tcW w:w="2535" w:type="dxa"/>
            <w:shd w:val="clear" w:color="auto" w:fill="FFFFFF"/>
            <w:vAlign w:val="center"/>
          </w:tcPr>
          <w:p w:rsidR="00E32574" w:rsidRDefault="00E32574" w:rsidP="000C17EB">
            <w:pPr>
              <w:pStyle w:val="Tabela"/>
              <w:numPr>
                <w:ilvl w:val="0"/>
                <w:numId w:val="0"/>
              </w:numPr>
              <w:spacing w:before="120" w:after="120"/>
              <w:ind w:right="-107"/>
              <w:rPr>
                <w:rFonts w:ascii="Times New Roman" w:hAnsi="Times New Roman"/>
                <w:sz w:val="24"/>
                <w:szCs w:val="24"/>
              </w:rPr>
            </w:pPr>
            <w:r>
              <w:rPr>
                <w:rFonts w:ascii="Times New Roman" w:hAnsi="Times New Roman"/>
                <w:sz w:val="24"/>
                <w:szCs w:val="24"/>
              </w:rPr>
              <w:t>Parados</w:t>
            </w:r>
          </w:p>
        </w:tc>
        <w:tc>
          <w:tcPr>
            <w:tcW w:w="2122" w:type="dxa"/>
            <w:shd w:val="clear" w:color="auto" w:fill="FFFFFF"/>
          </w:tcPr>
          <w:p w:rsidR="00E32574" w:rsidRDefault="00E32574" w:rsidP="000C17EB">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384</w:t>
            </w:r>
          </w:p>
        </w:tc>
      </w:tr>
    </w:tbl>
    <w:p w:rsidR="00E32574" w:rsidRDefault="005333B5" w:rsidP="005333B5">
      <w:pPr>
        <w:pStyle w:val="Fonte"/>
        <w:ind w:left="1416"/>
        <w:rPr>
          <w:lang w:eastAsia="pt-BR"/>
        </w:rPr>
      </w:pPr>
      <w:r>
        <w:rPr>
          <w:lang w:eastAsia="pt-BR"/>
        </w:rPr>
        <w:t xml:space="preserve">          </w:t>
      </w:r>
      <w:r w:rsidR="00E32574" w:rsidRPr="00082391">
        <w:rPr>
          <w:lang w:eastAsia="pt-BR"/>
        </w:rPr>
        <w:t>Fonte: SAAE, 2013.</w:t>
      </w:r>
    </w:p>
    <w:p w:rsidR="00E32574" w:rsidRDefault="00E32574" w:rsidP="00E32574">
      <w:pPr>
        <w:spacing w:line="360" w:lineRule="auto"/>
        <w:ind w:firstLine="708"/>
        <w:jc w:val="both"/>
        <w:rPr>
          <w:szCs w:val="24"/>
          <w:lang w:eastAsia="pt-BR"/>
        </w:rPr>
      </w:pPr>
      <w:r w:rsidRPr="00857730">
        <w:rPr>
          <w:szCs w:val="24"/>
          <w:lang w:eastAsia="pt-BR"/>
        </w:rPr>
        <w:t>Os dados referentes ao volume de água tratada</w:t>
      </w:r>
      <w:r>
        <w:rPr>
          <w:szCs w:val="24"/>
          <w:lang w:eastAsia="pt-BR"/>
        </w:rPr>
        <w:t xml:space="preserve"> consumida</w:t>
      </w:r>
      <w:r w:rsidRPr="00857730">
        <w:rPr>
          <w:szCs w:val="24"/>
          <w:lang w:eastAsia="pt-BR"/>
        </w:rPr>
        <w:t xml:space="preserve"> </w:t>
      </w:r>
      <w:r>
        <w:rPr>
          <w:szCs w:val="24"/>
          <w:lang w:eastAsia="pt-BR"/>
        </w:rPr>
        <w:t>no município de Aimorés em agosto de 2013 estão n</w:t>
      </w:r>
      <w:r w:rsidR="000C17EB">
        <w:rPr>
          <w:szCs w:val="24"/>
          <w:lang w:eastAsia="pt-BR"/>
        </w:rPr>
        <w:t>o</w:t>
      </w:r>
      <w:r>
        <w:rPr>
          <w:szCs w:val="24"/>
          <w:lang w:eastAsia="pt-BR"/>
        </w:rPr>
        <w:t xml:space="preserve"> </w:t>
      </w:r>
      <w:r w:rsidR="000C17EB">
        <w:rPr>
          <w:szCs w:val="24"/>
          <w:lang w:eastAsia="pt-BR"/>
        </w:rPr>
        <w:t>Quadro 2</w:t>
      </w:r>
      <w:r w:rsidR="005703B0">
        <w:rPr>
          <w:szCs w:val="24"/>
          <w:lang w:eastAsia="pt-BR"/>
        </w:rPr>
        <w:t>7</w:t>
      </w:r>
      <w:r>
        <w:rPr>
          <w:szCs w:val="24"/>
          <w:lang w:eastAsia="pt-BR"/>
        </w:rPr>
        <w:t>. N</w:t>
      </w:r>
      <w:r w:rsidR="000C17EB">
        <w:rPr>
          <w:szCs w:val="24"/>
          <w:lang w:eastAsia="pt-BR"/>
        </w:rPr>
        <w:t>o</w:t>
      </w:r>
      <w:r>
        <w:rPr>
          <w:szCs w:val="24"/>
          <w:lang w:eastAsia="pt-BR"/>
        </w:rPr>
        <w:t xml:space="preserve"> </w:t>
      </w:r>
      <w:r w:rsidR="000C17EB">
        <w:rPr>
          <w:szCs w:val="24"/>
          <w:lang w:eastAsia="pt-BR"/>
        </w:rPr>
        <w:t>Quadro 2</w:t>
      </w:r>
      <w:r w:rsidR="005703B0">
        <w:rPr>
          <w:szCs w:val="24"/>
          <w:lang w:eastAsia="pt-BR"/>
        </w:rPr>
        <w:t>8</w:t>
      </w:r>
      <w:r>
        <w:rPr>
          <w:szCs w:val="24"/>
          <w:lang w:eastAsia="pt-BR"/>
        </w:rPr>
        <w:t xml:space="preserve"> estão os dados dos volumes de água informados pelo SAAE para o ano de 2012.</w:t>
      </w:r>
    </w:p>
    <w:p w:rsidR="000C17EB" w:rsidRDefault="000C17EB">
      <w:pPr>
        <w:spacing w:after="200" w:line="276" w:lineRule="auto"/>
        <w:rPr>
          <w:rFonts w:eastAsiaTheme="minorEastAsia" w:cs="Times New Roman"/>
          <w:bCs/>
          <w:szCs w:val="24"/>
          <w:lang w:eastAsia="pt-BR"/>
        </w:rPr>
      </w:pPr>
      <w:bookmarkStart w:id="360" w:name="_Toc372117273"/>
      <w:r>
        <w:br w:type="page"/>
      </w:r>
    </w:p>
    <w:p w:rsidR="005333B5" w:rsidRPr="005333B5" w:rsidRDefault="0075744C" w:rsidP="0075744C">
      <w:pPr>
        <w:pStyle w:val="Legenda"/>
      </w:pPr>
      <w:bookmarkStart w:id="361" w:name="_Toc372740533"/>
      <w:bookmarkEnd w:id="360"/>
      <w:r>
        <w:lastRenderedPageBreak/>
        <w:t xml:space="preserve">Quadro </w:t>
      </w:r>
      <w:fldSimple w:instr=" SEQ Quadro \* ARABIC ">
        <w:r w:rsidR="004F77E2">
          <w:rPr>
            <w:noProof/>
          </w:rPr>
          <w:t>27</w:t>
        </w:r>
      </w:fldSimple>
      <w:r>
        <w:t xml:space="preserve"> - </w:t>
      </w:r>
      <w:r w:rsidRPr="002F185E">
        <w:rPr>
          <w:noProof/>
        </w:rPr>
        <w:t>Consumo de água com referência mês de Agosto de 2013.</w:t>
      </w:r>
      <w:bookmarkEnd w:id="361"/>
    </w:p>
    <w:tbl>
      <w:tblPr>
        <w:tblW w:w="0" w:type="auto"/>
        <w:jc w:val="center"/>
        <w:tblLayout w:type="fixed"/>
        <w:tblLook w:val="0000" w:firstRow="0" w:lastRow="0" w:firstColumn="0" w:lastColumn="0" w:noHBand="0" w:noVBand="0"/>
      </w:tblPr>
      <w:tblGrid>
        <w:gridCol w:w="3003"/>
        <w:gridCol w:w="2415"/>
      </w:tblGrid>
      <w:tr w:rsidR="00E32574" w:rsidRPr="006173C5" w:rsidTr="00E32574">
        <w:trPr>
          <w:trHeight w:val="485"/>
          <w:jc w:val="center"/>
        </w:trPr>
        <w:tc>
          <w:tcPr>
            <w:tcW w:w="3003"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6173C5" w:rsidRDefault="00E32574" w:rsidP="000C17EB">
            <w:pPr>
              <w:pStyle w:val="Default"/>
              <w:spacing w:before="120" w:after="120"/>
              <w:jc w:val="center"/>
              <w:rPr>
                <w:rFonts w:ascii="Times New Roman" w:hAnsi="Times New Roman" w:cs="Times New Roman"/>
                <w:b/>
              </w:rPr>
            </w:pPr>
            <w:r w:rsidRPr="006173C5">
              <w:rPr>
                <w:rFonts w:ascii="Times New Roman" w:hAnsi="Times New Roman" w:cs="Times New Roman"/>
                <w:b/>
              </w:rPr>
              <w:t>Categoria</w:t>
            </w:r>
          </w:p>
        </w:tc>
        <w:tc>
          <w:tcPr>
            <w:tcW w:w="2415"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6173C5" w:rsidRDefault="00E32574" w:rsidP="000C17EB">
            <w:pPr>
              <w:pStyle w:val="Default"/>
              <w:spacing w:before="120" w:after="120"/>
              <w:jc w:val="center"/>
              <w:rPr>
                <w:rFonts w:ascii="Times New Roman" w:hAnsi="Times New Roman" w:cs="Times New Roman"/>
                <w:b/>
              </w:rPr>
            </w:pPr>
            <w:r w:rsidRPr="006173C5">
              <w:rPr>
                <w:rFonts w:ascii="Times New Roman" w:hAnsi="Times New Roman" w:cs="Times New Roman"/>
                <w:b/>
              </w:rPr>
              <w:t>Quantidade (m³)</w:t>
            </w:r>
          </w:p>
        </w:tc>
      </w:tr>
      <w:tr w:rsidR="00E32574" w:rsidRPr="00202B64" w:rsidTr="00E32574">
        <w:trPr>
          <w:trHeight w:val="317"/>
          <w:jc w:val="center"/>
        </w:trPr>
        <w:tc>
          <w:tcPr>
            <w:tcW w:w="3003" w:type="dxa"/>
            <w:tcBorders>
              <w:top w:val="single" w:sz="6" w:space="0" w:color="000000"/>
              <w:left w:val="single" w:sz="4" w:space="0" w:color="000000"/>
              <w:bottom w:val="single" w:sz="6" w:space="0" w:color="000000"/>
              <w:right w:val="single" w:sz="4" w:space="0" w:color="000000"/>
            </w:tcBorders>
          </w:tcPr>
          <w:p w:rsidR="00E32574" w:rsidRPr="00202B64" w:rsidRDefault="00E32574" w:rsidP="000C17EB">
            <w:pPr>
              <w:pStyle w:val="Default"/>
              <w:spacing w:before="120" w:after="120"/>
              <w:rPr>
                <w:rFonts w:ascii="Times New Roman" w:hAnsi="Times New Roman" w:cs="Times New Roman"/>
              </w:rPr>
            </w:pPr>
            <w:r w:rsidRPr="00202B64">
              <w:rPr>
                <w:rFonts w:ascii="Times New Roman" w:hAnsi="Times New Roman" w:cs="Times New Roman"/>
              </w:rPr>
              <w:t>Estimado não hidrometrado</w:t>
            </w:r>
          </w:p>
        </w:tc>
        <w:tc>
          <w:tcPr>
            <w:tcW w:w="2415"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2.695</w:t>
            </w:r>
          </w:p>
        </w:tc>
      </w:tr>
      <w:tr w:rsidR="00E32574" w:rsidRPr="00202B64" w:rsidTr="00E32574">
        <w:trPr>
          <w:trHeight w:val="317"/>
          <w:jc w:val="center"/>
        </w:trPr>
        <w:tc>
          <w:tcPr>
            <w:tcW w:w="3003" w:type="dxa"/>
            <w:tcBorders>
              <w:top w:val="single" w:sz="6" w:space="0" w:color="000000"/>
              <w:left w:val="single" w:sz="4" w:space="0" w:color="000000"/>
              <w:bottom w:val="single" w:sz="6" w:space="0" w:color="000000"/>
              <w:right w:val="single" w:sz="4" w:space="0" w:color="000000"/>
            </w:tcBorders>
          </w:tcPr>
          <w:p w:rsidR="00E32574" w:rsidRPr="00202B64" w:rsidRDefault="00E32574" w:rsidP="000C17EB">
            <w:pPr>
              <w:pStyle w:val="Default"/>
              <w:spacing w:before="120" w:after="120"/>
              <w:rPr>
                <w:rFonts w:ascii="Times New Roman" w:hAnsi="Times New Roman" w:cs="Times New Roman"/>
              </w:rPr>
            </w:pPr>
            <w:r w:rsidRPr="00202B64">
              <w:rPr>
                <w:rFonts w:ascii="Times New Roman" w:hAnsi="Times New Roman" w:cs="Times New Roman"/>
              </w:rPr>
              <w:t>Estimado hidrometrado</w:t>
            </w:r>
          </w:p>
        </w:tc>
        <w:tc>
          <w:tcPr>
            <w:tcW w:w="2415"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146.016</w:t>
            </w:r>
          </w:p>
        </w:tc>
      </w:tr>
      <w:tr w:rsidR="00E32574" w:rsidRPr="00202B64" w:rsidTr="00E32574">
        <w:trPr>
          <w:trHeight w:val="297"/>
          <w:jc w:val="center"/>
        </w:trPr>
        <w:tc>
          <w:tcPr>
            <w:tcW w:w="3003" w:type="dxa"/>
            <w:tcBorders>
              <w:top w:val="single" w:sz="6" w:space="0" w:color="000000"/>
              <w:left w:val="single" w:sz="4" w:space="0" w:color="000000"/>
              <w:bottom w:val="single" w:sz="6" w:space="0" w:color="000000"/>
              <w:right w:val="single" w:sz="4" w:space="0" w:color="000000"/>
            </w:tcBorders>
          </w:tcPr>
          <w:p w:rsidR="00E32574" w:rsidRPr="00202B64" w:rsidRDefault="00E32574" w:rsidP="000C17EB">
            <w:pPr>
              <w:pStyle w:val="Default"/>
              <w:spacing w:before="120" w:after="120"/>
              <w:rPr>
                <w:rFonts w:ascii="Times New Roman" w:hAnsi="Times New Roman" w:cs="Times New Roman"/>
              </w:rPr>
            </w:pPr>
            <w:r w:rsidRPr="00202B64">
              <w:rPr>
                <w:rFonts w:ascii="Times New Roman" w:hAnsi="Times New Roman" w:cs="Times New Roman"/>
              </w:rPr>
              <w:t>Real hidrometrado</w:t>
            </w:r>
          </w:p>
        </w:tc>
        <w:tc>
          <w:tcPr>
            <w:tcW w:w="2415"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108.886</w:t>
            </w:r>
          </w:p>
        </w:tc>
      </w:tr>
      <w:tr w:rsidR="00E32574" w:rsidRPr="00202B64" w:rsidTr="00E32574">
        <w:trPr>
          <w:trHeight w:val="322"/>
          <w:jc w:val="center"/>
        </w:trPr>
        <w:tc>
          <w:tcPr>
            <w:tcW w:w="3003" w:type="dxa"/>
            <w:tcBorders>
              <w:top w:val="single" w:sz="6" w:space="0" w:color="000000"/>
              <w:left w:val="single" w:sz="4" w:space="0" w:color="000000"/>
              <w:bottom w:val="single" w:sz="6" w:space="0" w:color="000000"/>
              <w:right w:val="single" w:sz="4" w:space="0" w:color="000000"/>
            </w:tcBorders>
          </w:tcPr>
          <w:p w:rsidR="00E32574" w:rsidRPr="00202B64" w:rsidRDefault="00E32574" w:rsidP="000C17EB">
            <w:pPr>
              <w:pStyle w:val="Default"/>
              <w:spacing w:before="120" w:after="120"/>
              <w:rPr>
                <w:rFonts w:ascii="Times New Roman" w:hAnsi="Times New Roman" w:cs="Times New Roman"/>
              </w:rPr>
            </w:pPr>
            <w:r w:rsidRPr="00202B64">
              <w:rPr>
                <w:rFonts w:ascii="Times New Roman" w:hAnsi="Times New Roman" w:cs="Times New Roman"/>
              </w:rPr>
              <w:t>Faturado</w:t>
            </w:r>
          </w:p>
        </w:tc>
        <w:tc>
          <w:tcPr>
            <w:tcW w:w="2415"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0C17EB">
            <w:pPr>
              <w:pStyle w:val="Default"/>
              <w:spacing w:before="120" w:after="120"/>
              <w:jc w:val="center"/>
              <w:rPr>
                <w:rFonts w:ascii="Times New Roman" w:hAnsi="Times New Roman" w:cs="Times New Roman"/>
              </w:rPr>
            </w:pPr>
            <w:r w:rsidRPr="00202B64">
              <w:rPr>
                <w:rFonts w:ascii="Times New Roman" w:hAnsi="Times New Roman" w:cs="Times New Roman"/>
              </w:rPr>
              <w:t>148.711</w:t>
            </w:r>
          </w:p>
        </w:tc>
      </w:tr>
    </w:tbl>
    <w:p w:rsidR="00E32574" w:rsidRDefault="005333B5" w:rsidP="005333B5">
      <w:pPr>
        <w:pStyle w:val="Fonte"/>
        <w:ind w:left="708" w:firstLine="708"/>
        <w:rPr>
          <w:lang w:eastAsia="pt-BR"/>
        </w:rPr>
      </w:pPr>
      <w:r>
        <w:rPr>
          <w:lang w:eastAsia="pt-BR"/>
        </w:rPr>
        <w:t xml:space="preserve">   </w:t>
      </w:r>
      <w:r w:rsidR="00E32574" w:rsidRPr="00082391">
        <w:rPr>
          <w:lang w:eastAsia="pt-BR"/>
        </w:rPr>
        <w:t>Fonte: SAAE, 2013.</w:t>
      </w:r>
    </w:p>
    <w:p w:rsidR="005333B5" w:rsidRPr="005333B5" w:rsidRDefault="0075744C" w:rsidP="0075744C">
      <w:pPr>
        <w:pStyle w:val="Legenda"/>
      </w:pPr>
      <w:bookmarkStart w:id="362" w:name="_Toc372740534"/>
      <w:r>
        <w:t xml:space="preserve">Quadro </w:t>
      </w:r>
      <w:fldSimple w:instr=" SEQ Quadro \* ARABIC ">
        <w:r w:rsidR="004F77E2">
          <w:rPr>
            <w:noProof/>
          </w:rPr>
          <w:t>28</w:t>
        </w:r>
      </w:fldSimple>
      <w:r>
        <w:t xml:space="preserve"> - </w:t>
      </w:r>
      <w:r w:rsidRPr="00E62EEF">
        <w:rPr>
          <w:noProof/>
        </w:rPr>
        <w:t>Volumes de água informados pelo SAAE, 2012.</w:t>
      </w:r>
      <w:bookmarkEnd w:id="362"/>
    </w:p>
    <w:tbl>
      <w:tblPr>
        <w:tblW w:w="7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88"/>
        <w:gridCol w:w="2641"/>
      </w:tblGrid>
      <w:tr w:rsidR="00E32574" w:rsidRPr="006173C5" w:rsidTr="005333B5">
        <w:trPr>
          <w:trHeight w:val="397"/>
          <w:jc w:val="center"/>
        </w:trPr>
        <w:tc>
          <w:tcPr>
            <w:tcW w:w="4988" w:type="dxa"/>
            <w:shd w:val="clear" w:color="auto" w:fill="D9D9D9"/>
            <w:vAlign w:val="center"/>
          </w:tcPr>
          <w:p w:rsidR="00E32574" w:rsidRPr="006173C5" w:rsidRDefault="00E32574" w:rsidP="000C17EB">
            <w:pPr>
              <w:spacing w:before="120" w:after="120" w:line="240" w:lineRule="auto"/>
              <w:rPr>
                <w:b/>
                <w:szCs w:val="20"/>
                <w:lang w:eastAsia="pt-BR"/>
              </w:rPr>
            </w:pPr>
            <w:r w:rsidRPr="006173C5">
              <w:rPr>
                <w:b/>
                <w:szCs w:val="20"/>
                <w:lang w:eastAsia="pt-BR"/>
              </w:rPr>
              <w:t>V</w:t>
            </w:r>
            <w:r w:rsidRPr="006173C5">
              <w:rPr>
                <w:b/>
                <w:color w:val="000000"/>
                <w:szCs w:val="24"/>
                <w:lang w:eastAsia="pt-BR"/>
              </w:rPr>
              <w:t>olumes</w:t>
            </w:r>
          </w:p>
        </w:tc>
        <w:tc>
          <w:tcPr>
            <w:tcW w:w="2641" w:type="dxa"/>
            <w:shd w:val="clear" w:color="auto" w:fill="D9D9D9"/>
            <w:vAlign w:val="center"/>
          </w:tcPr>
          <w:p w:rsidR="00E32574" w:rsidRPr="006173C5" w:rsidRDefault="00E32574" w:rsidP="000C17EB">
            <w:pPr>
              <w:spacing w:before="120" w:after="120" w:line="240" w:lineRule="auto"/>
              <w:rPr>
                <w:b/>
                <w:szCs w:val="20"/>
                <w:lang w:eastAsia="pt-BR"/>
              </w:rPr>
            </w:pPr>
            <w:r w:rsidRPr="006173C5">
              <w:rPr>
                <w:b/>
                <w:szCs w:val="20"/>
                <w:lang w:eastAsia="pt-BR"/>
              </w:rPr>
              <w:t>Unidade (1.000 m³/ano)</w:t>
            </w:r>
          </w:p>
        </w:tc>
      </w:tr>
      <w:tr w:rsidR="00E32574" w:rsidRPr="00312D45" w:rsidTr="005333B5">
        <w:trPr>
          <w:trHeight w:val="397"/>
          <w:jc w:val="center"/>
        </w:trPr>
        <w:tc>
          <w:tcPr>
            <w:tcW w:w="4988" w:type="dxa"/>
            <w:vAlign w:val="center"/>
          </w:tcPr>
          <w:p w:rsidR="00E32574" w:rsidRPr="00B571D8" w:rsidRDefault="00E32574" w:rsidP="000C17EB">
            <w:pPr>
              <w:spacing w:before="120" w:after="120" w:line="240" w:lineRule="auto"/>
              <w:rPr>
                <w:szCs w:val="20"/>
                <w:lang w:eastAsia="pt-BR"/>
              </w:rPr>
            </w:pPr>
            <w:r w:rsidRPr="00B571D8">
              <w:rPr>
                <w:szCs w:val="20"/>
                <w:lang w:eastAsia="pt-BR"/>
              </w:rPr>
              <w:t>Volume de água produzido</w:t>
            </w:r>
          </w:p>
        </w:tc>
        <w:tc>
          <w:tcPr>
            <w:tcW w:w="2641" w:type="dxa"/>
            <w:vAlign w:val="center"/>
          </w:tcPr>
          <w:p w:rsidR="00E32574" w:rsidRPr="00B571D8" w:rsidRDefault="00E32574" w:rsidP="0057434B">
            <w:pPr>
              <w:spacing w:before="120" w:after="120" w:line="240" w:lineRule="auto"/>
              <w:jc w:val="center"/>
              <w:rPr>
                <w:szCs w:val="20"/>
                <w:lang w:eastAsia="pt-BR"/>
              </w:rPr>
            </w:pPr>
            <w:r w:rsidRPr="00B571D8">
              <w:rPr>
                <w:szCs w:val="20"/>
                <w:lang w:eastAsia="pt-BR"/>
              </w:rPr>
              <w:t>1.689,14</w:t>
            </w:r>
          </w:p>
        </w:tc>
      </w:tr>
      <w:tr w:rsidR="00E32574" w:rsidRPr="00312D45" w:rsidTr="005333B5">
        <w:trPr>
          <w:trHeight w:val="397"/>
          <w:jc w:val="center"/>
        </w:trPr>
        <w:tc>
          <w:tcPr>
            <w:tcW w:w="4988" w:type="dxa"/>
            <w:vAlign w:val="center"/>
          </w:tcPr>
          <w:p w:rsidR="00E32574" w:rsidRPr="00B571D8" w:rsidRDefault="00E32574" w:rsidP="000C17EB">
            <w:pPr>
              <w:spacing w:before="120" w:after="120" w:line="240" w:lineRule="auto"/>
              <w:rPr>
                <w:szCs w:val="20"/>
                <w:lang w:eastAsia="pt-BR"/>
              </w:rPr>
            </w:pPr>
            <w:r w:rsidRPr="00B571D8">
              <w:rPr>
                <w:szCs w:val="20"/>
                <w:lang w:eastAsia="pt-BR"/>
              </w:rPr>
              <w:t>Volume de água tratada em ETA’s</w:t>
            </w:r>
          </w:p>
        </w:tc>
        <w:tc>
          <w:tcPr>
            <w:tcW w:w="2641" w:type="dxa"/>
            <w:vAlign w:val="center"/>
          </w:tcPr>
          <w:p w:rsidR="00E32574" w:rsidRPr="00B571D8" w:rsidRDefault="00E32574" w:rsidP="0057434B">
            <w:pPr>
              <w:spacing w:before="120" w:after="120" w:line="240" w:lineRule="auto"/>
              <w:jc w:val="center"/>
              <w:rPr>
                <w:szCs w:val="20"/>
                <w:lang w:eastAsia="pt-BR"/>
              </w:rPr>
            </w:pPr>
            <w:r w:rsidRPr="00B571D8">
              <w:rPr>
                <w:szCs w:val="20"/>
                <w:lang w:eastAsia="pt-BR"/>
              </w:rPr>
              <w:t>1.657,19</w:t>
            </w:r>
          </w:p>
        </w:tc>
      </w:tr>
      <w:tr w:rsidR="00E32574" w:rsidRPr="00312D45" w:rsidTr="005333B5">
        <w:trPr>
          <w:trHeight w:val="397"/>
          <w:jc w:val="center"/>
        </w:trPr>
        <w:tc>
          <w:tcPr>
            <w:tcW w:w="4988" w:type="dxa"/>
            <w:vAlign w:val="center"/>
          </w:tcPr>
          <w:p w:rsidR="00E32574" w:rsidRPr="00B571D8" w:rsidRDefault="00E32574" w:rsidP="000C17EB">
            <w:pPr>
              <w:spacing w:before="120" w:after="120" w:line="240" w:lineRule="auto"/>
              <w:rPr>
                <w:szCs w:val="20"/>
                <w:lang w:eastAsia="pt-BR"/>
              </w:rPr>
            </w:pPr>
            <w:r w:rsidRPr="00B571D8">
              <w:rPr>
                <w:szCs w:val="20"/>
                <w:lang w:eastAsia="pt-BR"/>
              </w:rPr>
              <w:t>Volume de água tratada por simples desinfecção</w:t>
            </w:r>
          </w:p>
        </w:tc>
        <w:tc>
          <w:tcPr>
            <w:tcW w:w="2641" w:type="dxa"/>
            <w:vAlign w:val="center"/>
          </w:tcPr>
          <w:p w:rsidR="00E32574" w:rsidRPr="00B571D8" w:rsidRDefault="00E32574" w:rsidP="0057434B">
            <w:pPr>
              <w:spacing w:before="120" w:after="120" w:line="240" w:lineRule="auto"/>
              <w:jc w:val="center"/>
              <w:rPr>
                <w:szCs w:val="20"/>
                <w:lang w:eastAsia="pt-BR"/>
              </w:rPr>
            </w:pPr>
            <w:r w:rsidRPr="00B571D8">
              <w:rPr>
                <w:szCs w:val="20"/>
                <w:lang w:eastAsia="pt-BR"/>
              </w:rPr>
              <w:t>31,95</w:t>
            </w:r>
          </w:p>
        </w:tc>
      </w:tr>
      <w:tr w:rsidR="00E32574" w:rsidRPr="00312D45" w:rsidTr="005333B5">
        <w:trPr>
          <w:trHeight w:val="397"/>
          <w:jc w:val="center"/>
        </w:trPr>
        <w:tc>
          <w:tcPr>
            <w:tcW w:w="4988" w:type="dxa"/>
            <w:vAlign w:val="center"/>
          </w:tcPr>
          <w:p w:rsidR="00E32574" w:rsidRPr="00B571D8" w:rsidRDefault="00E32574" w:rsidP="000C17EB">
            <w:pPr>
              <w:spacing w:before="120" w:after="120" w:line="240" w:lineRule="auto"/>
              <w:rPr>
                <w:szCs w:val="20"/>
                <w:lang w:eastAsia="pt-BR"/>
              </w:rPr>
            </w:pPr>
            <w:r w:rsidRPr="00B571D8">
              <w:rPr>
                <w:szCs w:val="20"/>
                <w:lang w:eastAsia="pt-BR"/>
              </w:rPr>
              <w:t>Volume de água fluoretada</w:t>
            </w:r>
          </w:p>
        </w:tc>
        <w:tc>
          <w:tcPr>
            <w:tcW w:w="2641" w:type="dxa"/>
            <w:vAlign w:val="center"/>
          </w:tcPr>
          <w:p w:rsidR="00E32574" w:rsidRPr="00B571D8" w:rsidRDefault="00E32574" w:rsidP="0057434B">
            <w:pPr>
              <w:spacing w:before="120" w:after="120" w:line="240" w:lineRule="auto"/>
              <w:jc w:val="center"/>
              <w:rPr>
                <w:szCs w:val="20"/>
                <w:lang w:eastAsia="pt-BR"/>
              </w:rPr>
            </w:pPr>
            <w:r w:rsidRPr="00B571D8">
              <w:rPr>
                <w:szCs w:val="20"/>
                <w:lang w:eastAsia="pt-BR"/>
              </w:rPr>
              <w:t>1.689,14</w:t>
            </w:r>
          </w:p>
        </w:tc>
      </w:tr>
      <w:tr w:rsidR="00E32574" w:rsidRPr="00312D45" w:rsidTr="005333B5">
        <w:trPr>
          <w:trHeight w:val="397"/>
          <w:jc w:val="center"/>
        </w:trPr>
        <w:tc>
          <w:tcPr>
            <w:tcW w:w="4988" w:type="dxa"/>
            <w:vAlign w:val="center"/>
          </w:tcPr>
          <w:p w:rsidR="00E32574" w:rsidRPr="00B571D8" w:rsidRDefault="00E32574" w:rsidP="000C17EB">
            <w:pPr>
              <w:spacing w:before="120" w:after="120" w:line="240" w:lineRule="auto"/>
              <w:rPr>
                <w:szCs w:val="20"/>
                <w:lang w:eastAsia="pt-BR"/>
              </w:rPr>
            </w:pPr>
            <w:r w:rsidRPr="00B571D8">
              <w:rPr>
                <w:szCs w:val="20"/>
                <w:lang w:eastAsia="pt-BR"/>
              </w:rPr>
              <w:t>Volume de água macromedido</w:t>
            </w:r>
          </w:p>
        </w:tc>
        <w:tc>
          <w:tcPr>
            <w:tcW w:w="2641" w:type="dxa"/>
            <w:vAlign w:val="center"/>
          </w:tcPr>
          <w:p w:rsidR="00E32574" w:rsidRPr="00B571D8" w:rsidRDefault="00E32574" w:rsidP="0057434B">
            <w:pPr>
              <w:spacing w:before="120" w:after="120" w:line="240" w:lineRule="auto"/>
              <w:jc w:val="center"/>
              <w:rPr>
                <w:szCs w:val="20"/>
                <w:lang w:eastAsia="pt-BR"/>
              </w:rPr>
            </w:pPr>
            <w:r w:rsidRPr="00B571D8">
              <w:rPr>
                <w:szCs w:val="20"/>
                <w:lang w:eastAsia="pt-BR"/>
              </w:rPr>
              <w:t>1.689,14</w:t>
            </w:r>
          </w:p>
        </w:tc>
      </w:tr>
      <w:tr w:rsidR="00E32574" w:rsidRPr="00312D45" w:rsidTr="005333B5">
        <w:trPr>
          <w:trHeight w:val="397"/>
          <w:jc w:val="center"/>
        </w:trPr>
        <w:tc>
          <w:tcPr>
            <w:tcW w:w="4988" w:type="dxa"/>
            <w:vAlign w:val="center"/>
          </w:tcPr>
          <w:p w:rsidR="00E32574" w:rsidRPr="00B571D8" w:rsidRDefault="00E32574" w:rsidP="000C17EB">
            <w:pPr>
              <w:spacing w:before="120" w:after="120" w:line="240" w:lineRule="auto"/>
              <w:rPr>
                <w:szCs w:val="20"/>
                <w:lang w:eastAsia="pt-BR"/>
              </w:rPr>
            </w:pPr>
            <w:r w:rsidRPr="00B571D8">
              <w:rPr>
                <w:szCs w:val="20"/>
                <w:lang w:eastAsia="pt-BR"/>
              </w:rPr>
              <w:t>Volume de água micromedido</w:t>
            </w:r>
          </w:p>
        </w:tc>
        <w:tc>
          <w:tcPr>
            <w:tcW w:w="2641" w:type="dxa"/>
            <w:vAlign w:val="center"/>
          </w:tcPr>
          <w:p w:rsidR="00E32574" w:rsidRPr="00B571D8" w:rsidRDefault="00E32574" w:rsidP="0057434B">
            <w:pPr>
              <w:spacing w:before="120" w:after="120" w:line="240" w:lineRule="auto"/>
              <w:jc w:val="center"/>
              <w:rPr>
                <w:szCs w:val="20"/>
                <w:lang w:eastAsia="pt-BR"/>
              </w:rPr>
            </w:pPr>
            <w:r w:rsidRPr="00B571D8">
              <w:rPr>
                <w:szCs w:val="20"/>
                <w:lang w:eastAsia="pt-BR"/>
              </w:rPr>
              <w:t>1.264,30</w:t>
            </w:r>
          </w:p>
        </w:tc>
      </w:tr>
      <w:tr w:rsidR="00E32574" w:rsidRPr="00312D45" w:rsidTr="005333B5">
        <w:trPr>
          <w:trHeight w:val="397"/>
          <w:jc w:val="center"/>
        </w:trPr>
        <w:tc>
          <w:tcPr>
            <w:tcW w:w="4988" w:type="dxa"/>
            <w:vAlign w:val="center"/>
          </w:tcPr>
          <w:p w:rsidR="00E32574" w:rsidRPr="00B571D8" w:rsidRDefault="00E32574" w:rsidP="000C17EB">
            <w:pPr>
              <w:spacing w:before="120" w:after="120" w:line="240" w:lineRule="auto"/>
              <w:rPr>
                <w:szCs w:val="20"/>
                <w:lang w:eastAsia="pt-BR"/>
              </w:rPr>
            </w:pPr>
            <w:r w:rsidRPr="00B571D8">
              <w:rPr>
                <w:szCs w:val="20"/>
                <w:lang w:eastAsia="pt-BR"/>
              </w:rPr>
              <w:t>Volume de água consumido</w:t>
            </w:r>
          </w:p>
        </w:tc>
        <w:tc>
          <w:tcPr>
            <w:tcW w:w="2641" w:type="dxa"/>
            <w:vAlign w:val="center"/>
          </w:tcPr>
          <w:p w:rsidR="00E32574" w:rsidRPr="00B571D8" w:rsidRDefault="00E32574" w:rsidP="0057434B">
            <w:pPr>
              <w:spacing w:before="120" w:after="120" w:line="240" w:lineRule="auto"/>
              <w:jc w:val="center"/>
              <w:rPr>
                <w:szCs w:val="20"/>
                <w:lang w:eastAsia="pt-BR"/>
              </w:rPr>
            </w:pPr>
            <w:r w:rsidRPr="00B571D8">
              <w:rPr>
                <w:szCs w:val="20"/>
                <w:lang w:eastAsia="pt-BR"/>
              </w:rPr>
              <w:t>1.689,14</w:t>
            </w:r>
          </w:p>
        </w:tc>
      </w:tr>
      <w:tr w:rsidR="00E32574" w:rsidRPr="00312D45" w:rsidTr="005333B5">
        <w:trPr>
          <w:trHeight w:val="397"/>
          <w:jc w:val="center"/>
        </w:trPr>
        <w:tc>
          <w:tcPr>
            <w:tcW w:w="4988" w:type="dxa"/>
            <w:vAlign w:val="center"/>
          </w:tcPr>
          <w:p w:rsidR="00E32574" w:rsidRPr="00B571D8" w:rsidRDefault="00E32574" w:rsidP="000C17EB">
            <w:pPr>
              <w:spacing w:before="120" w:after="120" w:line="240" w:lineRule="auto"/>
              <w:rPr>
                <w:szCs w:val="20"/>
                <w:lang w:eastAsia="pt-BR"/>
              </w:rPr>
            </w:pPr>
            <w:r w:rsidRPr="00B571D8">
              <w:rPr>
                <w:szCs w:val="20"/>
                <w:lang w:eastAsia="pt-BR"/>
              </w:rPr>
              <w:t>Volume de água faturado</w:t>
            </w:r>
          </w:p>
        </w:tc>
        <w:tc>
          <w:tcPr>
            <w:tcW w:w="2641" w:type="dxa"/>
            <w:vAlign w:val="center"/>
          </w:tcPr>
          <w:p w:rsidR="00E32574" w:rsidRPr="00B571D8" w:rsidRDefault="00E32574" w:rsidP="0057434B">
            <w:pPr>
              <w:spacing w:before="120" w:after="120" w:line="240" w:lineRule="auto"/>
              <w:jc w:val="center"/>
              <w:rPr>
                <w:szCs w:val="20"/>
                <w:lang w:eastAsia="pt-BR"/>
              </w:rPr>
            </w:pPr>
            <w:r w:rsidRPr="00B571D8">
              <w:rPr>
                <w:szCs w:val="20"/>
                <w:lang w:eastAsia="pt-BR"/>
              </w:rPr>
              <w:t>1.749,46</w:t>
            </w:r>
          </w:p>
        </w:tc>
      </w:tr>
    </w:tbl>
    <w:p w:rsidR="00E32574" w:rsidRDefault="005333B5" w:rsidP="005333B5">
      <w:pPr>
        <w:pStyle w:val="Fonte"/>
        <w:rPr>
          <w:lang w:eastAsia="pt-BR"/>
        </w:rPr>
      </w:pPr>
      <w:r>
        <w:rPr>
          <w:lang w:eastAsia="pt-BR"/>
        </w:rPr>
        <w:t xml:space="preserve">        </w:t>
      </w:r>
      <w:r w:rsidR="00E32574">
        <w:rPr>
          <w:lang w:eastAsia="pt-BR"/>
        </w:rPr>
        <w:t>Fonte: SAAE, 2013.</w:t>
      </w:r>
    </w:p>
    <w:p w:rsidR="00E32574" w:rsidRPr="00A275C9" w:rsidRDefault="00C82D86" w:rsidP="00971B37">
      <w:pPr>
        <w:pStyle w:val="Titulo"/>
      </w:pPr>
      <w:bookmarkStart w:id="363" w:name="_Toc372559117"/>
      <w:bookmarkStart w:id="364" w:name="_Toc372789549"/>
      <w:r w:rsidRPr="00A275C9">
        <w:t>11.</w:t>
      </w:r>
      <w:r w:rsidR="00E64A13">
        <w:t>9</w:t>
      </w:r>
      <w:r w:rsidRPr="00A275C9">
        <w:t xml:space="preserve">.4 </w:t>
      </w:r>
      <w:r w:rsidR="00E32574" w:rsidRPr="00A275C9">
        <w:t>Financeiro</w:t>
      </w:r>
      <w:bookmarkEnd w:id="363"/>
      <w:bookmarkEnd w:id="364"/>
    </w:p>
    <w:p w:rsidR="00E32574" w:rsidRDefault="00E32574" w:rsidP="00E32574">
      <w:pPr>
        <w:pStyle w:val="CM71"/>
        <w:spacing w:line="360" w:lineRule="auto"/>
        <w:ind w:firstLine="708"/>
        <w:jc w:val="both"/>
        <w:rPr>
          <w:rFonts w:ascii="Times New Roman" w:hAnsi="Times New Roman" w:cs="Times New Roman"/>
        </w:rPr>
      </w:pPr>
      <w:r>
        <w:rPr>
          <w:rFonts w:ascii="Times New Roman" w:hAnsi="Times New Roman" w:cs="Times New Roman"/>
        </w:rPr>
        <w:t>Os Dados Financeiros do SAAE de Aimorés dos três últimos anos (2010, 2011, 2012) podem ser visualizados n</w:t>
      </w:r>
      <w:r w:rsidR="006173C5">
        <w:rPr>
          <w:rFonts w:ascii="Times New Roman" w:hAnsi="Times New Roman" w:cs="Times New Roman"/>
        </w:rPr>
        <w:t xml:space="preserve">o Quadro </w:t>
      </w:r>
      <w:r w:rsidR="005703B0">
        <w:rPr>
          <w:rFonts w:ascii="Times New Roman" w:hAnsi="Times New Roman" w:cs="Times New Roman"/>
        </w:rPr>
        <w:t>29</w:t>
      </w:r>
      <w:r>
        <w:rPr>
          <w:rFonts w:ascii="Times New Roman" w:hAnsi="Times New Roman" w:cs="Times New Roman"/>
        </w:rPr>
        <w:t>. Em 2012, a arrecadação total teve um crescimento de 6,79 % em relação a 2011 e em 2011 teve um crescimento de 11,65 % em relação a 2010. Em 2011 houve um aumento de 4,54 % das despesas totais em relação a 2010 e em 2012, houve aumento de 14,94 % em relação ao ano anterior. De 2010 para 2011, houve em aumento de 134,07 % nos investimentos realizados pelo SAAE, enquanto em 2012, teve aumento de 23,95%.</w:t>
      </w:r>
    </w:p>
    <w:p w:rsidR="00E32574" w:rsidRPr="006725B0" w:rsidRDefault="0075744C" w:rsidP="0075744C">
      <w:pPr>
        <w:pStyle w:val="Legenda"/>
        <w:rPr>
          <w:color w:val="000000"/>
          <w:sz w:val="20"/>
        </w:rPr>
      </w:pPr>
      <w:bookmarkStart w:id="365" w:name="_Toc372740535"/>
      <w:r>
        <w:lastRenderedPageBreak/>
        <w:t xml:space="preserve">Quadro </w:t>
      </w:r>
      <w:fldSimple w:instr=" SEQ Quadro \* ARABIC ">
        <w:r w:rsidR="004F77E2">
          <w:rPr>
            <w:noProof/>
          </w:rPr>
          <w:t>29</w:t>
        </w:r>
      </w:fldSimple>
      <w:r>
        <w:t xml:space="preserve"> - </w:t>
      </w:r>
      <w:r w:rsidRPr="00F930CD">
        <w:rPr>
          <w:noProof/>
        </w:rPr>
        <w:t>Dados financeiros do SAAE.</w:t>
      </w:r>
      <w:bookmarkEnd w:id="365"/>
    </w:p>
    <w:tbl>
      <w:tblPr>
        <w:tblW w:w="7337" w:type="dxa"/>
        <w:jc w:val="center"/>
        <w:tblLayout w:type="fixed"/>
        <w:tblLook w:val="0000" w:firstRow="0" w:lastRow="0" w:firstColumn="0" w:lastColumn="0" w:noHBand="0" w:noVBand="0"/>
      </w:tblPr>
      <w:tblGrid>
        <w:gridCol w:w="821"/>
        <w:gridCol w:w="1417"/>
        <w:gridCol w:w="1560"/>
        <w:gridCol w:w="2122"/>
        <w:gridCol w:w="1417"/>
      </w:tblGrid>
      <w:tr w:rsidR="00E32574" w:rsidRPr="00202B64" w:rsidTr="00E32574">
        <w:trPr>
          <w:trHeight w:val="220"/>
          <w:jc w:val="center"/>
        </w:trPr>
        <w:tc>
          <w:tcPr>
            <w:tcW w:w="821" w:type="dxa"/>
            <w:vMerge w:val="restart"/>
            <w:tcBorders>
              <w:top w:val="single" w:sz="10" w:space="0" w:color="000000"/>
              <w:left w:val="single" w:sz="2" w:space="0" w:color="000000"/>
              <w:bottom w:val="single" w:sz="10" w:space="0" w:color="000000"/>
              <w:right w:val="single" w:sz="10" w:space="0" w:color="000000"/>
            </w:tcBorders>
            <w:shd w:val="clear" w:color="auto" w:fill="D9D9D9"/>
            <w:vAlign w:val="center"/>
          </w:tcPr>
          <w:p w:rsidR="00E32574" w:rsidRPr="006173C5" w:rsidRDefault="00E32574" w:rsidP="006173C5">
            <w:pPr>
              <w:pStyle w:val="Default"/>
              <w:spacing w:before="120" w:after="120"/>
              <w:jc w:val="center"/>
              <w:rPr>
                <w:rFonts w:ascii="Times New Roman" w:hAnsi="Times New Roman" w:cs="Times New Roman"/>
                <w:b/>
                <w:sz w:val="20"/>
                <w:szCs w:val="20"/>
              </w:rPr>
            </w:pPr>
            <w:r w:rsidRPr="006173C5">
              <w:rPr>
                <w:rFonts w:ascii="Times New Roman" w:hAnsi="Times New Roman" w:cs="Times New Roman"/>
                <w:b/>
                <w:sz w:val="20"/>
                <w:szCs w:val="20"/>
              </w:rPr>
              <w:t xml:space="preserve">Ano </w:t>
            </w:r>
          </w:p>
        </w:tc>
        <w:tc>
          <w:tcPr>
            <w:tcW w:w="6516" w:type="dxa"/>
            <w:gridSpan w:val="4"/>
            <w:tcBorders>
              <w:top w:val="single" w:sz="10" w:space="0" w:color="000000"/>
              <w:left w:val="single" w:sz="8" w:space="0" w:color="000000"/>
              <w:bottom w:val="single" w:sz="6" w:space="0" w:color="000000"/>
              <w:right w:val="single" w:sz="2" w:space="0" w:color="000000"/>
            </w:tcBorders>
            <w:shd w:val="clear" w:color="auto" w:fill="D9D9D9"/>
          </w:tcPr>
          <w:p w:rsidR="00E32574" w:rsidRPr="006173C5" w:rsidRDefault="00E32574" w:rsidP="006173C5">
            <w:pPr>
              <w:pStyle w:val="Default"/>
              <w:spacing w:before="120" w:after="120"/>
              <w:jc w:val="center"/>
              <w:rPr>
                <w:rFonts w:ascii="Times New Roman" w:hAnsi="Times New Roman" w:cs="Times New Roman"/>
                <w:b/>
                <w:color w:val="auto"/>
                <w:sz w:val="20"/>
                <w:szCs w:val="20"/>
              </w:rPr>
            </w:pPr>
            <w:r w:rsidRPr="006173C5">
              <w:rPr>
                <w:rFonts w:ascii="Times New Roman" w:hAnsi="Times New Roman" w:cs="Times New Roman"/>
                <w:b/>
                <w:color w:val="auto"/>
                <w:sz w:val="20"/>
                <w:szCs w:val="20"/>
              </w:rPr>
              <w:t>Dados Financeiros do SAAE</w:t>
            </w:r>
          </w:p>
        </w:tc>
      </w:tr>
      <w:tr w:rsidR="00E32574" w:rsidRPr="00202B64" w:rsidTr="00E32574">
        <w:trPr>
          <w:trHeight w:val="542"/>
          <w:jc w:val="center"/>
        </w:trPr>
        <w:tc>
          <w:tcPr>
            <w:tcW w:w="821" w:type="dxa"/>
            <w:vMerge/>
            <w:tcBorders>
              <w:top w:val="single" w:sz="10" w:space="0" w:color="000000"/>
              <w:left w:val="single" w:sz="2" w:space="0" w:color="000000"/>
              <w:bottom w:val="single" w:sz="10" w:space="0" w:color="000000"/>
              <w:right w:val="single" w:sz="10" w:space="0" w:color="000000"/>
            </w:tcBorders>
            <w:shd w:val="clear" w:color="auto" w:fill="D9D9D9"/>
            <w:vAlign w:val="center"/>
          </w:tcPr>
          <w:p w:rsidR="00E32574" w:rsidRPr="006173C5" w:rsidRDefault="00E32574" w:rsidP="006173C5">
            <w:pPr>
              <w:pStyle w:val="Default"/>
              <w:spacing w:before="120" w:after="120"/>
              <w:jc w:val="center"/>
              <w:rPr>
                <w:rFonts w:ascii="Times New Roman" w:hAnsi="Times New Roman" w:cs="Times New Roman"/>
                <w:b/>
                <w:color w:val="auto"/>
                <w:sz w:val="20"/>
                <w:szCs w:val="20"/>
              </w:rPr>
            </w:pPr>
          </w:p>
        </w:tc>
        <w:tc>
          <w:tcPr>
            <w:tcW w:w="1417"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6173C5" w:rsidRDefault="00E32574" w:rsidP="006173C5">
            <w:pPr>
              <w:pStyle w:val="Default"/>
              <w:spacing w:before="120" w:after="120"/>
              <w:jc w:val="center"/>
              <w:rPr>
                <w:rFonts w:ascii="Times New Roman" w:hAnsi="Times New Roman" w:cs="Times New Roman"/>
                <w:b/>
                <w:sz w:val="20"/>
                <w:szCs w:val="20"/>
              </w:rPr>
            </w:pPr>
            <w:r w:rsidRPr="006173C5">
              <w:rPr>
                <w:rFonts w:ascii="Times New Roman" w:hAnsi="Times New Roman" w:cs="Times New Roman"/>
                <w:b/>
                <w:sz w:val="20"/>
                <w:szCs w:val="20"/>
              </w:rPr>
              <w:t>Arrecadação Total (R$)</w:t>
            </w:r>
          </w:p>
        </w:tc>
        <w:tc>
          <w:tcPr>
            <w:tcW w:w="1560"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6173C5" w:rsidRDefault="00E32574" w:rsidP="006173C5">
            <w:pPr>
              <w:pStyle w:val="Default"/>
              <w:spacing w:before="120" w:after="120"/>
              <w:jc w:val="center"/>
              <w:rPr>
                <w:rFonts w:ascii="Times New Roman" w:hAnsi="Times New Roman" w:cs="Times New Roman"/>
                <w:b/>
                <w:sz w:val="20"/>
                <w:szCs w:val="20"/>
              </w:rPr>
            </w:pPr>
            <w:r w:rsidRPr="006173C5">
              <w:rPr>
                <w:rFonts w:ascii="Times New Roman" w:hAnsi="Times New Roman" w:cs="Times New Roman"/>
                <w:b/>
                <w:sz w:val="20"/>
                <w:szCs w:val="20"/>
              </w:rPr>
              <w:t>Despesa Total com os serviços (R$)</w:t>
            </w:r>
          </w:p>
        </w:tc>
        <w:tc>
          <w:tcPr>
            <w:tcW w:w="2122"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6173C5" w:rsidRDefault="00E32574" w:rsidP="006173C5">
            <w:pPr>
              <w:pStyle w:val="Default"/>
              <w:spacing w:before="120" w:after="120"/>
              <w:jc w:val="center"/>
              <w:rPr>
                <w:rFonts w:ascii="Times New Roman" w:hAnsi="Times New Roman" w:cs="Times New Roman"/>
                <w:b/>
                <w:sz w:val="20"/>
                <w:szCs w:val="20"/>
              </w:rPr>
            </w:pPr>
            <w:r w:rsidRPr="006173C5">
              <w:rPr>
                <w:rFonts w:ascii="Times New Roman" w:hAnsi="Times New Roman" w:cs="Times New Roman"/>
                <w:b/>
                <w:sz w:val="20"/>
                <w:szCs w:val="20"/>
              </w:rPr>
              <w:t>Total de Investimento</w:t>
            </w:r>
          </w:p>
        </w:tc>
        <w:tc>
          <w:tcPr>
            <w:tcW w:w="1417" w:type="dxa"/>
            <w:tcBorders>
              <w:top w:val="single" w:sz="6" w:space="0" w:color="000000"/>
              <w:left w:val="single" w:sz="8" w:space="0" w:color="000000"/>
              <w:bottom w:val="single" w:sz="10" w:space="0" w:color="000000"/>
              <w:right w:val="single" w:sz="2" w:space="0" w:color="000000"/>
            </w:tcBorders>
            <w:shd w:val="clear" w:color="auto" w:fill="D9D9D9"/>
            <w:vAlign w:val="center"/>
          </w:tcPr>
          <w:p w:rsidR="00E32574" w:rsidRPr="006173C5" w:rsidRDefault="00E32574" w:rsidP="006173C5">
            <w:pPr>
              <w:pStyle w:val="Default"/>
              <w:spacing w:before="120" w:after="120"/>
              <w:jc w:val="center"/>
              <w:rPr>
                <w:rFonts w:ascii="Times New Roman" w:hAnsi="Times New Roman" w:cs="Times New Roman"/>
                <w:b/>
                <w:sz w:val="20"/>
                <w:szCs w:val="20"/>
              </w:rPr>
            </w:pPr>
            <w:r w:rsidRPr="006173C5">
              <w:rPr>
                <w:rFonts w:ascii="Times New Roman" w:hAnsi="Times New Roman" w:cs="Times New Roman"/>
                <w:b/>
                <w:sz w:val="20"/>
                <w:szCs w:val="20"/>
              </w:rPr>
              <w:t>Total (R$)</w:t>
            </w:r>
          </w:p>
        </w:tc>
      </w:tr>
      <w:tr w:rsidR="00E32574" w:rsidRPr="00202B64" w:rsidTr="00E32574">
        <w:trPr>
          <w:trHeight w:val="312"/>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 xml:space="preserve">2010 </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3.327.749,00</w:t>
            </w:r>
          </w:p>
        </w:tc>
        <w:tc>
          <w:tcPr>
            <w:tcW w:w="1560"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3.066.137,00</w:t>
            </w:r>
          </w:p>
        </w:tc>
        <w:tc>
          <w:tcPr>
            <w:tcW w:w="2122"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214.284,00</w:t>
            </w:r>
          </w:p>
        </w:tc>
        <w:tc>
          <w:tcPr>
            <w:tcW w:w="1417" w:type="dxa"/>
            <w:tcBorders>
              <w:top w:val="single" w:sz="10" w:space="0" w:color="000000"/>
              <w:left w:val="single" w:sz="8" w:space="0" w:color="000000"/>
              <w:bottom w:val="single" w:sz="10" w:space="0" w:color="000000"/>
              <w:right w:val="single" w:sz="2"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6.608.170,00</w:t>
            </w:r>
          </w:p>
        </w:tc>
      </w:tr>
      <w:tr w:rsidR="00E32574" w:rsidRPr="00202B64" w:rsidTr="00E32574">
        <w:trPr>
          <w:trHeight w:val="312"/>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 xml:space="preserve">2011 </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3.715.419,00</w:t>
            </w:r>
          </w:p>
        </w:tc>
        <w:tc>
          <w:tcPr>
            <w:tcW w:w="1560"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3.205.280,00</w:t>
            </w:r>
          </w:p>
        </w:tc>
        <w:tc>
          <w:tcPr>
            <w:tcW w:w="2122"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501.595,00</w:t>
            </w:r>
          </w:p>
        </w:tc>
        <w:tc>
          <w:tcPr>
            <w:tcW w:w="1417" w:type="dxa"/>
            <w:tcBorders>
              <w:top w:val="single" w:sz="10" w:space="0" w:color="000000"/>
              <w:left w:val="single" w:sz="8" w:space="0" w:color="000000"/>
              <w:bottom w:val="single" w:sz="10" w:space="0" w:color="000000"/>
              <w:right w:val="single" w:sz="2"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7.422.294,00</w:t>
            </w:r>
          </w:p>
        </w:tc>
      </w:tr>
      <w:tr w:rsidR="00E32574" w:rsidRPr="00202B64" w:rsidTr="00E32574">
        <w:trPr>
          <w:trHeight w:val="312"/>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 xml:space="preserve">2012 </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3.967.509,00</w:t>
            </w:r>
          </w:p>
        </w:tc>
        <w:tc>
          <w:tcPr>
            <w:tcW w:w="1560"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3.684.297,00</w:t>
            </w:r>
          </w:p>
        </w:tc>
        <w:tc>
          <w:tcPr>
            <w:tcW w:w="2122"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621.708,00</w:t>
            </w:r>
          </w:p>
        </w:tc>
        <w:tc>
          <w:tcPr>
            <w:tcW w:w="1417" w:type="dxa"/>
            <w:tcBorders>
              <w:top w:val="single" w:sz="10" w:space="0" w:color="000000"/>
              <w:left w:val="single" w:sz="8" w:space="0" w:color="000000"/>
              <w:bottom w:val="single" w:sz="10" w:space="0" w:color="000000"/>
              <w:right w:val="single" w:sz="2"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8.273.514,00</w:t>
            </w:r>
          </w:p>
        </w:tc>
      </w:tr>
      <w:tr w:rsidR="00E32574" w:rsidRPr="00202B64" w:rsidTr="00E32574">
        <w:trPr>
          <w:trHeight w:val="580"/>
          <w:jc w:val="center"/>
        </w:trPr>
        <w:tc>
          <w:tcPr>
            <w:tcW w:w="821" w:type="dxa"/>
            <w:tcBorders>
              <w:top w:val="single" w:sz="10" w:space="0" w:color="000000"/>
              <w:left w:val="single" w:sz="2" w:space="0" w:color="000000"/>
              <w:bottom w:val="single" w:sz="10" w:space="0" w:color="000000"/>
              <w:right w:val="single" w:sz="10" w:space="0" w:color="000000"/>
            </w:tcBorders>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 xml:space="preserve">Total 3 anos </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11.010.677,00</w:t>
            </w:r>
          </w:p>
        </w:tc>
        <w:tc>
          <w:tcPr>
            <w:tcW w:w="1560"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9.955.714,00</w:t>
            </w:r>
          </w:p>
        </w:tc>
        <w:tc>
          <w:tcPr>
            <w:tcW w:w="2122"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1.337.587,00</w:t>
            </w:r>
          </w:p>
        </w:tc>
        <w:tc>
          <w:tcPr>
            <w:tcW w:w="1417" w:type="dxa"/>
            <w:tcBorders>
              <w:top w:val="single" w:sz="10" w:space="0" w:color="000000"/>
              <w:left w:val="single" w:sz="8" w:space="0" w:color="000000"/>
              <w:bottom w:val="single" w:sz="10" w:space="0" w:color="000000"/>
              <w:right w:val="single" w:sz="2"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22.303.978,00</w:t>
            </w:r>
          </w:p>
        </w:tc>
      </w:tr>
    </w:tbl>
    <w:p w:rsidR="00E32574" w:rsidRPr="00082391" w:rsidRDefault="005333B5" w:rsidP="005333B5">
      <w:pPr>
        <w:pStyle w:val="Fonte"/>
        <w:rPr>
          <w:lang w:eastAsia="pt-BR"/>
        </w:rPr>
      </w:pPr>
      <w:r>
        <w:rPr>
          <w:lang w:eastAsia="pt-BR"/>
        </w:rPr>
        <w:t xml:space="preserve">           </w:t>
      </w:r>
      <w:r w:rsidR="00E32574" w:rsidRPr="00082391">
        <w:rPr>
          <w:lang w:eastAsia="pt-BR"/>
        </w:rPr>
        <w:t>Fonte: SAAE, 2013.</w:t>
      </w:r>
    </w:p>
    <w:p w:rsidR="00E32574" w:rsidRDefault="00E32574" w:rsidP="006173C5">
      <w:pPr>
        <w:pStyle w:val="CM71"/>
        <w:spacing w:line="360" w:lineRule="auto"/>
        <w:ind w:firstLine="709"/>
        <w:jc w:val="both"/>
        <w:rPr>
          <w:rFonts w:ascii="Times New Roman" w:hAnsi="Times New Roman" w:cs="Times New Roman"/>
        </w:rPr>
      </w:pPr>
      <w:r>
        <w:rPr>
          <w:rFonts w:ascii="Times New Roman" w:hAnsi="Times New Roman" w:cs="Times New Roman"/>
        </w:rPr>
        <w:t>A</w:t>
      </w:r>
      <w:r w:rsidRPr="00C67806">
        <w:rPr>
          <w:rFonts w:ascii="Times New Roman" w:hAnsi="Times New Roman" w:cs="Times New Roman"/>
        </w:rPr>
        <w:t>s arrecadações feit</w:t>
      </w:r>
      <w:r w:rsidR="006173C5">
        <w:rPr>
          <w:rFonts w:ascii="Times New Roman" w:hAnsi="Times New Roman" w:cs="Times New Roman"/>
        </w:rPr>
        <w:t>a</w:t>
      </w:r>
      <w:r w:rsidRPr="00C67806">
        <w:rPr>
          <w:rFonts w:ascii="Times New Roman" w:hAnsi="Times New Roman" w:cs="Times New Roman"/>
        </w:rPr>
        <w:t>s pelo SAAE nos últimos 3 anos (2010, 2011 e 2012) podem ser visualizados n</w:t>
      </w:r>
      <w:r w:rsidR="006173C5">
        <w:rPr>
          <w:rFonts w:ascii="Times New Roman" w:hAnsi="Times New Roman" w:cs="Times New Roman"/>
        </w:rPr>
        <w:t>o Quadro 3</w:t>
      </w:r>
      <w:r w:rsidR="005703B0">
        <w:rPr>
          <w:rFonts w:ascii="Times New Roman" w:hAnsi="Times New Roman" w:cs="Times New Roman"/>
        </w:rPr>
        <w:t>0</w:t>
      </w:r>
      <w:r w:rsidRPr="00C67806">
        <w:rPr>
          <w:rFonts w:ascii="Times New Roman" w:hAnsi="Times New Roman" w:cs="Times New Roman"/>
        </w:rPr>
        <w:t>. Em 2010 a autarquia arrecadou, com a cobrança pelo tratamento de água e esg</w:t>
      </w:r>
      <w:r>
        <w:rPr>
          <w:rFonts w:ascii="Times New Roman" w:hAnsi="Times New Roman" w:cs="Times New Roman"/>
        </w:rPr>
        <w:t xml:space="preserve">oto, um total de R$ </w:t>
      </w:r>
      <w:r w:rsidRPr="0054281C">
        <w:rPr>
          <w:rFonts w:ascii="Times New Roman" w:hAnsi="Times New Roman" w:cs="Times New Roman"/>
        </w:rPr>
        <w:t>3.327.749</w:t>
      </w:r>
      <w:r>
        <w:rPr>
          <w:rFonts w:ascii="Times New Roman" w:hAnsi="Times New Roman" w:cs="Times New Roman"/>
        </w:rPr>
        <w:t xml:space="preserve">,00. </w:t>
      </w:r>
    </w:p>
    <w:p w:rsidR="00E32574" w:rsidRPr="006725B0" w:rsidRDefault="0075744C" w:rsidP="0075744C">
      <w:pPr>
        <w:pStyle w:val="Legenda"/>
        <w:rPr>
          <w:color w:val="000000"/>
          <w:sz w:val="20"/>
        </w:rPr>
      </w:pPr>
      <w:bookmarkStart w:id="366" w:name="_Toc372740536"/>
      <w:r>
        <w:t xml:space="preserve">Quadro </w:t>
      </w:r>
      <w:fldSimple w:instr=" SEQ Quadro \* ARABIC ">
        <w:r w:rsidR="004F77E2">
          <w:rPr>
            <w:noProof/>
          </w:rPr>
          <w:t>30</w:t>
        </w:r>
      </w:fldSimple>
      <w:r>
        <w:t xml:space="preserve"> - </w:t>
      </w:r>
      <w:r w:rsidRPr="00986AF0">
        <w:rPr>
          <w:noProof/>
        </w:rPr>
        <w:t>Valores arrecadados do SAAE.</w:t>
      </w:r>
      <w:bookmarkEnd w:id="366"/>
    </w:p>
    <w:tbl>
      <w:tblPr>
        <w:tblW w:w="9249" w:type="dxa"/>
        <w:jc w:val="center"/>
        <w:tblLayout w:type="fixed"/>
        <w:tblLook w:val="0000" w:firstRow="0" w:lastRow="0" w:firstColumn="0" w:lastColumn="0" w:noHBand="0" w:noVBand="0"/>
      </w:tblPr>
      <w:tblGrid>
        <w:gridCol w:w="821"/>
        <w:gridCol w:w="1417"/>
        <w:gridCol w:w="1445"/>
        <w:gridCol w:w="1249"/>
        <w:gridCol w:w="1483"/>
        <w:gridCol w:w="1417"/>
        <w:gridCol w:w="1417"/>
      </w:tblGrid>
      <w:tr w:rsidR="006173C5" w:rsidRPr="006173C5" w:rsidTr="00092E15">
        <w:trPr>
          <w:trHeight w:val="220"/>
          <w:tblHeader/>
          <w:jc w:val="center"/>
        </w:trPr>
        <w:tc>
          <w:tcPr>
            <w:tcW w:w="821" w:type="dxa"/>
            <w:vMerge w:val="restart"/>
            <w:tcBorders>
              <w:top w:val="single" w:sz="10" w:space="0" w:color="000000"/>
              <w:left w:val="single" w:sz="2" w:space="0" w:color="000000"/>
              <w:bottom w:val="single" w:sz="10" w:space="0" w:color="000000"/>
              <w:right w:val="single" w:sz="10" w:space="0" w:color="000000"/>
            </w:tcBorders>
            <w:shd w:val="clear" w:color="auto" w:fill="D9D9D9"/>
            <w:vAlign w:val="center"/>
          </w:tcPr>
          <w:p w:rsidR="006173C5" w:rsidRPr="006173C5" w:rsidRDefault="006173C5" w:rsidP="006173C5">
            <w:pPr>
              <w:pStyle w:val="Default"/>
              <w:spacing w:before="120" w:after="120"/>
              <w:jc w:val="center"/>
              <w:rPr>
                <w:rFonts w:ascii="Times New Roman" w:hAnsi="Times New Roman" w:cs="Times New Roman"/>
                <w:b/>
                <w:sz w:val="20"/>
                <w:szCs w:val="20"/>
              </w:rPr>
            </w:pPr>
            <w:r w:rsidRPr="006173C5">
              <w:rPr>
                <w:rFonts w:ascii="Times New Roman" w:hAnsi="Times New Roman" w:cs="Times New Roman"/>
                <w:b/>
                <w:sz w:val="20"/>
                <w:szCs w:val="20"/>
              </w:rPr>
              <w:t xml:space="preserve">Ano </w:t>
            </w:r>
          </w:p>
        </w:tc>
        <w:tc>
          <w:tcPr>
            <w:tcW w:w="8428" w:type="dxa"/>
            <w:gridSpan w:val="6"/>
            <w:tcBorders>
              <w:top w:val="single" w:sz="10" w:space="0" w:color="000000"/>
              <w:left w:val="single" w:sz="8" w:space="0" w:color="000000"/>
              <w:bottom w:val="single" w:sz="6" w:space="0" w:color="000000"/>
              <w:right w:val="single" w:sz="2" w:space="0" w:color="000000"/>
            </w:tcBorders>
            <w:shd w:val="clear" w:color="auto" w:fill="D9D9D9"/>
          </w:tcPr>
          <w:p w:rsidR="006173C5" w:rsidRPr="006173C5" w:rsidRDefault="006173C5" w:rsidP="006173C5">
            <w:pPr>
              <w:pStyle w:val="Default"/>
              <w:spacing w:before="120" w:after="120"/>
              <w:jc w:val="center"/>
              <w:rPr>
                <w:rFonts w:ascii="Times New Roman" w:hAnsi="Times New Roman" w:cs="Times New Roman"/>
                <w:b/>
                <w:color w:val="auto"/>
                <w:sz w:val="20"/>
                <w:szCs w:val="20"/>
              </w:rPr>
            </w:pPr>
            <w:r w:rsidRPr="006173C5">
              <w:rPr>
                <w:rFonts w:ascii="Times New Roman" w:hAnsi="Times New Roman" w:cs="Times New Roman"/>
                <w:b/>
                <w:sz w:val="20"/>
                <w:szCs w:val="20"/>
              </w:rPr>
              <w:t>Valores Arrecadados pelo SAAE</w:t>
            </w:r>
          </w:p>
        </w:tc>
      </w:tr>
      <w:tr w:rsidR="00E32574" w:rsidRPr="006173C5" w:rsidTr="006173C5">
        <w:trPr>
          <w:trHeight w:val="542"/>
          <w:tblHeader/>
          <w:jc w:val="center"/>
        </w:trPr>
        <w:tc>
          <w:tcPr>
            <w:tcW w:w="821" w:type="dxa"/>
            <w:vMerge/>
            <w:tcBorders>
              <w:top w:val="single" w:sz="10" w:space="0" w:color="000000"/>
              <w:left w:val="single" w:sz="2" w:space="0" w:color="000000"/>
              <w:bottom w:val="single" w:sz="10" w:space="0" w:color="000000"/>
              <w:right w:val="single" w:sz="10" w:space="0" w:color="000000"/>
            </w:tcBorders>
            <w:shd w:val="clear" w:color="auto" w:fill="D9D9D9"/>
            <w:vAlign w:val="center"/>
          </w:tcPr>
          <w:p w:rsidR="00E32574" w:rsidRPr="006173C5" w:rsidRDefault="00E32574" w:rsidP="006173C5">
            <w:pPr>
              <w:pStyle w:val="Default"/>
              <w:spacing w:before="120" w:after="120"/>
              <w:jc w:val="center"/>
              <w:rPr>
                <w:rFonts w:ascii="Times New Roman" w:hAnsi="Times New Roman" w:cs="Times New Roman"/>
                <w:b/>
                <w:color w:val="auto"/>
                <w:sz w:val="20"/>
                <w:szCs w:val="20"/>
              </w:rPr>
            </w:pPr>
          </w:p>
        </w:tc>
        <w:tc>
          <w:tcPr>
            <w:tcW w:w="1417"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6173C5" w:rsidRDefault="00E32574" w:rsidP="006173C5">
            <w:pPr>
              <w:pStyle w:val="Default"/>
              <w:spacing w:before="120" w:after="120"/>
              <w:jc w:val="center"/>
              <w:rPr>
                <w:rFonts w:ascii="Times New Roman" w:hAnsi="Times New Roman" w:cs="Times New Roman"/>
                <w:b/>
                <w:sz w:val="20"/>
                <w:szCs w:val="20"/>
              </w:rPr>
            </w:pPr>
            <w:r w:rsidRPr="006173C5">
              <w:rPr>
                <w:rFonts w:ascii="Times New Roman" w:hAnsi="Times New Roman" w:cs="Times New Roman"/>
                <w:b/>
                <w:sz w:val="20"/>
                <w:szCs w:val="20"/>
              </w:rPr>
              <w:t>Tarifa de Água</w:t>
            </w:r>
          </w:p>
        </w:tc>
        <w:tc>
          <w:tcPr>
            <w:tcW w:w="1445"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6173C5" w:rsidRDefault="00E32574" w:rsidP="006173C5">
            <w:pPr>
              <w:pStyle w:val="Default"/>
              <w:spacing w:before="120" w:after="120"/>
              <w:jc w:val="center"/>
              <w:rPr>
                <w:rFonts w:ascii="Times New Roman" w:hAnsi="Times New Roman" w:cs="Times New Roman"/>
                <w:b/>
                <w:sz w:val="20"/>
                <w:szCs w:val="20"/>
              </w:rPr>
            </w:pPr>
            <w:r w:rsidRPr="006173C5">
              <w:rPr>
                <w:rFonts w:ascii="Times New Roman" w:hAnsi="Times New Roman" w:cs="Times New Roman"/>
                <w:b/>
                <w:sz w:val="20"/>
                <w:szCs w:val="20"/>
              </w:rPr>
              <w:t>Tarifa de Esgoto</w:t>
            </w:r>
          </w:p>
        </w:tc>
        <w:tc>
          <w:tcPr>
            <w:tcW w:w="1249"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6173C5" w:rsidRDefault="00E32574" w:rsidP="006173C5">
            <w:pPr>
              <w:pStyle w:val="Default"/>
              <w:spacing w:before="120" w:after="120"/>
              <w:jc w:val="center"/>
              <w:rPr>
                <w:rFonts w:ascii="Times New Roman" w:hAnsi="Times New Roman" w:cs="Times New Roman"/>
                <w:b/>
                <w:sz w:val="20"/>
                <w:szCs w:val="20"/>
              </w:rPr>
            </w:pPr>
            <w:r w:rsidRPr="006173C5">
              <w:rPr>
                <w:rFonts w:ascii="Times New Roman" w:hAnsi="Times New Roman" w:cs="Times New Roman"/>
                <w:b/>
                <w:sz w:val="20"/>
                <w:szCs w:val="20"/>
              </w:rPr>
              <w:t>Taxa Expediente</w:t>
            </w:r>
          </w:p>
        </w:tc>
        <w:tc>
          <w:tcPr>
            <w:tcW w:w="1483"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6173C5" w:rsidRDefault="00E32574" w:rsidP="006173C5">
            <w:pPr>
              <w:pStyle w:val="Default"/>
              <w:spacing w:before="120" w:after="120"/>
              <w:jc w:val="center"/>
              <w:rPr>
                <w:rFonts w:ascii="Times New Roman" w:hAnsi="Times New Roman" w:cs="Times New Roman"/>
                <w:b/>
                <w:sz w:val="20"/>
                <w:szCs w:val="20"/>
              </w:rPr>
            </w:pPr>
            <w:r w:rsidRPr="006173C5">
              <w:rPr>
                <w:rFonts w:ascii="Times New Roman" w:hAnsi="Times New Roman" w:cs="Times New Roman"/>
                <w:b/>
                <w:sz w:val="20"/>
                <w:szCs w:val="20"/>
              </w:rPr>
              <w:t>Multas e Juros</w:t>
            </w:r>
          </w:p>
        </w:tc>
        <w:tc>
          <w:tcPr>
            <w:tcW w:w="1417"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6173C5" w:rsidRDefault="00E32574" w:rsidP="006173C5">
            <w:pPr>
              <w:pStyle w:val="Default"/>
              <w:spacing w:before="120" w:after="120"/>
              <w:jc w:val="center"/>
              <w:rPr>
                <w:rFonts w:ascii="Times New Roman" w:hAnsi="Times New Roman" w:cs="Times New Roman"/>
                <w:b/>
                <w:sz w:val="20"/>
                <w:szCs w:val="20"/>
              </w:rPr>
            </w:pPr>
            <w:r w:rsidRPr="006173C5">
              <w:rPr>
                <w:rFonts w:ascii="Times New Roman" w:hAnsi="Times New Roman" w:cs="Times New Roman"/>
                <w:b/>
                <w:sz w:val="20"/>
                <w:szCs w:val="20"/>
              </w:rPr>
              <w:t>Outros</w:t>
            </w:r>
          </w:p>
        </w:tc>
        <w:tc>
          <w:tcPr>
            <w:tcW w:w="1417" w:type="dxa"/>
            <w:tcBorders>
              <w:top w:val="single" w:sz="6" w:space="0" w:color="000000"/>
              <w:left w:val="single" w:sz="8" w:space="0" w:color="000000"/>
              <w:bottom w:val="single" w:sz="10" w:space="0" w:color="000000"/>
              <w:right w:val="single" w:sz="2" w:space="0" w:color="000000"/>
            </w:tcBorders>
            <w:shd w:val="clear" w:color="auto" w:fill="D9D9D9"/>
            <w:vAlign w:val="center"/>
          </w:tcPr>
          <w:p w:rsidR="00E32574" w:rsidRPr="006173C5" w:rsidRDefault="00E32574" w:rsidP="006173C5">
            <w:pPr>
              <w:pStyle w:val="Default"/>
              <w:spacing w:before="120" w:after="120"/>
              <w:jc w:val="center"/>
              <w:rPr>
                <w:rFonts w:ascii="Times New Roman" w:hAnsi="Times New Roman" w:cs="Times New Roman"/>
                <w:b/>
                <w:sz w:val="20"/>
                <w:szCs w:val="20"/>
              </w:rPr>
            </w:pPr>
            <w:r w:rsidRPr="006173C5">
              <w:rPr>
                <w:rFonts w:ascii="Times New Roman" w:hAnsi="Times New Roman" w:cs="Times New Roman"/>
                <w:b/>
                <w:sz w:val="20"/>
                <w:szCs w:val="20"/>
              </w:rPr>
              <w:t>Total (R$)</w:t>
            </w:r>
          </w:p>
        </w:tc>
      </w:tr>
      <w:tr w:rsidR="00E32574" w:rsidRPr="00202B64" w:rsidTr="006173C5">
        <w:trPr>
          <w:trHeight w:val="312"/>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2010</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2.220.622,65</w:t>
            </w:r>
          </w:p>
        </w:tc>
        <w:tc>
          <w:tcPr>
            <w:tcW w:w="1445"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913.538,77</w:t>
            </w:r>
          </w:p>
        </w:tc>
        <w:tc>
          <w:tcPr>
            <w:tcW w:w="1249"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11,99</w:t>
            </w:r>
          </w:p>
        </w:tc>
        <w:tc>
          <w:tcPr>
            <w:tcW w:w="1483"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46.362,25</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147.213,34</w:t>
            </w:r>
          </w:p>
        </w:tc>
        <w:tc>
          <w:tcPr>
            <w:tcW w:w="1417" w:type="dxa"/>
            <w:tcBorders>
              <w:top w:val="single" w:sz="10" w:space="0" w:color="000000"/>
              <w:left w:val="single" w:sz="8" w:space="0" w:color="000000"/>
              <w:bottom w:val="single" w:sz="10" w:space="0" w:color="000000"/>
              <w:right w:val="single" w:sz="2"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3.327.749,00</w:t>
            </w:r>
          </w:p>
        </w:tc>
      </w:tr>
      <w:tr w:rsidR="00E32574" w:rsidRPr="00202B64" w:rsidTr="006173C5">
        <w:trPr>
          <w:trHeight w:val="312"/>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2011</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2.468.380,05</w:t>
            </w:r>
          </w:p>
        </w:tc>
        <w:tc>
          <w:tcPr>
            <w:tcW w:w="1445"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1.037.930,68</w:t>
            </w:r>
          </w:p>
        </w:tc>
        <w:tc>
          <w:tcPr>
            <w:tcW w:w="1249"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1,34</w:t>
            </w:r>
          </w:p>
        </w:tc>
        <w:tc>
          <w:tcPr>
            <w:tcW w:w="1483"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49.920,91</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159.186,02</w:t>
            </w:r>
          </w:p>
        </w:tc>
        <w:tc>
          <w:tcPr>
            <w:tcW w:w="1417" w:type="dxa"/>
            <w:tcBorders>
              <w:top w:val="single" w:sz="10" w:space="0" w:color="000000"/>
              <w:left w:val="single" w:sz="8" w:space="0" w:color="000000"/>
              <w:bottom w:val="single" w:sz="10" w:space="0" w:color="000000"/>
              <w:right w:val="single" w:sz="2"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3.715.419,00</w:t>
            </w:r>
          </w:p>
        </w:tc>
      </w:tr>
      <w:tr w:rsidR="00E32574" w:rsidRPr="00202B64" w:rsidTr="006173C5">
        <w:trPr>
          <w:trHeight w:val="312"/>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2012</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2.673.252,80</w:t>
            </w:r>
          </w:p>
        </w:tc>
        <w:tc>
          <w:tcPr>
            <w:tcW w:w="1445"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1.104.493,85</w:t>
            </w:r>
          </w:p>
        </w:tc>
        <w:tc>
          <w:tcPr>
            <w:tcW w:w="1249"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w:t>
            </w:r>
          </w:p>
        </w:tc>
        <w:tc>
          <w:tcPr>
            <w:tcW w:w="1483"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60.024,03</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129.738,32</w:t>
            </w:r>
          </w:p>
        </w:tc>
        <w:tc>
          <w:tcPr>
            <w:tcW w:w="1417" w:type="dxa"/>
            <w:tcBorders>
              <w:top w:val="single" w:sz="10" w:space="0" w:color="000000"/>
              <w:left w:val="single" w:sz="8" w:space="0" w:color="000000"/>
              <w:bottom w:val="single" w:sz="10" w:space="0" w:color="000000"/>
              <w:right w:val="single" w:sz="2"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3.967.509,00</w:t>
            </w:r>
          </w:p>
        </w:tc>
      </w:tr>
      <w:tr w:rsidR="00E32574" w:rsidRPr="00202B64" w:rsidTr="006173C5">
        <w:trPr>
          <w:trHeight w:val="580"/>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202B64" w:rsidRDefault="00E32574" w:rsidP="006173C5">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Total 3 anos</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7.362.255,50</w:t>
            </w:r>
          </w:p>
        </w:tc>
        <w:tc>
          <w:tcPr>
            <w:tcW w:w="1445"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3.055.963,30</w:t>
            </w:r>
          </w:p>
        </w:tc>
        <w:tc>
          <w:tcPr>
            <w:tcW w:w="1249"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13,33</w:t>
            </w:r>
          </w:p>
        </w:tc>
        <w:tc>
          <w:tcPr>
            <w:tcW w:w="1483"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156.307,19</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436.137,68</w:t>
            </w:r>
          </w:p>
        </w:tc>
        <w:tc>
          <w:tcPr>
            <w:tcW w:w="1417" w:type="dxa"/>
            <w:tcBorders>
              <w:top w:val="single" w:sz="10" w:space="0" w:color="000000"/>
              <w:left w:val="single" w:sz="8" w:space="0" w:color="000000"/>
              <w:bottom w:val="single" w:sz="10" w:space="0" w:color="000000"/>
              <w:right w:val="single" w:sz="2" w:space="0" w:color="000000"/>
            </w:tcBorders>
            <w:vAlign w:val="center"/>
          </w:tcPr>
          <w:p w:rsidR="00E32574" w:rsidRPr="00202B64" w:rsidRDefault="00E32574" w:rsidP="006173C5">
            <w:pPr>
              <w:spacing w:before="120" w:after="120" w:line="240" w:lineRule="auto"/>
              <w:jc w:val="center"/>
              <w:rPr>
                <w:sz w:val="20"/>
                <w:szCs w:val="20"/>
              </w:rPr>
            </w:pPr>
            <w:r w:rsidRPr="00202B64">
              <w:rPr>
                <w:sz w:val="20"/>
                <w:szCs w:val="20"/>
              </w:rPr>
              <w:t>11.010.677,00</w:t>
            </w:r>
          </w:p>
        </w:tc>
      </w:tr>
    </w:tbl>
    <w:p w:rsidR="00E32574" w:rsidRDefault="00E32574" w:rsidP="006173C5">
      <w:pPr>
        <w:pStyle w:val="Fonte"/>
        <w:ind w:left="-284"/>
        <w:rPr>
          <w:lang w:eastAsia="pt-BR"/>
        </w:rPr>
      </w:pPr>
      <w:r w:rsidRPr="00082391">
        <w:rPr>
          <w:lang w:eastAsia="pt-BR"/>
        </w:rPr>
        <w:t>Fonte: SAAE, 2013.</w:t>
      </w:r>
    </w:p>
    <w:p w:rsidR="00E32574" w:rsidRDefault="00E32574" w:rsidP="00E32574">
      <w:pPr>
        <w:pStyle w:val="CM71"/>
        <w:spacing w:line="360" w:lineRule="auto"/>
        <w:ind w:firstLine="708"/>
        <w:jc w:val="both"/>
        <w:rPr>
          <w:rFonts w:ascii="Times New Roman" w:hAnsi="Times New Roman" w:cs="Times New Roman"/>
        </w:rPr>
      </w:pPr>
      <w:r w:rsidRPr="00C67806">
        <w:rPr>
          <w:rFonts w:ascii="Times New Roman" w:hAnsi="Times New Roman" w:cs="Times New Roman"/>
        </w:rPr>
        <w:t>No ano de 2011 esses valores aumentaram</w:t>
      </w:r>
      <w:r w:rsidR="006173C5">
        <w:rPr>
          <w:rFonts w:ascii="Times New Roman" w:hAnsi="Times New Roman" w:cs="Times New Roman"/>
        </w:rPr>
        <w:t xml:space="preserve"> para </w:t>
      </w:r>
      <w:r w:rsidRPr="00C67806">
        <w:rPr>
          <w:rFonts w:ascii="Times New Roman" w:hAnsi="Times New Roman" w:cs="Times New Roman"/>
        </w:rPr>
        <w:t xml:space="preserve">R$ </w:t>
      </w:r>
      <w:r>
        <w:rPr>
          <w:rFonts w:ascii="Times New Roman" w:hAnsi="Times New Roman" w:cs="Times New Roman"/>
        </w:rPr>
        <w:t>3.715.419,00</w:t>
      </w:r>
      <w:r w:rsidRPr="00C67806">
        <w:rPr>
          <w:rFonts w:ascii="Times New Roman" w:hAnsi="Times New Roman" w:cs="Times New Roman"/>
        </w:rPr>
        <w:t xml:space="preserve"> arrecadados p</w:t>
      </w:r>
      <w:r>
        <w:rPr>
          <w:rFonts w:ascii="Times New Roman" w:hAnsi="Times New Roman" w:cs="Times New Roman"/>
        </w:rPr>
        <w:t xml:space="preserve">elo tratamento de água e esgoto. </w:t>
      </w:r>
      <w:r w:rsidRPr="00C67806">
        <w:rPr>
          <w:rFonts w:ascii="Times New Roman" w:hAnsi="Times New Roman" w:cs="Times New Roman"/>
        </w:rPr>
        <w:t xml:space="preserve">Em 2012 os valores continuaram crescendo, resultando em R$ </w:t>
      </w:r>
      <w:r>
        <w:rPr>
          <w:rFonts w:ascii="Times New Roman" w:hAnsi="Times New Roman" w:cs="Times New Roman"/>
        </w:rPr>
        <w:t>3.967.509,00</w:t>
      </w:r>
      <w:r w:rsidRPr="00C67806">
        <w:rPr>
          <w:rFonts w:ascii="Times New Roman" w:hAnsi="Times New Roman" w:cs="Times New Roman"/>
        </w:rPr>
        <w:t xml:space="preserve"> em função do serviço de tratamento de água e esgoto. </w:t>
      </w:r>
    </w:p>
    <w:p w:rsidR="00E32574" w:rsidRPr="004B4A4B" w:rsidRDefault="006173C5" w:rsidP="00E32574">
      <w:pPr>
        <w:pStyle w:val="CM71"/>
        <w:spacing w:line="360" w:lineRule="auto"/>
        <w:ind w:firstLine="708"/>
        <w:jc w:val="both"/>
        <w:rPr>
          <w:rFonts w:ascii="Times New Roman" w:hAnsi="Times New Roman" w:cs="Times New Roman"/>
        </w:rPr>
      </w:pPr>
      <w:r>
        <w:rPr>
          <w:rFonts w:ascii="Times New Roman" w:hAnsi="Times New Roman" w:cs="Times New Roman"/>
        </w:rPr>
        <w:t>No Quadro 3</w:t>
      </w:r>
      <w:r w:rsidR="005703B0">
        <w:rPr>
          <w:rFonts w:ascii="Times New Roman" w:hAnsi="Times New Roman" w:cs="Times New Roman"/>
        </w:rPr>
        <w:t>1</w:t>
      </w:r>
      <w:r w:rsidR="00E32574" w:rsidRPr="004B4A4B">
        <w:rPr>
          <w:rFonts w:ascii="Times New Roman" w:hAnsi="Times New Roman" w:cs="Times New Roman"/>
        </w:rPr>
        <w:t xml:space="preserve"> estão as </w:t>
      </w:r>
      <w:r>
        <w:rPr>
          <w:rFonts w:ascii="Times New Roman" w:hAnsi="Times New Roman" w:cs="Times New Roman"/>
        </w:rPr>
        <w:t>d</w:t>
      </w:r>
      <w:r w:rsidR="00E32574" w:rsidRPr="004B4A4B">
        <w:rPr>
          <w:rFonts w:ascii="Times New Roman" w:hAnsi="Times New Roman" w:cs="Times New Roman"/>
        </w:rPr>
        <w:t xml:space="preserve">espesas totais dos dois últimos anos. As despesas com pessoal próprio representou em 2011, 49,87 % do total de despesas, enquanto em 2012 esse percentual caiu para 48,07%, ainda sendo a despesa com maior representatividade. </w:t>
      </w:r>
      <w:r w:rsidR="00E32574">
        <w:rPr>
          <w:rFonts w:ascii="Times New Roman" w:hAnsi="Times New Roman" w:cs="Times New Roman"/>
        </w:rPr>
        <w:lastRenderedPageBreak/>
        <w:t>Em 2012 houve um aumento com despesas de serviços de terceiros e com energia elétrica, cada um representando, respectivamente, 24,15 % e 11,56 %.</w:t>
      </w:r>
    </w:p>
    <w:p w:rsidR="00E32574" w:rsidRPr="006725B0" w:rsidRDefault="0075744C" w:rsidP="0075744C">
      <w:pPr>
        <w:pStyle w:val="Legenda"/>
        <w:rPr>
          <w:color w:val="000000"/>
          <w:sz w:val="20"/>
        </w:rPr>
      </w:pPr>
      <w:bookmarkStart w:id="367" w:name="_Toc372740537"/>
      <w:r>
        <w:t xml:space="preserve">Quadro </w:t>
      </w:r>
      <w:fldSimple w:instr=" SEQ Quadro \* ARABIC ">
        <w:r w:rsidR="004F77E2">
          <w:rPr>
            <w:noProof/>
          </w:rPr>
          <w:t>31</w:t>
        </w:r>
      </w:fldSimple>
      <w:r>
        <w:t xml:space="preserve"> - </w:t>
      </w:r>
      <w:r w:rsidRPr="00E1619F">
        <w:rPr>
          <w:noProof/>
        </w:rPr>
        <w:t>Despesas totais do SAAE.</w:t>
      </w:r>
      <w:bookmarkEnd w:id="3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29"/>
        <w:gridCol w:w="2832"/>
        <w:gridCol w:w="2833"/>
      </w:tblGrid>
      <w:tr w:rsidR="00E32574" w:rsidRPr="006173C5" w:rsidTr="006173C5">
        <w:trPr>
          <w:trHeight w:val="397"/>
        </w:trPr>
        <w:tc>
          <w:tcPr>
            <w:tcW w:w="2829" w:type="dxa"/>
            <w:shd w:val="clear" w:color="auto" w:fill="D9D9D9"/>
            <w:vAlign w:val="center"/>
          </w:tcPr>
          <w:p w:rsidR="00E32574" w:rsidRPr="006173C5" w:rsidRDefault="006173C5" w:rsidP="006173C5">
            <w:pPr>
              <w:spacing w:before="120" w:after="120" w:line="240" w:lineRule="auto"/>
              <w:rPr>
                <w:b/>
                <w:lang w:eastAsia="pt-BR"/>
              </w:rPr>
            </w:pPr>
            <w:r w:rsidRPr="006173C5">
              <w:rPr>
                <w:b/>
                <w:lang w:eastAsia="pt-BR"/>
              </w:rPr>
              <w:t>Descrição</w:t>
            </w:r>
          </w:p>
        </w:tc>
        <w:tc>
          <w:tcPr>
            <w:tcW w:w="2832" w:type="dxa"/>
            <w:shd w:val="clear" w:color="auto" w:fill="D9D9D9"/>
            <w:vAlign w:val="center"/>
          </w:tcPr>
          <w:p w:rsidR="00E32574" w:rsidRPr="006173C5" w:rsidRDefault="00E32574" w:rsidP="006173C5">
            <w:pPr>
              <w:spacing w:before="120" w:after="120" w:line="240" w:lineRule="auto"/>
              <w:jc w:val="center"/>
              <w:rPr>
                <w:b/>
                <w:lang w:eastAsia="pt-BR"/>
              </w:rPr>
            </w:pPr>
            <w:r w:rsidRPr="006173C5">
              <w:rPr>
                <w:b/>
                <w:lang w:eastAsia="pt-BR"/>
              </w:rPr>
              <w:t>2011</w:t>
            </w:r>
          </w:p>
        </w:tc>
        <w:tc>
          <w:tcPr>
            <w:tcW w:w="2833" w:type="dxa"/>
            <w:shd w:val="clear" w:color="auto" w:fill="D9D9D9"/>
            <w:vAlign w:val="center"/>
          </w:tcPr>
          <w:p w:rsidR="00E32574" w:rsidRPr="006173C5" w:rsidRDefault="00E32574" w:rsidP="006173C5">
            <w:pPr>
              <w:spacing w:before="120" w:after="120" w:line="240" w:lineRule="auto"/>
              <w:jc w:val="center"/>
              <w:rPr>
                <w:b/>
                <w:lang w:eastAsia="pt-BR"/>
              </w:rPr>
            </w:pPr>
            <w:r w:rsidRPr="006173C5">
              <w:rPr>
                <w:b/>
                <w:lang w:eastAsia="pt-BR"/>
              </w:rPr>
              <w:t>2012</w:t>
            </w:r>
          </w:p>
        </w:tc>
      </w:tr>
      <w:tr w:rsidR="00E32574" w:rsidRPr="00202B64" w:rsidTr="006173C5">
        <w:trPr>
          <w:trHeight w:val="397"/>
        </w:trPr>
        <w:tc>
          <w:tcPr>
            <w:tcW w:w="2829" w:type="dxa"/>
            <w:vAlign w:val="center"/>
          </w:tcPr>
          <w:p w:rsidR="00E32574" w:rsidRPr="00202B64" w:rsidRDefault="00E32574" w:rsidP="006173C5">
            <w:pPr>
              <w:spacing w:before="120" w:after="120" w:line="240" w:lineRule="auto"/>
              <w:rPr>
                <w:lang w:eastAsia="pt-BR"/>
              </w:rPr>
            </w:pPr>
            <w:r w:rsidRPr="00202B64">
              <w:rPr>
                <w:lang w:eastAsia="pt-BR"/>
              </w:rPr>
              <w:t>Despesa com pessoal próprio</w:t>
            </w:r>
          </w:p>
        </w:tc>
        <w:tc>
          <w:tcPr>
            <w:tcW w:w="2832" w:type="dxa"/>
            <w:vAlign w:val="center"/>
          </w:tcPr>
          <w:p w:rsidR="00E32574" w:rsidRPr="00202B64" w:rsidRDefault="00E32574" w:rsidP="006173C5">
            <w:pPr>
              <w:spacing w:before="120" w:after="120" w:line="240" w:lineRule="auto"/>
              <w:jc w:val="center"/>
              <w:rPr>
                <w:lang w:eastAsia="pt-BR"/>
              </w:rPr>
            </w:pPr>
            <w:r w:rsidRPr="00202B64">
              <w:rPr>
                <w:lang w:eastAsia="pt-BR"/>
              </w:rPr>
              <w:t>1.598.550,00</w:t>
            </w:r>
          </w:p>
        </w:tc>
        <w:tc>
          <w:tcPr>
            <w:tcW w:w="2833" w:type="dxa"/>
            <w:vAlign w:val="center"/>
          </w:tcPr>
          <w:p w:rsidR="00E32574" w:rsidRPr="00202B64" w:rsidRDefault="00E32574" w:rsidP="006173C5">
            <w:pPr>
              <w:spacing w:before="120" w:after="120" w:line="240" w:lineRule="auto"/>
              <w:jc w:val="center"/>
              <w:rPr>
                <w:lang w:eastAsia="pt-BR"/>
              </w:rPr>
            </w:pPr>
            <w:r w:rsidRPr="00202B64">
              <w:rPr>
                <w:lang w:eastAsia="pt-BR"/>
              </w:rPr>
              <w:t>1.771.031,89</w:t>
            </w:r>
          </w:p>
        </w:tc>
      </w:tr>
      <w:tr w:rsidR="00E32574" w:rsidRPr="00202B64" w:rsidTr="006173C5">
        <w:trPr>
          <w:trHeight w:val="567"/>
        </w:trPr>
        <w:tc>
          <w:tcPr>
            <w:tcW w:w="2829" w:type="dxa"/>
            <w:vAlign w:val="center"/>
          </w:tcPr>
          <w:p w:rsidR="00E32574" w:rsidRPr="00202B64" w:rsidRDefault="00E32574" w:rsidP="006173C5">
            <w:pPr>
              <w:spacing w:before="120" w:after="120" w:line="240" w:lineRule="auto"/>
              <w:rPr>
                <w:lang w:eastAsia="pt-BR"/>
              </w:rPr>
            </w:pPr>
            <w:r w:rsidRPr="00202B64">
              <w:rPr>
                <w:lang w:eastAsia="pt-BR"/>
              </w:rPr>
              <w:t>Despesa com produtos químicos</w:t>
            </w:r>
          </w:p>
        </w:tc>
        <w:tc>
          <w:tcPr>
            <w:tcW w:w="2832" w:type="dxa"/>
            <w:vAlign w:val="center"/>
          </w:tcPr>
          <w:p w:rsidR="00E32574" w:rsidRPr="00202B64" w:rsidRDefault="00E32574" w:rsidP="006173C5">
            <w:pPr>
              <w:spacing w:before="120" w:after="120" w:line="240" w:lineRule="auto"/>
              <w:jc w:val="center"/>
              <w:rPr>
                <w:lang w:eastAsia="pt-BR"/>
              </w:rPr>
            </w:pPr>
            <w:r w:rsidRPr="00202B64">
              <w:rPr>
                <w:lang w:eastAsia="pt-BR"/>
              </w:rPr>
              <w:t>27.364,00</w:t>
            </w:r>
          </w:p>
        </w:tc>
        <w:tc>
          <w:tcPr>
            <w:tcW w:w="2833" w:type="dxa"/>
            <w:vAlign w:val="center"/>
          </w:tcPr>
          <w:p w:rsidR="00E32574" w:rsidRPr="00202B64" w:rsidRDefault="00E32574" w:rsidP="006173C5">
            <w:pPr>
              <w:spacing w:before="120" w:after="120" w:line="240" w:lineRule="auto"/>
              <w:jc w:val="center"/>
              <w:rPr>
                <w:lang w:eastAsia="pt-BR"/>
              </w:rPr>
            </w:pPr>
            <w:r w:rsidRPr="00202B64">
              <w:rPr>
                <w:lang w:eastAsia="pt-BR"/>
              </w:rPr>
              <w:t>17.776,00</w:t>
            </w:r>
          </w:p>
        </w:tc>
      </w:tr>
      <w:tr w:rsidR="00E32574" w:rsidRPr="00202B64" w:rsidTr="006173C5">
        <w:trPr>
          <w:trHeight w:val="397"/>
        </w:trPr>
        <w:tc>
          <w:tcPr>
            <w:tcW w:w="2829" w:type="dxa"/>
            <w:vAlign w:val="center"/>
          </w:tcPr>
          <w:p w:rsidR="00E32574" w:rsidRPr="00202B64" w:rsidRDefault="00E32574" w:rsidP="006173C5">
            <w:pPr>
              <w:spacing w:before="120" w:after="120" w:line="240" w:lineRule="auto"/>
              <w:rPr>
                <w:lang w:eastAsia="pt-BR"/>
              </w:rPr>
            </w:pPr>
            <w:r w:rsidRPr="00202B64">
              <w:rPr>
                <w:lang w:eastAsia="pt-BR"/>
              </w:rPr>
              <w:t>Despesa com energia elétrica</w:t>
            </w:r>
          </w:p>
        </w:tc>
        <w:tc>
          <w:tcPr>
            <w:tcW w:w="2832" w:type="dxa"/>
            <w:vAlign w:val="center"/>
          </w:tcPr>
          <w:p w:rsidR="00E32574" w:rsidRPr="00202B64" w:rsidRDefault="00E32574" w:rsidP="006173C5">
            <w:pPr>
              <w:spacing w:before="120" w:after="120" w:line="240" w:lineRule="auto"/>
              <w:jc w:val="center"/>
              <w:rPr>
                <w:lang w:eastAsia="pt-BR"/>
              </w:rPr>
            </w:pPr>
            <w:r w:rsidRPr="00202B64">
              <w:rPr>
                <w:lang w:eastAsia="pt-BR"/>
              </w:rPr>
              <w:t>353.708,00</w:t>
            </w:r>
          </w:p>
        </w:tc>
        <w:tc>
          <w:tcPr>
            <w:tcW w:w="2833" w:type="dxa"/>
            <w:vAlign w:val="center"/>
          </w:tcPr>
          <w:p w:rsidR="00E32574" w:rsidRPr="00202B64" w:rsidRDefault="00E32574" w:rsidP="006173C5">
            <w:pPr>
              <w:spacing w:before="120" w:after="120" w:line="240" w:lineRule="auto"/>
              <w:jc w:val="center"/>
              <w:rPr>
                <w:lang w:eastAsia="pt-BR"/>
              </w:rPr>
            </w:pPr>
            <w:r w:rsidRPr="00202B64">
              <w:rPr>
                <w:lang w:eastAsia="pt-BR"/>
              </w:rPr>
              <w:t>426.000,00</w:t>
            </w:r>
          </w:p>
        </w:tc>
      </w:tr>
      <w:tr w:rsidR="00E32574" w:rsidRPr="00202B64" w:rsidTr="006173C5">
        <w:trPr>
          <w:trHeight w:val="567"/>
        </w:trPr>
        <w:tc>
          <w:tcPr>
            <w:tcW w:w="2829" w:type="dxa"/>
            <w:vAlign w:val="center"/>
          </w:tcPr>
          <w:p w:rsidR="00E32574" w:rsidRPr="00202B64" w:rsidRDefault="00E32574" w:rsidP="006173C5">
            <w:pPr>
              <w:spacing w:before="120" w:after="120" w:line="240" w:lineRule="auto"/>
              <w:rPr>
                <w:lang w:eastAsia="pt-BR"/>
              </w:rPr>
            </w:pPr>
            <w:r w:rsidRPr="00202B64">
              <w:rPr>
                <w:lang w:eastAsia="pt-BR"/>
              </w:rPr>
              <w:t>Despesa com serviços de terceiros</w:t>
            </w:r>
          </w:p>
        </w:tc>
        <w:tc>
          <w:tcPr>
            <w:tcW w:w="2832" w:type="dxa"/>
            <w:vAlign w:val="center"/>
          </w:tcPr>
          <w:p w:rsidR="00E32574" w:rsidRPr="00202B64" w:rsidRDefault="00E32574" w:rsidP="006173C5">
            <w:pPr>
              <w:spacing w:before="120" w:after="120" w:line="240" w:lineRule="auto"/>
              <w:jc w:val="center"/>
              <w:rPr>
                <w:lang w:eastAsia="pt-BR"/>
              </w:rPr>
            </w:pPr>
            <w:r w:rsidRPr="00202B64">
              <w:rPr>
                <w:lang w:eastAsia="pt-BR"/>
              </w:rPr>
              <w:t>611.069,00</w:t>
            </w:r>
          </w:p>
        </w:tc>
        <w:tc>
          <w:tcPr>
            <w:tcW w:w="2833" w:type="dxa"/>
            <w:vAlign w:val="center"/>
          </w:tcPr>
          <w:p w:rsidR="00E32574" w:rsidRPr="00202B64" w:rsidRDefault="00E32574" w:rsidP="006173C5">
            <w:pPr>
              <w:spacing w:before="120" w:after="120" w:line="240" w:lineRule="auto"/>
              <w:jc w:val="center"/>
              <w:rPr>
                <w:lang w:eastAsia="pt-BR"/>
              </w:rPr>
            </w:pPr>
            <w:r w:rsidRPr="00202B64">
              <w:rPr>
                <w:lang w:eastAsia="pt-BR"/>
              </w:rPr>
              <w:t>889.859,00</w:t>
            </w:r>
          </w:p>
        </w:tc>
      </w:tr>
      <w:tr w:rsidR="00E32574" w:rsidRPr="00202B64" w:rsidTr="006173C5">
        <w:trPr>
          <w:trHeight w:val="567"/>
        </w:trPr>
        <w:tc>
          <w:tcPr>
            <w:tcW w:w="2829" w:type="dxa"/>
            <w:vAlign w:val="center"/>
          </w:tcPr>
          <w:p w:rsidR="00E32574" w:rsidRPr="00202B64" w:rsidRDefault="00E32574" w:rsidP="006173C5">
            <w:pPr>
              <w:spacing w:before="120" w:after="120" w:line="240" w:lineRule="auto"/>
              <w:rPr>
                <w:lang w:eastAsia="pt-BR"/>
              </w:rPr>
            </w:pPr>
            <w:r w:rsidRPr="00202B64">
              <w:rPr>
                <w:lang w:eastAsia="pt-BR"/>
              </w:rPr>
              <w:t>Despesas fiscais ou tributárias computadas na DEX</w:t>
            </w:r>
          </w:p>
        </w:tc>
        <w:tc>
          <w:tcPr>
            <w:tcW w:w="2832" w:type="dxa"/>
            <w:vAlign w:val="center"/>
          </w:tcPr>
          <w:p w:rsidR="00E32574" w:rsidRPr="00202B64" w:rsidRDefault="00E32574" w:rsidP="006173C5">
            <w:pPr>
              <w:spacing w:before="120" w:after="120" w:line="240" w:lineRule="auto"/>
              <w:jc w:val="center"/>
              <w:rPr>
                <w:lang w:eastAsia="pt-BR"/>
              </w:rPr>
            </w:pPr>
            <w:r w:rsidRPr="00202B64">
              <w:rPr>
                <w:lang w:eastAsia="pt-BR"/>
              </w:rPr>
              <w:t>33.887,00</w:t>
            </w:r>
          </w:p>
        </w:tc>
        <w:tc>
          <w:tcPr>
            <w:tcW w:w="2833" w:type="dxa"/>
            <w:vAlign w:val="center"/>
          </w:tcPr>
          <w:p w:rsidR="00E32574" w:rsidRPr="00202B64" w:rsidRDefault="00E32574" w:rsidP="006173C5">
            <w:pPr>
              <w:spacing w:before="120" w:after="120" w:line="240" w:lineRule="auto"/>
              <w:jc w:val="center"/>
              <w:rPr>
                <w:lang w:eastAsia="pt-BR"/>
              </w:rPr>
            </w:pPr>
            <w:r w:rsidRPr="00202B64">
              <w:rPr>
                <w:lang w:eastAsia="pt-BR"/>
              </w:rPr>
              <w:t>36.675,00</w:t>
            </w:r>
          </w:p>
        </w:tc>
      </w:tr>
      <w:tr w:rsidR="00E32574" w:rsidRPr="00202B64" w:rsidTr="006173C5">
        <w:trPr>
          <w:trHeight w:val="567"/>
        </w:trPr>
        <w:tc>
          <w:tcPr>
            <w:tcW w:w="2829" w:type="dxa"/>
            <w:vAlign w:val="center"/>
          </w:tcPr>
          <w:p w:rsidR="00E32574" w:rsidRPr="00202B64" w:rsidRDefault="00E32574" w:rsidP="006173C5">
            <w:pPr>
              <w:spacing w:before="120" w:after="120" w:line="240" w:lineRule="auto"/>
              <w:rPr>
                <w:lang w:eastAsia="pt-BR"/>
              </w:rPr>
            </w:pPr>
            <w:r w:rsidRPr="00202B64">
              <w:rPr>
                <w:lang w:eastAsia="pt-BR"/>
              </w:rPr>
              <w:t>Outras despesas de exploração</w:t>
            </w:r>
          </w:p>
        </w:tc>
        <w:tc>
          <w:tcPr>
            <w:tcW w:w="2832" w:type="dxa"/>
            <w:vAlign w:val="center"/>
          </w:tcPr>
          <w:p w:rsidR="00E32574" w:rsidRPr="00202B64" w:rsidRDefault="00E32574" w:rsidP="006173C5">
            <w:pPr>
              <w:spacing w:before="120" w:after="120" w:line="240" w:lineRule="auto"/>
              <w:jc w:val="center"/>
              <w:rPr>
                <w:lang w:eastAsia="pt-BR"/>
              </w:rPr>
            </w:pPr>
            <w:r w:rsidRPr="00202B64">
              <w:rPr>
                <w:lang w:eastAsia="pt-BR"/>
              </w:rPr>
              <w:t>580.702,00</w:t>
            </w:r>
          </w:p>
        </w:tc>
        <w:tc>
          <w:tcPr>
            <w:tcW w:w="2833" w:type="dxa"/>
            <w:vAlign w:val="center"/>
          </w:tcPr>
          <w:p w:rsidR="00E32574" w:rsidRPr="00202B64" w:rsidRDefault="00E32574" w:rsidP="006173C5">
            <w:pPr>
              <w:spacing w:before="120" w:after="120" w:line="240" w:lineRule="auto"/>
              <w:jc w:val="center"/>
              <w:rPr>
                <w:lang w:eastAsia="pt-BR"/>
              </w:rPr>
            </w:pPr>
            <w:r w:rsidRPr="00202B64">
              <w:rPr>
                <w:lang w:eastAsia="pt-BR"/>
              </w:rPr>
              <w:t>542.956,00</w:t>
            </w:r>
          </w:p>
        </w:tc>
      </w:tr>
      <w:tr w:rsidR="00E32574" w:rsidRPr="00202B64" w:rsidTr="006173C5">
        <w:trPr>
          <w:trHeight w:val="567"/>
        </w:trPr>
        <w:tc>
          <w:tcPr>
            <w:tcW w:w="2829" w:type="dxa"/>
            <w:vAlign w:val="center"/>
          </w:tcPr>
          <w:p w:rsidR="00E32574" w:rsidRPr="00202B64" w:rsidRDefault="00E32574" w:rsidP="006173C5">
            <w:pPr>
              <w:spacing w:before="120" w:after="120" w:line="240" w:lineRule="auto"/>
              <w:rPr>
                <w:lang w:eastAsia="pt-BR"/>
              </w:rPr>
            </w:pPr>
            <w:r w:rsidRPr="00202B64">
              <w:rPr>
                <w:lang w:eastAsia="pt-BR"/>
              </w:rPr>
              <w:t>Despesas totais com os serviços</w:t>
            </w:r>
          </w:p>
        </w:tc>
        <w:tc>
          <w:tcPr>
            <w:tcW w:w="2832" w:type="dxa"/>
            <w:vAlign w:val="center"/>
          </w:tcPr>
          <w:p w:rsidR="00E32574" w:rsidRPr="00202B64" w:rsidRDefault="00E32574" w:rsidP="006173C5">
            <w:pPr>
              <w:spacing w:before="120" w:after="120" w:line="240" w:lineRule="auto"/>
              <w:jc w:val="center"/>
              <w:rPr>
                <w:color w:val="000000"/>
              </w:rPr>
            </w:pPr>
            <w:r w:rsidRPr="00202B64">
              <w:rPr>
                <w:color w:val="000000"/>
              </w:rPr>
              <w:t>3.205.280,00</w:t>
            </w:r>
          </w:p>
        </w:tc>
        <w:tc>
          <w:tcPr>
            <w:tcW w:w="2833" w:type="dxa"/>
            <w:vAlign w:val="center"/>
          </w:tcPr>
          <w:p w:rsidR="00E32574" w:rsidRPr="00202B64" w:rsidRDefault="00E32574" w:rsidP="006173C5">
            <w:pPr>
              <w:spacing w:before="120" w:after="120" w:line="240" w:lineRule="auto"/>
              <w:jc w:val="center"/>
              <w:rPr>
                <w:color w:val="000000"/>
              </w:rPr>
            </w:pPr>
            <w:r w:rsidRPr="00202B64">
              <w:rPr>
                <w:color w:val="000000"/>
              </w:rPr>
              <w:t>3.684.297,89</w:t>
            </w:r>
          </w:p>
        </w:tc>
      </w:tr>
    </w:tbl>
    <w:p w:rsidR="00E32574" w:rsidRDefault="00E32574" w:rsidP="005333B5">
      <w:pPr>
        <w:pStyle w:val="Fonte"/>
        <w:rPr>
          <w:lang w:eastAsia="pt-BR"/>
        </w:rPr>
      </w:pPr>
      <w:r w:rsidRPr="00082391">
        <w:rPr>
          <w:lang w:eastAsia="pt-BR"/>
        </w:rPr>
        <w:t>Fonte: SAAE, 2013.</w:t>
      </w:r>
    </w:p>
    <w:p w:rsidR="00E32574" w:rsidRDefault="00E32574" w:rsidP="00E32574">
      <w:pPr>
        <w:pStyle w:val="CM71"/>
        <w:spacing w:line="360" w:lineRule="auto"/>
        <w:ind w:firstLine="708"/>
        <w:jc w:val="both"/>
        <w:rPr>
          <w:rFonts w:ascii="Times New Roman" w:hAnsi="Times New Roman" w:cs="Times New Roman"/>
        </w:rPr>
      </w:pPr>
      <w:r w:rsidRPr="004B4A4B">
        <w:rPr>
          <w:rFonts w:ascii="Times New Roman" w:hAnsi="Times New Roman" w:cs="Times New Roman"/>
        </w:rPr>
        <w:t>Os dados sobre Investimentos em Água e Esgoto estão representados n</w:t>
      </w:r>
      <w:r w:rsidR="006173C5">
        <w:rPr>
          <w:rFonts w:ascii="Times New Roman" w:hAnsi="Times New Roman" w:cs="Times New Roman"/>
        </w:rPr>
        <w:t>o Quadro 3</w:t>
      </w:r>
      <w:r w:rsidR="005703B0">
        <w:rPr>
          <w:rFonts w:ascii="Times New Roman" w:hAnsi="Times New Roman" w:cs="Times New Roman"/>
        </w:rPr>
        <w:t>2</w:t>
      </w:r>
      <w:r w:rsidRPr="004B4A4B">
        <w:rPr>
          <w:rFonts w:ascii="Times New Roman" w:hAnsi="Times New Roman" w:cs="Times New Roman"/>
        </w:rPr>
        <w:t>. Em 2011, houve um aumento nos investimento destinados para água d</w:t>
      </w:r>
      <w:r w:rsidR="006173C5">
        <w:rPr>
          <w:rFonts w:ascii="Times New Roman" w:hAnsi="Times New Roman" w:cs="Times New Roman"/>
        </w:rPr>
        <w:t>a ordem de</w:t>
      </w:r>
      <w:r w:rsidRPr="004B4A4B">
        <w:rPr>
          <w:rFonts w:ascii="Times New Roman" w:hAnsi="Times New Roman" w:cs="Times New Roman"/>
        </w:rPr>
        <w:t xml:space="preserve"> 219,39 % em relação a 2010, porém houve uma diminuição de 25,47 % em relação a 2012. Em relação aos investimentos destinados a esgoto, houve um aumento de 3,30% de 2010 para 2011, e de 58,53 % de 2011 para 2012.</w:t>
      </w:r>
    </w:p>
    <w:p w:rsidR="00E32574" w:rsidRPr="004B4A4B" w:rsidRDefault="00E32574" w:rsidP="00E32574">
      <w:pPr>
        <w:rPr>
          <w:lang w:eastAsia="pt-BR"/>
        </w:rPr>
      </w:pPr>
    </w:p>
    <w:p w:rsidR="005333B5" w:rsidRDefault="005333B5" w:rsidP="0075744C">
      <w:pPr>
        <w:pStyle w:val="Legenda"/>
      </w:pPr>
      <w:r>
        <w:br w:type="page"/>
      </w:r>
      <w:bookmarkStart w:id="368" w:name="_Toc372117278"/>
      <w:r w:rsidR="00E32574" w:rsidRPr="006173C5">
        <w:rPr>
          <w:b w:val="0"/>
        </w:rPr>
        <w:lastRenderedPageBreak/>
        <w:t xml:space="preserve"> </w:t>
      </w:r>
      <w:bookmarkStart w:id="369" w:name="_Toc372740538"/>
      <w:bookmarkEnd w:id="368"/>
      <w:r w:rsidR="0075744C">
        <w:t xml:space="preserve">Quadro </w:t>
      </w:r>
      <w:fldSimple w:instr=" SEQ Quadro \* ARABIC ">
        <w:r w:rsidR="004F77E2">
          <w:rPr>
            <w:noProof/>
          </w:rPr>
          <w:t>32</w:t>
        </w:r>
      </w:fldSimple>
      <w:r w:rsidR="0075744C">
        <w:t xml:space="preserve"> - </w:t>
      </w:r>
      <w:r w:rsidR="0075744C" w:rsidRPr="009C519C">
        <w:rPr>
          <w:noProof/>
        </w:rPr>
        <w:t>Investimentos realizados do SAAE.</w:t>
      </w:r>
      <w:bookmarkEnd w:id="369"/>
    </w:p>
    <w:tbl>
      <w:tblPr>
        <w:tblW w:w="7903" w:type="dxa"/>
        <w:jc w:val="center"/>
        <w:tblLayout w:type="fixed"/>
        <w:tblLook w:val="0000" w:firstRow="0" w:lastRow="0" w:firstColumn="0" w:lastColumn="0" w:noHBand="0" w:noVBand="0"/>
      </w:tblPr>
      <w:tblGrid>
        <w:gridCol w:w="821"/>
        <w:gridCol w:w="1417"/>
        <w:gridCol w:w="1560"/>
        <w:gridCol w:w="2033"/>
        <w:gridCol w:w="2072"/>
      </w:tblGrid>
      <w:tr w:rsidR="00E32574" w:rsidRPr="00CC77E7" w:rsidTr="00E32574">
        <w:trPr>
          <w:trHeight w:val="220"/>
          <w:jc w:val="center"/>
        </w:trPr>
        <w:tc>
          <w:tcPr>
            <w:tcW w:w="821" w:type="dxa"/>
            <w:vMerge w:val="restart"/>
            <w:tcBorders>
              <w:top w:val="single" w:sz="10" w:space="0" w:color="000000"/>
              <w:left w:val="single" w:sz="2" w:space="0" w:color="000000"/>
              <w:bottom w:val="single" w:sz="10" w:space="0" w:color="000000"/>
              <w:right w:val="single" w:sz="10" w:space="0" w:color="000000"/>
            </w:tcBorders>
            <w:shd w:val="clear" w:color="auto" w:fill="D9D9D9"/>
            <w:vAlign w:val="center"/>
          </w:tcPr>
          <w:p w:rsidR="00E32574" w:rsidRPr="00CC77E7" w:rsidRDefault="00E32574" w:rsidP="00CC77E7">
            <w:pPr>
              <w:pStyle w:val="Default"/>
              <w:spacing w:before="120" w:after="120"/>
              <w:jc w:val="center"/>
              <w:rPr>
                <w:rFonts w:ascii="Times New Roman" w:hAnsi="Times New Roman" w:cs="Times New Roman"/>
                <w:b/>
                <w:sz w:val="20"/>
                <w:szCs w:val="20"/>
              </w:rPr>
            </w:pPr>
            <w:r w:rsidRPr="00CC77E7">
              <w:rPr>
                <w:rFonts w:ascii="Times New Roman" w:hAnsi="Times New Roman" w:cs="Times New Roman"/>
                <w:b/>
                <w:sz w:val="20"/>
                <w:szCs w:val="20"/>
              </w:rPr>
              <w:t xml:space="preserve">Ano </w:t>
            </w:r>
          </w:p>
        </w:tc>
        <w:tc>
          <w:tcPr>
            <w:tcW w:w="7082" w:type="dxa"/>
            <w:gridSpan w:val="4"/>
            <w:tcBorders>
              <w:top w:val="single" w:sz="10" w:space="0" w:color="000000"/>
              <w:left w:val="single" w:sz="8" w:space="0" w:color="000000"/>
              <w:bottom w:val="single" w:sz="6" w:space="0" w:color="000000"/>
              <w:right w:val="single" w:sz="2" w:space="0" w:color="000000"/>
            </w:tcBorders>
            <w:shd w:val="clear" w:color="auto" w:fill="D9D9D9"/>
          </w:tcPr>
          <w:p w:rsidR="00E32574" w:rsidRPr="00CC77E7" w:rsidRDefault="00E32574" w:rsidP="00CC77E7">
            <w:pPr>
              <w:pStyle w:val="Default"/>
              <w:spacing w:before="120" w:after="120"/>
              <w:jc w:val="center"/>
              <w:rPr>
                <w:rFonts w:ascii="Times New Roman" w:hAnsi="Times New Roman" w:cs="Times New Roman"/>
                <w:b/>
                <w:color w:val="auto"/>
                <w:sz w:val="20"/>
                <w:szCs w:val="20"/>
              </w:rPr>
            </w:pPr>
            <w:r w:rsidRPr="00CC77E7">
              <w:rPr>
                <w:rFonts w:ascii="Times New Roman" w:hAnsi="Times New Roman" w:cs="Times New Roman"/>
                <w:b/>
                <w:color w:val="auto"/>
                <w:sz w:val="20"/>
                <w:szCs w:val="20"/>
              </w:rPr>
              <w:t>Investimentos Realizados</w:t>
            </w:r>
          </w:p>
        </w:tc>
      </w:tr>
      <w:tr w:rsidR="00E32574" w:rsidRPr="00CC77E7" w:rsidTr="00E32574">
        <w:trPr>
          <w:trHeight w:val="542"/>
          <w:jc w:val="center"/>
        </w:trPr>
        <w:tc>
          <w:tcPr>
            <w:tcW w:w="821" w:type="dxa"/>
            <w:vMerge/>
            <w:tcBorders>
              <w:top w:val="single" w:sz="10" w:space="0" w:color="000000"/>
              <w:left w:val="single" w:sz="2" w:space="0" w:color="000000"/>
              <w:bottom w:val="single" w:sz="10" w:space="0" w:color="000000"/>
              <w:right w:val="single" w:sz="10" w:space="0" w:color="000000"/>
            </w:tcBorders>
            <w:shd w:val="clear" w:color="auto" w:fill="D9D9D9"/>
            <w:vAlign w:val="center"/>
          </w:tcPr>
          <w:p w:rsidR="00E32574" w:rsidRPr="00CC77E7" w:rsidRDefault="00E32574" w:rsidP="00CC77E7">
            <w:pPr>
              <w:pStyle w:val="Default"/>
              <w:spacing w:before="120" w:after="120"/>
              <w:jc w:val="center"/>
              <w:rPr>
                <w:rFonts w:ascii="Times New Roman" w:hAnsi="Times New Roman" w:cs="Times New Roman"/>
                <w:b/>
                <w:color w:val="auto"/>
                <w:sz w:val="20"/>
                <w:szCs w:val="20"/>
              </w:rPr>
            </w:pPr>
          </w:p>
        </w:tc>
        <w:tc>
          <w:tcPr>
            <w:tcW w:w="1417"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CC77E7" w:rsidRDefault="00E32574" w:rsidP="00CC77E7">
            <w:pPr>
              <w:pStyle w:val="Default"/>
              <w:spacing w:before="120" w:after="120"/>
              <w:jc w:val="center"/>
              <w:rPr>
                <w:rFonts w:ascii="Times New Roman" w:hAnsi="Times New Roman" w:cs="Times New Roman"/>
                <w:b/>
                <w:sz w:val="20"/>
                <w:szCs w:val="20"/>
              </w:rPr>
            </w:pPr>
            <w:r w:rsidRPr="00CC77E7">
              <w:rPr>
                <w:rFonts w:ascii="Times New Roman" w:hAnsi="Times New Roman" w:cs="Times New Roman"/>
                <w:b/>
                <w:sz w:val="20"/>
                <w:szCs w:val="20"/>
              </w:rPr>
              <w:t>Água (R$)</w:t>
            </w:r>
          </w:p>
        </w:tc>
        <w:tc>
          <w:tcPr>
            <w:tcW w:w="1560"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CC77E7" w:rsidRDefault="00E32574" w:rsidP="00CC77E7">
            <w:pPr>
              <w:pStyle w:val="Default"/>
              <w:spacing w:before="120" w:after="120"/>
              <w:jc w:val="center"/>
              <w:rPr>
                <w:rFonts w:ascii="Times New Roman" w:hAnsi="Times New Roman" w:cs="Times New Roman"/>
                <w:b/>
                <w:sz w:val="20"/>
                <w:szCs w:val="20"/>
              </w:rPr>
            </w:pPr>
            <w:r w:rsidRPr="00CC77E7">
              <w:rPr>
                <w:rFonts w:ascii="Times New Roman" w:hAnsi="Times New Roman" w:cs="Times New Roman"/>
                <w:b/>
                <w:sz w:val="20"/>
                <w:szCs w:val="20"/>
              </w:rPr>
              <w:t>Esgotos (R$)</w:t>
            </w:r>
          </w:p>
        </w:tc>
        <w:tc>
          <w:tcPr>
            <w:tcW w:w="2033"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CC77E7" w:rsidRDefault="00E32574" w:rsidP="00CC77E7">
            <w:pPr>
              <w:pStyle w:val="Default"/>
              <w:spacing w:before="120" w:after="120"/>
              <w:jc w:val="center"/>
              <w:rPr>
                <w:rFonts w:ascii="Times New Roman" w:hAnsi="Times New Roman" w:cs="Times New Roman"/>
                <w:b/>
                <w:sz w:val="20"/>
                <w:szCs w:val="20"/>
              </w:rPr>
            </w:pPr>
            <w:r w:rsidRPr="00CC77E7">
              <w:rPr>
                <w:rFonts w:ascii="Times New Roman" w:hAnsi="Times New Roman" w:cs="Times New Roman"/>
                <w:b/>
                <w:sz w:val="20"/>
                <w:szCs w:val="20"/>
              </w:rPr>
              <w:t>Outros Investimentos</w:t>
            </w:r>
          </w:p>
        </w:tc>
        <w:tc>
          <w:tcPr>
            <w:tcW w:w="2072" w:type="dxa"/>
            <w:tcBorders>
              <w:top w:val="single" w:sz="6" w:space="0" w:color="000000"/>
              <w:left w:val="single" w:sz="8" w:space="0" w:color="000000"/>
              <w:bottom w:val="single" w:sz="10" w:space="0" w:color="000000"/>
              <w:right w:val="single" w:sz="2" w:space="0" w:color="000000"/>
            </w:tcBorders>
            <w:shd w:val="clear" w:color="auto" w:fill="D9D9D9"/>
            <w:vAlign w:val="center"/>
          </w:tcPr>
          <w:p w:rsidR="00E32574" w:rsidRPr="00CC77E7" w:rsidRDefault="00E32574" w:rsidP="00CC77E7">
            <w:pPr>
              <w:pStyle w:val="Default"/>
              <w:spacing w:before="120" w:after="120"/>
              <w:jc w:val="center"/>
              <w:rPr>
                <w:rFonts w:ascii="Times New Roman" w:hAnsi="Times New Roman" w:cs="Times New Roman"/>
                <w:b/>
                <w:sz w:val="20"/>
                <w:szCs w:val="20"/>
              </w:rPr>
            </w:pPr>
            <w:r w:rsidRPr="00CC77E7">
              <w:rPr>
                <w:rFonts w:ascii="Times New Roman" w:hAnsi="Times New Roman" w:cs="Times New Roman"/>
                <w:b/>
                <w:sz w:val="20"/>
                <w:szCs w:val="20"/>
              </w:rPr>
              <w:t>Total de Investimento</w:t>
            </w:r>
          </w:p>
        </w:tc>
      </w:tr>
      <w:tr w:rsidR="00E32574" w:rsidRPr="00202B64" w:rsidTr="00E32574">
        <w:trPr>
          <w:trHeight w:val="312"/>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202B64" w:rsidRDefault="00E32574" w:rsidP="00CC77E7">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 xml:space="preserve">2010 </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99.029,00</w:t>
            </w:r>
          </w:p>
        </w:tc>
        <w:tc>
          <w:tcPr>
            <w:tcW w:w="1560"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67.746,00</w:t>
            </w:r>
          </w:p>
        </w:tc>
        <w:tc>
          <w:tcPr>
            <w:tcW w:w="2033"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47.509,00</w:t>
            </w:r>
          </w:p>
        </w:tc>
        <w:tc>
          <w:tcPr>
            <w:tcW w:w="2072" w:type="dxa"/>
            <w:tcBorders>
              <w:top w:val="single" w:sz="10" w:space="0" w:color="000000"/>
              <w:left w:val="single" w:sz="8" w:space="0" w:color="000000"/>
              <w:bottom w:val="single" w:sz="10" w:space="0" w:color="000000"/>
              <w:right w:val="single" w:sz="2"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214.284,00</w:t>
            </w:r>
          </w:p>
        </w:tc>
      </w:tr>
      <w:tr w:rsidR="00E32574" w:rsidRPr="00202B64" w:rsidTr="00E32574">
        <w:trPr>
          <w:trHeight w:val="312"/>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202B64" w:rsidRDefault="00E32574" w:rsidP="00CC77E7">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 xml:space="preserve">2011 </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316.292,00</w:t>
            </w:r>
          </w:p>
        </w:tc>
        <w:tc>
          <w:tcPr>
            <w:tcW w:w="1560"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69.981,00</w:t>
            </w:r>
          </w:p>
        </w:tc>
        <w:tc>
          <w:tcPr>
            <w:tcW w:w="2033"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115.322,00</w:t>
            </w:r>
          </w:p>
        </w:tc>
        <w:tc>
          <w:tcPr>
            <w:tcW w:w="2072" w:type="dxa"/>
            <w:tcBorders>
              <w:top w:val="single" w:sz="10" w:space="0" w:color="000000"/>
              <w:left w:val="single" w:sz="8" w:space="0" w:color="000000"/>
              <w:bottom w:val="single" w:sz="10" w:space="0" w:color="000000"/>
              <w:right w:val="single" w:sz="2"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501.595,00</w:t>
            </w:r>
          </w:p>
        </w:tc>
      </w:tr>
      <w:tr w:rsidR="00E32574" w:rsidRPr="00202B64" w:rsidTr="00E32574">
        <w:trPr>
          <w:trHeight w:val="312"/>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202B64" w:rsidRDefault="00E32574" w:rsidP="00CC77E7">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 xml:space="preserve">2012 </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235.727,53</w:t>
            </w:r>
          </w:p>
        </w:tc>
        <w:tc>
          <w:tcPr>
            <w:tcW w:w="1560"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110.942,00</w:t>
            </w:r>
          </w:p>
        </w:tc>
        <w:tc>
          <w:tcPr>
            <w:tcW w:w="2033"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275.048,47</w:t>
            </w:r>
          </w:p>
        </w:tc>
        <w:tc>
          <w:tcPr>
            <w:tcW w:w="2072" w:type="dxa"/>
            <w:tcBorders>
              <w:top w:val="single" w:sz="10" w:space="0" w:color="000000"/>
              <w:left w:val="single" w:sz="8" w:space="0" w:color="000000"/>
              <w:bottom w:val="single" w:sz="10" w:space="0" w:color="000000"/>
              <w:right w:val="single" w:sz="2"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621.718,00</w:t>
            </w:r>
          </w:p>
        </w:tc>
      </w:tr>
      <w:tr w:rsidR="00E32574" w:rsidRPr="00202B64" w:rsidTr="00E32574">
        <w:trPr>
          <w:trHeight w:val="580"/>
          <w:jc w:val="center"/>
        </w:trPr>
        <w:tc>
          <w:tcPr>
            <w:tcW w:w="821" w:type="dxa"/>
            <w:tcBorders>
              <w:top w:val="single" w:sz="10" w:space="0" w:color="000000"/>
              <w:left w:val="single" w:sz="2" w:space="0" w:color="000000"/>
              <w:bottom w:val="single" w:sz="10" w:space="0" w:color="000000"/>
              <w:right w:val="single" w:sz="10" w:space="0" w:color="000000"/>
            </w:tcBorders>
          </w:tcPr>
          <w:p w:rsidR="00E32574" w:rsidRPr="00202B64" w:rsidRDefault="00E32574" w:rsidP="00CC77E7">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 xml:space="preserve">Total 3 anos </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651.048,53</w:t>
            </w:r>
          </w:p>
        </w:tc>
        <w:tc>
          <w:tcPr>
            <w:tcW w:w="1560"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248.669,00</w:t>
            </w:r>
          </w:p>
        </w:tc>
        <w:tc>
          <w:tcPr>
            <w:tcW w:w="2033" w:type="dxa"/>
            <w:tcBorders>
              <w:top w:val="single" w:sz="10" w:space="0" w:color="000000"/>
              <w:left w:val="single" w:sz="8" w:space="0" w:color="000000"/>
              <w:bottom w:val="single" w:sz="10" w:space="0" w:color="000000"/>
              <w:right w:val="single" w:sz="8"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437.879,47</w:t>
            </w:r>
          </w:p>
        </w:tc>
        <w:tc>
          <w:tcPr>
            <w:tcW w:w="2072" w:type="dxa"/>
            <w:tcBorders>
              <w:top w:val="single" w:sz="10" w:space="0" w:color="000000"/>
              <w:left w:val="single" w:sz="8" w:space="0" w:color="000000"/>
              <w:bottom w:val="single" w:sz="10" w:space="0" w:color="000000"/>
              <w:right w:val="single" w:sz="2" w:space="0" w:color="000000"/>
            </w:tcBorders>
            <w:vAlign w:val="center"/>
          </w:tcPr>
          <w:p w:rsidR="00E32574" w:rsidRPr="00202B64" w:rsidRDefault="00E32574" w:rsidP="00CC77E7">
            <w:pPr>
              <w:spacing w:before="120" w:after="120" w:line="240" w:lineRule="auto"/>
              <w:jc w:val="center"/>
              <w:rPr>
                <w:sz w:val="20"/>
                <w:szCs w:val="20"/>
              </w:rPr>
            </w:pPr>
            <w:r w:rsidRPr="00202B64">
              <w:rPr>
                <w:sz w:val="20"/>
                <w:szCs w:val="20"/>
              </w:rPr>
              <w:t>1.337.597,00</w:t>
            </w:r>
          </w:p>
        </w:tc>
      </w:tr>
    </w:tbl>
    <w:p w:rsidR="00E32574" w:rsidRPr="00082391" w:rsidRDefault="005333B5" w:rsidP="005333B5">
      <w:pPr>
        <w:pStyle w:val="Fonte"/>
        <w:rPr>
          <w:lang w:eastAsia="pt-BR"/>
        </w:rPr>
      </w:pPr>
      <w:r>
        <w:rPr>
          <w:lang w:eastAsia="pt-BR"/>
        </w:rPr>
        <w:t xml:space="preserve">      </w:t>
      </w:r>
      <w:r w:rsidR="00E32574" w:rsidRPr="00082391">
        <w:rPr>
          <w:lang w:eastAsia="pt-BR"/>
        </w:rPr>
        <w:t>Fonte: SAAE, 2013.</w:t>
      </w:r>
    </w:p>
    <w:p w:rsidR="00E32574" w:rsidRPr="00A275C9" w:rsidRDefault="00951ADD" w:rsidP="00971B37">
      <w:pPr>
        <w:pStyle w:val="Titulo"/>
      </w:pPr>
      <w:bookmarkStart w:id="370" w:name="_Toc372559118"/>
      <w:bookmarkStart w:id="371" w:name="_Toc372789550"/>
      <w:r w:rsidRPr="00A275C9">
        <w:t>11.</w:t>
      </w:r>
      <w:r w:rsidR="00E64A13">
        <w:t>9</w:t>
      </w:r>
      <w:r w:rsidRPr="00A275C9">
        <w:t xml:space="preserve">.5 </w:t>
      </w:r>
      <w:r w:rsidR="00E32574" w:rsidRPr="00A275C9">
        <w:t>Tarifas</w:t>
      </w:r>
      <w:bookmarkEnd w:id="370"/>
      <w:bookmarkEnd w:id="371"/>
    </w:p>
    <w:p w:rsidR="00E32574" w:rsidRDefault="00E32574" w:rsidP="00E32574">
      <w:pPr>
        <w:pStyle w:val="CM71"/>
        <w:spacing w:line="360" w:lineRule="auto"/>
        <w:ind w:firstLine="708"/>
        <w:jc w:val="both"/>
        <w:rPr>
          <w:rFonts w:ascii="Times New Roman" w:hAnsi="Times New Roman" w:cs="Times New Roman"/>
        </w:rPr>
      </w:pPr>
      <w:r w:rsidRPr="00A42443">
        <w:rPr>
          <w:rFonts w:ascii="Times New Roman" w:hAnsi="Times New Roman" w:cs="Times New Roman"/>
        </w:rPr>
        <w:t xml:space="preserve">A política tarifária do SAAE é definida pela </w:t>
      </w:r>
      <w:r w:rsidRPr="00E705DA">
        <w:rPr>
          <w:rFonts w:ascii="Times New Roman" w:hAnsi="Times New Roman" w:cs="Times New Roman"/>
        </w:rPr>
        <w:t>Lei nº. 665 de 22 de dezembro de 1969 e alterada pela Lei n° 1.788 de 25 de abril de 2005</w:t>
      </w:r>
      <w:r w:rsidRPr="00CD71BF">
        <w:rPr>
          <w:rFonts w:ascii="Times New Roman" w:hAnsi="Times New Roman" w:cs="Times New Roman"/>
        </w:rPr>
        <w:t>. Nesta lei, a Tarifa Básica Operacional (TBO) é definida da seguinte forma: corresponde a uma taxa fixa estabelecida pelo SAAE, cobrada de todas as economias, referente ao valor destinado à cobertura do custo operacional dos sistemas de abastecimento de água e de coleta de esgotos sanitários.</w:t>
      </w:r>
      <w:r w:rsidRPr="00A42443">
        <w:rPr>
          <w:rFonts w:ascii="Times New Roman" w:hAnsi="Times New Roman" w:cs="Times New Roman"/>
        </w:rPr>
        <w:t xml:space="preserve"> </w:t>
      </w:r>
    </w:p>
    <w:p w:rsidR="00E32574" w:rsidRPr="00D218C7" w:rsidRDefault="00E32574" w:rsidP="00CC77E7">
      <w:pPr>
        <w:pStyle w:val="CM71"/>
        <w:spacing w:line="360" w:lineRule="auto"/>
        <w:ind w:firstLine="709"/>
        <w:jc w:val="both"/>
        <w:rPr>
          <w:rFonts w:ascii="Times New Roman" w:hAnsi="Times New Roman" w:cs="Times New Roman"/>
        </w:rPr>
      </w:pPr>
      <w:r w:rsidRPr="00D218C7">
        <w:rPr>
          <w:rFonts w:ascii="Times New Roman" w:hAnsi="Times New Roman" w:cs="Times New Roman"/>
        </w:rPr>
        <w:t>Segundo a Lei n° 1676/2001, as tarifas devem ser diferenciadas segundo as categorias de usuário e faixa</w:t>
      </w:r>
      <w:r w:rsidR="00CC77E7">
        <w:rPr>
          <w:rFonts w:ascii="Times New Roman" w:hAnsi="Times New Roman" w:cs="Times New Roman"/>
        </w:rPr>
        <w:t xml:space="preserve"> de consumo</w:t>
      </w:r>
      <w:r w:rsidRPr="00D218C7">
        <w:rPr>
          <w:rFonts w:ascii="Times New Roman" w:hAnsi="Times New Roman" w:cs="Times New Roman"/>
        </w:rPr>
        <w:t>, devendo, em função destas, ser progressivas em relação ao volume faturável. Na ausência de medidor, o consumo a ser faturado deve ser estimado em função do consumo médio presumível com base em atributo físico do imóvel, que nunca será inferior a 10 m³</w:t>
      </w:r>
      <w:r w:rsidR="00CC77E7">
        <w:rPr>
          <w:rFonts w:ascii="Times New Roman" w:hAnsi="Times New Roman" w:cs="Times New Roman"/>
        </w:rPr>
        <w:t>.mês</w:t>
      </w:r>
      <w:r w:rsidR="00CC77E7" w:rsidRPr="00CC77E7">
        <w:rPr>
          <w:rFonts w:ascii="Times New Roman" w:hAnsi="Times New Roman" w:cs="Times New Roman"/>
          <w:vertAlign w:val="superscript"/>
        </w:rPr>
        <w:t>-1</w:t>
      </w:r>
      <w:r w:rsidRPr="00D218C7">
        <w:rPr>
          <w:rFonts w:ascii="Times New Roman" w:hAnsi="Times New Roman" w:cs="Times New Roman"/>
        </w:rPr>
        <w:t xml:space="preserve"> por economia.</w:t>
      </w:r>
      <w:r>
        <w:rPr>
          <w:rFonts w:ascii="Times New Roman" w:hAnsi="Times New Roman" w:cs="Times New Roman"/>
        </w:rPr>
        <w:t xml:space="preserve"> </w:t>
      </w:r>
      <w:r w:rsidRPr="00D218C7">
        <w:rPr>
          <w:rFonts w:ascii="Times New Roman" w:hAnsi="Times New Roman"/>
        </w:rPr>
        <w:t>Ainda pela referida lei, cada ligação corresponderá uma única conta, independentemente do número de economia</w:t>
      </w:r>
      <w:r w:rsidR="00CC77E7">
        <w:rPr>
          <w:rFonts w:ascii="Times New Roman" w:hAnsi="Times New Roman"/>
        </w:rPr>
        <w:t>s</w:t>
      </w:r>
      <w:r w:rsidRPr="00D218C7">
        <w:rPr>
          <w:rFonts w:ascii="Times New Roman" w:hAnsi="Times New Roman"/>
        </w:rPr>
        <w:t>, por ela atendid</w:t>
      </w:r>
      <w:r w:rsidR="00CC77E7">
        <w:rPr>
          <w:rFonts w:ascii="Times New Roman" w:hAnsi="Times New Roman"/>
        </w:rPr>
        <w:t>a</w:t>
      </w:r>
      <w:r w:rsidRPr="00D218C7">
        <w:rPr>
          <w:rFonts w:ascii="Times New Roman" w:hAnsi="Times New Roman"/>
        </w:rPr>
        <w:t>s.</w:t>
      </w:r>
    </w:p>
    <w:p w:rsidR="00E32574" w:rsidRPr="00597A88" w:rsidRDefault="00E32574" w:rsidP="00E32574">
      <w:pPr>
        <w:pStyle w:val="CM71"/>
        <w:spacing w:line="360" w:lineRule="auto"/>
        <w:ind w:firstLine="708"/>
        <w:jc w:val="both"/>
        <w:rPr>
          <w:rFonts w:ascii="Times New Roman" w:hAnsi="Times New Roman" w:cs="Times New Roman"/>
        </w:rPr>
      </w:pPr>
      <w:r w:rsidRPr="00A42443">
        <w:rPr>
          <w:rFonts w:ascii="Times New Roman" w:hAnsi="Times New Roman" w:cs="Times New Roman"/>
        </w:rPr>
        <w:t xml:space="preserve">Para </w:t>
      </w:r>
      <w:r w:rsidR="00CC77E7">
        <w:rPr>
          <w:rFonts w:ascii="Times New Roman" w:hAnsi="Times New Roman" w:cs="Times New Roman"/>
        </w:rPr>
        <w:t xml:space="preserve">a </w:t>
      </w:r>
      <w:r w:rsidRPr="00A42443">
        <w:rPr>
          <w:rFonts w:ascii="Times New Roman" w:hAnsi="Times New Roman" w:cs="Times New Roman"/>
        </w:rPr>
        <w:t>cobrança pelo serviço de abastecimento de água o SAAE possui tarifas diferenciadas segundo as categorias de usuários</w:t>
      </w:r>
      <w:r>
        <w:rPr>
          <w:rFonts w:ascii="Times New Roman" w:hAnsi="Times New Roman" w:cs="Times New Roman"/>
        </w:rPr>
        <w:t xml:space="preserve"> (</w:t>
      </w:r>
      <w:r w:rsidR="00CC77E7">
        <w:rPr>
          <w:rFonts w:ascii="Times New Roman" w:hAnsi="Times New Roman" w:cs="Times New Roman"/>
        </w:rPr>
        <w:t>Quadro 3</w:t>
      </w:r>
      <w:r w:rsidR="005703B0">
        <w:rPr>
          <w:rFonts w:ascii="Times New Roman" w:hAnsi="Times New Roman" w:cs="Times New Roman"/>
        </w:rPr>
        <w:t>3</w:t>
      </w:r>
      <w:r>
        <w:rPr>
          <w:rFonts w:ascii="Times New Roman" w:hAnsi="Times New Roman" w:cs="Times New Roman"/>
        </w:rPr>
        <w:t>)</w:t>
      </w:r>
      <w:r w:rsidRPr="00A42443">
        <w:rPr>
          <w:rFonts w:ascii="Times New Roman" w:hAnsi="Times New Roman" w:cs="Times New Roman"/>
        </w:rPr>
        <w:t>, de forma que os grandes consumidores subsidiam os pequenos e as demais categorias subsidiem a categoria residencial</w:t>
      </w:r>
      <w:r>
        <w:rPr>
          <w:rFonts w:ascii="Times New Roman" w:hAnsi="Times New Roman" w:cs="Times New Roman"/>
        </w:rPr>
        <w:t xml:space="preserve">. </w:t>
      </w:r>
      <w:r w:rsidR="00CC77E7">
        <w:rPr>
          <w:rFonts w:ascii="Times New Roman" w:hAnsi="Times New Roman" w:cs="Times New Roman"/>
        </w:rPr>
        <w:t>O Quadro 3</w:t>
      </w:r>
      <w:r w:rsidR="005703B0">
        <w:rPr>
          <w:rFonts w:ascii="Times New Roman" w:hAnsi="Times New Roman" w:cs="Times New Roman"/>
        </w:rPr>
        <w:t>4</w:t>
      </w:r>
      <w:r>
        <w:rPr>
          <w:rFonts w:ascii="Times New Roman" w:hAnsi="Times New Roman" w:cs="Times New Roman"/>
        </w:rPr>
        <w:t xml:space="preserve"> mostra os valores por faixa de acordo com cada categoria.</w:t>
      </w:r>
    </w:p>
    <w:p w:rsidR="005333B5" w:rsidRDefault="005333B5">
      <w:pPr>
        <w:spacing w:after="200" w:line="276" w:lineRule="auto"/>
        <w:rPr>
          <w:rFonts w:eastAsiaTheme="minorEastAsia" w:cs="Times New Roman"/>
          <w:bCs/>
          <w:szCs w:val="24"/>
          <w:lang w:eastAsia="pt-BR"/>
        </w:rPr>
      </w:pPr>
      <w:r>
        <w:br w:type="page"/>
      </w:r>
    </w:p>
    <w:p w:rsidR="005333B5" w:rsidRDefault="0075744C" w:rsidP="0075744C">
      <w:pPr>
        <w:pStyle w:val="Legenda"/>
      </w:pPr>
      <w:bookmarkStart w:id="372" w:name="_Toc372740539"/>
      <w:r>
        <w:lastRenderedPageBreak/>
        <w:t xml:space="preserve">Quadro </w:t>
      </w:r>
      <w:fldSimple w:instr=" SEQ Quadro \* ARABIC ">
        <w:r w:rsidR="004F77E2">
          <w:rPr>
            <w:noProof/>
          </w:rPr>
          <w:t>33</w:t>
        </w:r>
      </w:fldSimple>
      <w:r>
        <w:t xml:space="preserve"> - </w:t>
      </w:r>
      <w:r w:rsidRPr="000F5D28">
        <w:rPr>
          <w:noProof/>
        </w:rPr>
        <w:t>Tarifa Mínima cobrada pelo SAAE.</w:t>
      </w:r>
      <w:bookmarkEnd w:id="372"/>
    </w:p>
    <w:tbl>
      <w:tblPr>
        <w:tblW w:w="4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35"/>
        <w:gridCol w:w="2242"/>
      </w:tblGrid>
      <w:tr w:rsidR="00E32574" w:rsidRPr="00CC77E7" w:rsidTr="005333B5">
        <w:trPr>
          <w:cantSplit/>
          <w:trHeight w:val="397"/>
          <w:jc w:val="center"/>
        </w:trPr>
        <w:tc>
          <w:tcPr>
            <w:tcW w:w="2535" w:type="dxa"/>
            <w:shd w:val="pct20" w:color="000000" w:fill="FFFFFF"/>
          </w:tcPr>
          <w:p w:rsidR="00E32574" w:rsidRPr="00CC77E7" w:rsidRDefault="00E32574" w:rsidP="00CC77E7">
            <w:pPr>
              <w:pStyle w:val="Tabela"/>
              <w:numPr>
                <w:ilvl w:val="0"/>
                <w:numId w:val="0"/>
              </w:numPr>
              <w:spacing w:before="120" w:after="120"/>
              <w:ind w:right="-107"/>
              <w:jc w:val="center"/>
              <w:rPr>
                <w:rFonts w:ascii="Times New Roman" w:hAnsi="Times New Roman"/>
                <w:b/>
                <w:sz w:val="24"/>
                <w:szCs w:val="24"/>
              </w:rPr>
            </w:pPr>
            <w:r w:rsidRPr="00CC77E7">
              <w:rPr>
                <w:rFonts w:ascii="Times New Roman" w:hAnsi="Times New Roman"/>
                <w:b/>
                <w:sz w:val="24"/>
                <w:szCs w:val="24"/>
              </w:rPr>
              <w:t>Categoria</w:t>
            </w:r>
          </w:p>
        </w:tc>
        <w:tc>
          <w:tcPr>
            <w:tcW w:w="2242" w:type="dxa"/>
            <w:shd w:val="pct20" w:color="000000" w:fill="FFFFFF"/>
          </w:tcPr>
          <w:p w:rsidR="00E32574" w:rsidRPr="00CC77E7" w:rsidRDefault="00E32574" w:rsidP="00CC77E7">
            <w:pPr>
              <w:pStyle w:val="Tabela"/>
              <w:numPr>
                <w:ilvl w:val="0"/>
                <w:numId w:val="0"/>
              </w:numPr>
              <w:spacing w:before="120" w:after="120"/>
              <w:jc w:val="center"/>
              <w:rPr>
                <w:rFonts w:ascii="Times New Roman" w:hAnsi="Times New Roman"/>
                <w:b/>
                <w:sz w:val="24"/>
                <w:szCs w:val="24"/>
              </w:rPr>
            </w:pPr>
            <w:r w:rsidRPr="00CC77E7">
              <w:rPr>
                <w:rFonts w:ascii="Times New Roman" w:hAnsi="Times New Roman"/>
                <w:b/>
                <w:sz w:val="24"/>
                <w:szCs w:val="24"/>
              </w:rPr>
              <w:t>Valores (R$)</w:t>
            </w:r>
          </w:p>
        </w:tc>
      </w:tr>
      <w:tr w:rsidR="00E32574" w:rsidRPr="00202B64" w:rsidTr="005333B5">
        <w:trPr>
          <w:cantSplit/>
          <w:trHeight w:val="397"/>
          <w:jc w:val="center"/>
        </w:trPr>
        <w:tc>
          <w:tcPr>
            <w:tcW w:w="2535" w:type="dxa"/>
            <w:vAlign w:val="center"/>
          </w:tcPr>
          <w:p w:rsidR="00E32574" w:rsidRPr="00E70836" w:rsidRDefault="00E32574" w:rsidP="00CC77E7">
            <w:pPr>
              <w:pStyle w:val="Tabela"/>
              <w:numPr>
                <w:ilvl w:val="0"/>
                <w:numId w:val="0"/>
              </w:numPr>
              <w:spacing w:before="120" w:after="120"/>
              <w:ind w:right="-107"/>
              <w:rPr>
                <w:rFonts w:ascii="Times New Roman" w:hAnsi="Times New Roman"/>
                <w:sz w:val="24"/>
                <w:szCs w:val="24"/>
              </w:rPr>
            </w:pPr>
            <w:r w:rsidRPr="00E70836">
              <w:rPr>
                <w:rFonts w:ascii="Times New Roman" w:hAnsi="Times New Roman"/>
                <w:sz w:val="24"/>
                <w:szCs w:val="24"/>
              </w:rPr>
              <w:t>Residencial</w:t>
            </w:r>
          </w:p>
        </w:tc>
        <w:tc>
          <w:tcPr>
            <w:tcW w:w="2242" w:type="dxa"/>
          </w:tcPr>
          <w:p w:rsidR="00E32574" w:rsidRPr="00E70836" w:rsidRDefault="00E32574" w:rsidP="00CC77E7">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21,1</w:t>
            </w:r>
            <w:r w:rsidRPr="00E70836">
              <w:rPr>
                <w:rFonts w:ascii="Times New Roman" w:hAnsi="Times New Roman"/>
                <w:sz w:val="24"/>
                <w:szCs w:val="24"/>
              </w:rPr>
              <w:t>6</w:t>
            </w:r>
          </w:p>
        </w:tc>
      </w:tr>
      <w:tr w:rsidR="00E32574" w:rsidRPr="00202B64" w:rsidTr="005333B5">
        <w:trPr>
          <w:cantSplit/>
          <w:trHeight w:val="397"/>
          <w:jc w:val="center"/>
        </w:trPr>
        <w:tc>
          <w:tcPr>
            <w:tcW w:w="2535" w:type="dxa"/>
            <w:vAlign w:val="center"/>
          </w:tcPr>
          <w:p w:rsidR="00E32574" w:rsidRPr="00E70836" w:rsidRDefault="00E32574" w:rsidP="00CC77E7">
            <w:pPr>
              <w:pStyle w:val="Tabela"/>
              <w:numPr>
                <w:ilvl w:val="0"/>
                <w:numId w:val="0"/>
              </w:numPr>
              <w:spacing w:before="120" w:after="120"/>
              <w:ind w:right="-107"/>
              <w:rPr>
                <w:rFonts w:ascii="Times New Roman" w:hAnsi="Times New Roman"/>
                <w:sz w:val="24"/>
                <w:szCs w:val="24"/>
              </w:rPr>
            </w:pPr>
            <w:r w:rsidRPr="00E70836">
              <w:rPr>
                <w:rFonts w:ascii="Times New Roman" w:hAnsi="Times New Roman"/>
                <w:sz w:val="24"/>
                <w:szCs w:val="24"/>
              </w:rPr>
              <w:t>Comercial</w:t>
            </w:r>
          </w:p>
        </w:tc>
        <w:tc>
          <w:tcPr>
            <w:tcW w:w="2242" w:type="dxa"/>
          </w:tcPr>
          <w:p w:rsidR="00E32574" w:rsidRPr="00E70836" w:rsidRDefault="00E32574" w:rsidP="00CC77E7">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45</w:t>
            </w:r>
            <w:r w:rsidRPr="00E70836">
              <w:rPr>
                <w:rFonts w:ascii="Times New Roman" w:hAnsi="Times New Roman"/>
                <w:sz w:val="24"/>
                <w:szCs w:val="24"/>
              </w:rPr>
              <w:t>,88 (+5</w:t>
            </w:r>
            <w:r>
              <w:rPr>
                <w:rFonts w:ascii="Times New Roman" w:hAnsi="Times New Roman"/>
                <w:sz w:val="24"/>
                <w:szCs w:val="24"/>
              </w:rPr>
              <w:t>0</w:t>
            </w:r>
            <w:r w:rsidRPr="00E70836">
              <w:rPr>
                <w:rFonts w:ascii="Times New Roman" w:hAnsi="Times New Roman"/>
                <w:sz w:val="24"/>
                <w:szCs w:val="24"/>
              </w:rPr>
              <w:t>% Esgoto</w:t>
            </w:r>
            <w:r>
              <w:rPr>
                <w:rFonts w:ascii="Times New Roman" w:hAnsi="Times New Roman"/>
                <w:sz w:val="24"/>
                <w:szCs w:val="24"/>
              </w:rPr>
              <w:t>)</w:t>
            </w:r>
          </w:p>
        </w:tc>
      </w:tr>
      <w:tr w:rsidR="00E32574" w:rsidRPr="00202B64" w:rsidTr="005333B5">
        <w:trPr>
          <w:cantSplit/>
          <w:trHeight w:val="397"/>
          <w:jc w:val="center"/>
        </w:trPr>
        <w:tc>
          <w:tcPr>
            <w:tcW w:w="2535" w:type="dxa"/>
            <w:vAlign w:val="center"/>
          </w:tcPr>
          <w:p w:rsidR="00E32574" w:rsidRPr="00E70836" w:rsidRDefault="00E32574" w:rsidP="00CC77E7">
            <w:pPr>
              <w:pStyle w:val="Tabela"/>
              <w:numPr>
                <w:ilvl w:val="0"/>
                <w:numId w:val="0"/>
              </w:numPr>
              <w:spacing w:before="120" w:after="120"/>
              <w:ind w:right="-107"/>
              <w:rPr>
                <w:rFonts w:ascii="Times New Roman" w:hAnsi="Times New Roman"/>
                <w:sz w:val="24"/>
                <w:szCs w:val="24"/>
              </w:rPr>
            </w:pPr>
            <w:r w:rsidRPr="00E70836">
              <w:rPr>
                <w:rFonts w:ascii="Times New Roman" w:hAnsi="Times New Roman"/>
                <w:sz w:val="24"/>
                <w:szCs w:val="24"/>
              </w:rPr>
              <w:t>Pública</w:t>
            </w:r>
          </w:p>
        </w:tc>
        <w:tc>
          <w:tcPr>
            <w:tcW w:w="2242" w:type="dxa"/>
          </w:tcPr>
          <w:p w:rsidR="00E32574" w:rsidRPr="00E70836" w:rsidRDefault="00E32574" w:rsidP="00CC77E7">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r>
      <w:tr w:rsidR="00E32574" w:rsidRPr="00202B64" w:rsidTr="005333B5">
        <w:trPr>
          <w:cantSplit/>
          <w:trHeight w:val="397"/>
          <w:jc w:val="center"/>
        </w:trPr>
        <w:tc>
          <w:tcPr>
            <w:tcW w:w="2535" w:type="dxa"/>
            <w:vAlign w:val="center"/>
          </w:tcPr>
          <w:p w:rsidR="00E32574" w:rsidRPr="00E70836" w:rsidRDefault="00E32574" w:rsidP="00CC77E7">
            <w:pPr>
              <w:pStyle w:val="Tabela"/>
              <w:numPr>
                <w:ilvl w:val="0"/>
                <w:numId w:val="0"/>
              </w:numPr>
              <w:spacing w:before="120" w:after="120"/>
              <w:ind w:right="-107"/>
              <w:rPr>
                <w:rFonts w:ascii="Times New Roman" w:hAnsi="Times New Roman"/>
                <w:sz w:val="24"/>
                <w:szCs w:val="24"/>
              </w:rPr>
            </w:pPr>
            <w:r w:rsidRPr="00E70836">
              <w:rPr>
                <w:rFonts w:ascii="Times New Roman" w:hAnsi="Times New Roman"/>
                <w:sz w:val="24"/>
                <w:szCs w:val="24"/>
              </w:rPr>
              <w:t>Industrial</w:t>
            </w:r>
          </w:p>
        </w:tc>
        <w:tc>
          <w:tcPr>
            <w:tcW w:w="2242" w:type="dxa"/>
          </w:tcPr>
          <w:p w:rsidR="00E32574" w:rsidRPr="00E70836" w:rsidRDefault="00E32574" w:rsidP="00CC77E7">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r>
    </w:tbl>
    <w:p w:rsidR="00E32574" w:rsidRPr="00082391" w:rsidRDefault="005333B5" w:rsidP="005333B5">
      <w:pPr>
        <w:pStyle w:val="Fonte"/>
        <w:ind w:left="708" w:firstLine="708"/>
        <w:rPr>
          <w:lang w:eastAsia="pt-BR"/>
        </w:rPr>
      </w:pPr>
      <w:r>
        <w:rPr>
          <w:lang w:eastAsia="pt-BR"/>
        </w:rPr>
        <w:t xml:space="preserve">         </w:t>
      </w:r>
      <w:r w:rsidR="00E32574" w:rsidRPr="00082391">
        <w:rPr>
          <w:lang w:eastAsia="pt-BR"/>
        </w:rPr>
        <w:t>Fonte: SAAE, 2013.</w:t>
      </w:r>
    </w:p>
    <w:p w:rsidR="005333B5" w:rsidRDefault="0075744C" w:rsidP="0075744C">
      <w:pPr>
        <w:pStyle w:val="Legenda"/>
      </w:pPr>
      <w:bookmarkStart w:id="373" w:name="_Toc372740540"/>
      <w:r>
        <w:t xml:space="preserve">Quadro </w:t>
      </w:r>
      <w:fldSimple w:instr=" SEQ Quadro \* ARABIC ">
        <w:r w:rsidR="004F77E2">
          <w:rPr>
            <w:noProof/>
          </w:rPr>
          <w:t>34</w:t>
        </w:r>
      </w:fldSimple>
      <w:r>
        <w:t xml:space="preserve"> - </w:t>
      </w:r>
      <w:r w:rsidRPr="002717FD">
        <w:rPr>
          <w:noProof/>
        </w:rPr>
        <w:t>Valores da Cobrança por Categoria.</w:t>
      </w:r>
      <w:bookmarkEnd w:id="373"/>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50"/>
        <w:gridCol w:w="1254"/>
        <w:gridCol w:w="1255"/>
        <w:gridCol w:w="1257"/>
        <w:gridCol w:w="1278"/>
        <w:gridCol w:w="864"/>
        <w:gridCol w:w="1649"/>
        <w:gridCol w:w="761"/>
      </w:tblGrid>
      <w:tr w:rsidR="00E32574" w:rsidRPr="00092E15" w:rsidTr="00E32574">
        <w:trPr>
          <w:tblHeader/>
        </w:trPr>
        <w:tc>
          <w:tcPr>
            <w:tcW w:w="2504" w:type="dxa"/>
            <w:gridSpan w:val="2"/>
            <w:shd w:val="pct20" w:color="000000" w:fill="FFFFFF"/>
          </w:tcPr>
          <w:p w:rsidR="00E32574" w:rsidRPr="00092E15" w:rsidRDefault="00E32574" w:rsidP="00092E15">
            <w:pPr>
              <w:pStyle w:val="Tabela"/>
              <w:numPr>
                <w:ilvl w:val="0"/>
                <w:numId w:val="0"/>
              </w:numPr>
              <w:spacing w:before="120" w:after="120"/>
              <w:jc w:val="center"/>
              <w:rPr>
                <w:rFonts w:ascii="Times New Roman" w:hAnsi="Times New Roman"/>
                <w:b/>
                <w:sz w:val="24"/>
                <w:szCs w:val="24"/>
              </w:rPr>
            </w:pPr>
            <w:r w:rsidRPr="00092E15">
              <w:rPr>
                <w:rFonts w:ascii="Times New Roman" w:hAnsi="Times New Roman"/>
                <w:b/>
                <w:sz w:val="24"/>
                <w:szCs w:val="24"/>
              </w:rPr>
              <w:t>Categoria Residencial</w:t>
            </w:r>
          </w:p>
        </w:tc>
        <w:tc>
          <w:tcPr>
            <w:tcW w:w="2512" w:type="dxa"/>
            <w:gridSpan w:val="2"/>
            <w:shd w:val="pct20" w:color="000000" w:fill="FFFFFF"/>
          </w:tcPr>
          <w:p w:rsidR="00E32574" w:rsidRPr="00092E15" w:rsidRDefault="00E32574" w:rsidP="00092E15">
            <w:pPr>
              <w:pStyle w:val="Tabela"/>
              <w:numPr>
                <w:ilvl w:val="0"/>
                <w:numId w:val="0"/>
              </w:numPr>
              <w:spacing w:before="120" w:after="120"/>
              <w:jc w:val="center"/>
              <w:rPr>
                <w:rFonts w:ascii="Times New Roman" w:hAnsi="Times New Roman"/>
                <w:b/>
                <w:sz w:val="24"/>
                <w:szCs w:val="24"/>
              </w:rPr>
            </w:pPr>
            <w:r w:rsidRPr="00092E15">
              <w:rPr>
                <w:rFonts w:ascii="Times New Roman" w:hAnsi="Times New Roman"/>
                <w:b/>
                <w:sz w:val="24"/>
                <w:szCs w:val="24"/>
              </w:rPr>
              <w:t>Categoria Comercial</w:t>
            </w:r>
          </w:p>
        </w:tc>
        <w:tc>
          <w:tcPr>
            <w:tcW w:w="2142" w:type="dxa"/>
            <w:gridSpan w:val="2"/>
            <w:shd w:val="pct20" w:color="000000" w:fill="FFFFFF"/>
          </w:tcPr>
          <w:p w:rsidR="00E32574" w:rsidRPr="00092E15" w:rsidRDefault="00E32574" w:rsidP="00092E15">
            <w:pPr>
              <w:pStyle w:val="Tabela"/>
              <w:numPr>
                <w:ilvl w:val="0"/>
                <w:numId w:val="0"/>
              </w:numPr>
              <w:spacing w:before="120" w:after="120"/>
              <w:jc w:val="center"/>
              <w:rPr>
                <w:rFonts w:ascii="Times New Roman" w:hAnsi="Times New Roman"/>
                <w:b/>
                <w:sz w:val="24"/>
                <w:szCs w:val="24"/>
              </w:rPr>
            </w:pPr>
            <w:r w:rsidRPr="00092E15">
              <w:rPr>
                <w:rFonts w:ascii="Times New Roman" w:hAnsi="Times New Roman"/>
                <w:b/>
                <w:sz w:val="24"/>
                <w:szCs w:val="24"/>
              </w:rPr>
              <w:t>Categoria Pública</w:t>
            </w:r>
          </w:p>
        </w:tc>
        <w:tc>
          <w:tcPr>
            <w:tcW w:w="2410" w:type="dxa"/>
            <w:gridSpan w:val="2"/>
            <w:shd w:val="pct20" w:color="000000" w:fill="FFFFFF"/>
          </w:tcPr>
          <w:p w:rsidR="00E32574" w:rsidRPr="00092E15" w:rsidRDefault="00E32574" w:rsidP="00092E15">
            <w:pPr>
              <w:pStyle w:val="Tabela"/>
              <w:numPr>
                <w:ilvl w:val="0"/>
                <w:numId w:val="0"/>
              </w:numPr>
              <w:spacing w:before="120" w:after="120"/>
              <w:jc w:val="center"/>
              <w:rPr>
                <w:rFonts w:ascii="Times New Roman" w:hAnsi="Times New Roman"/>
                <w:b/>
                <w:sz w:val="24"/>
                <w:szCs w:val="24"/>
              </w:rPr>
            </w:pPr>
            <w:r w:rsidRPr="00092E15">
              <w:rPr>
                <w:rFonts w:ascii="Times New Roman" w:hAnsi="Times New Roman"/>
                <w:b/>
                <w:sz w:val="24"/>
                <w:szCs w:val="24"/>
              </w:rPr>
              <w:t>Categoria Industrial</w:t>
            </w:r>
          </w:p>
        </w:tc>
      </w:tr>
      <w:tr w:rsidR="00E32574" w:rsidRPr="00202B64" w:rsidTr="00E32574">
        <w:trPr>
          <w:cantSplit/>
        </w:trPr>
        <w:tc>
          <w:tcPr>
            <w:tcW w:w="1250"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sidRPr="00597A88">
              <w:rPr>
                <w:rFonts w:ascii="Times New Roman" w:hAnsi="Times New Roman"/>
                <w:sz w:val="24"/>
                <w:szCs w:val="24"/>
              </w:rPr>
              <w:t>Faixa (m³)</w:t>
            </w:r>
          </w:p>
        </w:tc>
        <w:tc>
          <w:tcPr>
            <w:tcW w:w="1254"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sidRPr="00597A88">
              <w:rPr>
                <w:rFonts w:ascii="Times New Roman" w:hAnsi="Times New Roman"/>
                <w:sz w:val="24"/>
                <w:szCs w:val="24"/>
              </w:rPr>
              <w:t>R$/m³</w:t>
            </w:r>
          </w:p>
        </w:tc>
        <w:tc>
          <w:tcPr>
            <w:tcW w:w="1255"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sidRPr="00597A88">
              <w:rPr>
                <w:rFonts w:ascii="Times New Roman" w:hAnsi="Times New Roman"/>
                <w:sz w:val="24"/>
                <w:szCs w:val="24"/>
              </w:rPr>
              <w:t>Faixa (m³)</w:t>
            </w:r>
          </w:p>
        </w:tc>
        <w:tc>
          <w:tcPr>
            <w:tcW w:w="1257"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sidRPr="00597A88">
              <w:rPr>
                <w:rFonts w:ascii="Times New Roman" w:hAnsi="Times New Roman"/>
                <w:sz w:val="24"/>
                <w:szCs w:val="24"/>
              </w:rPr>
              <w:t>R$/m³</w:t>
            </w:r>
          </w:p>
        </w:tc>
        <w:tc>
          <w:tcPr>
            <w:tcW w:w="1278"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sidRPr="00597A88">
              <w:rPr>
                <w:rFonts w:ascii="Times New Roman" w:hAnsi="Times New Roman"/>
                <w:sz w:val="24"/>
                <w:szCs w:val="24"/>
              </w:rPr>
              <w:t>Faixa (m³)</w:t>
            </w:r>
          </w:p>
        </w:tc>
        <w:tc>
          <w:tcPr>
            <w:tcW w:w="864"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sidRPr="00597A88">
              <w:rPr>
                <w:rFonts w:ascii="Times New Roman" w:hAnsi="Times New Roman"/>
                <w:sz w:val="24"/>
                <w:szCs w:val="24"/>
              </w:rPr>
              <w:t>R$/m³</w:t>
            </w:r>
          </w:p>
        </w:tc>
        <w:tc>
          <w:tcPr>
            <w:tcW w:w="1649"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sidRPr="00597A88">
              <w:rPr>
                <w:rFonts w:ascii="Times New Roman" w:hAnsi="Times New Roman"/>
                <w:sz w:val="24"/>
                <w:szCs w:val="24"/>
              </w:rPr>
              <w:t>Faixa (m³)</w:t>
            </w:r>
          </w:p>
        </w:tc>
        <w:tc>
          <w:tcPr>
            <w:tcW w:w="761"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sidRPr="00597A88">
              <w:rPr>
                <w:rFonts w:ascii="Times New Roman" w:hAnsi="Times New Roman"/>
                <w:sz w:val="24"/>
                <w:szCs w:val="24"/>
              </w:rPr>
              <w:t>R$/m³</w:t>
            </w:r>
          </w:p>
        </w:tc>
      </w:tr>
      <w:tr w:rsidR="00E32574" w:rsidRPr="00202B64" w:rsidTr="00E32574">
        <w:trPr>
          <w:cantSplit/>
        </w:trPr>
        <w:tc>
          <w:tcPr>
            <w:tcW w:w="1250"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0 - 15</w:t>
            </w:r>
          </w:p>
        </w:tc>
        <w:tc>
          <w:tcPr>
            <w:tcW w:w="1254"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1,411</w:t>
            </w:r>
          </w:p>
        </w:tc>
        <w:tc>
          <w:tcPr>
            <w:tcW w:w="1255"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0 - 15</w:t>
            </w:r>
          </w:p>
        </w:tc>
        <w:tc>
          <w:tcPr>
            <w:tcW w:w="1257"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3,059</w:t>
            </w:r>
          </w:p>
        </w:tc>
        <w:tc>
          <w:tcPr>
            <w:tcW w:w="1278"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864"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1649"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0 - 40</w:t>
            </w:r>
          </w:p>
        </w:tc>
        <w:tc>
          <w:tcPr>
            <w:tcW w:w="761"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5,901</w:t>
            </w:r>
          </w:p>
        </w:tc>
      </w:tr>
      <w:tr w:rsidR="00E32574" w:rsidRPr="00202B64" w:rsidTr="00E32574">
        <w:trPr>
          <w:cantSplit/>
        </w:trPr>
        <w:tc>
          <w:tcPr>
            <w:tcW w:w="1250" w:type="dxa"/>
            <w:shd w:val="clear" w:color="auto" w:fill="FFFFFF"/>
          </w:tcPr>
          <w:p w:rsidR="00E32574"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16 - 20</w:t>
            </w:r>
          </w:p>
        </w:tc>
        <w:tc>
          <w:tcPr>
            <w:tcW w:w="1254" w:type="dxa"/>
            <w:shd w:val="clear" w:color="auto" w:fill="FFFFFF"/>
          </w:tcPr>
          <w:p w:rsidR="00E32574"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2,352</w:t>
            </w:r>
          </w:p>
        </w:tc>
        <w:tc>
          <w:tcPr>
            <w:tcW w:w="1255"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16 - 999</w:t>
            </w:r>
          </w:p>
        </w:tc>
        <w:tc>
          <w:tcPr>
            <w:tcW w:w="1257"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3,881</w:t>
            </w:r>
          </w:p>
        </w:tc>
        <w:tc>
          <w:tcPr>
            <w:tcW w:w="1278"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p>
        </w:tc>
        <w:tc>
          <w:tcPr>
            <w:tcW w:w="864"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p>
        </w:tc>
        <w:tc>
          <w:tcPr>
            <w:tcW w:w="1649"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41 - 999</w:t>
            </w:r>
          </w:p>
        </w:tc>
        <w:tc>
          <w:tcPr>
            <w:tcW w:w="761"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7,058</w:t>
            </w:r>
          </w:p>
        </w:tc>
      </w:tr>
      <w:tr w:rsidR="00E32574" w:rsidRPr="00202B64" w:rsidTr="00E32574">
        <w:trPr>
          <w:cantSplit/>
        </w:trPr>
        <w:tc>
          <w:tcPr>
            <w:tcW w:w="1250" w:type="dxa"/>
            <w:shd w:val="clear" w:color="auto" w:fill="FFFFFF"/>
          </w:tcPr>
          <w:p w:rsidR="00E32574"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21 - 30</w:t>
            </w:r>
          </w:p>
        </w:tc>
        <w:tc>
          <w:tcPr>
            <w:tcW w:w="1254" w:type="dxa"/>
            <w:shd w:val="clear" w:color="auto" w:fill="FFFFFF"/>
          </w:tcPr>
          <w:p w:rsidR="00E32574"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2,628</w:t>
            </w:r>
          </w:p>
        </w:tc>
        <w:tc>
          <w:tcPr>
            <w:tcW w:w="1255"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1257"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1278"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864"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1649"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761"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r>
      <w:tr w:rsidR="00E32574" w:rsidRPr="00202B64" w:rsidTr="00E32574">
        <w:trPr>
          <w:cantSplit/>
        </w:trPr>
        <w:tc>
          <w:tcPr>
            <w:tcW w:w="1250" w:type="dxa"/>
            <w:shd w:val="clear" w:color="auto" w:fill="FFFFFF"/>
          </w:tcPr>
          <w:p w:rsidR="00E32574"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31 - 40</w:t>
            </w:r>
          </w:p>
        </w:tc>
        <w:tc>
          <w:tcPr>
            <w:tcW w:w="1254" w:type="dxa"/>
            <w:shd w:val="clear" w:color="auto" w:fill="FFFFFF"/>
          </w:tcPr>
          <w:p w:rsidR="00E32574"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2,941</w:t>
            </w:r>
          </w:p>
        </w:tc>
        <w:tc>
          <w:tcPr>
            <w:tcW w:w="1255"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1257"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1278"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864"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1649"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761"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r>
      <w:tr w:rsidR="00E32574" w:rsidRPr="00202B64" w:rsidTr="00E32574">
        <w:trPr>
          <w:cantSplit/>
        </w:trPr>
        <w:tc>
          <w:tcPr>
            <w:tcW w:w="1250" w:type="dxa"/>
            <w:shd w:val="clear" w:color="auto" w:fill="FFFFFF"/>
          </w:tcPr>
          <w:p w:rsidR="00E32574"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41 - 999</w:t>
            </w:r>
          </w:p>
        </w:tc>
        <w:tc>
          <w:tcPr>
            <w:tcW w:w="1254" w:type="dxa"/>
            <w:shd w:val="clear" w:color="auto" w:fill="FFFFFF"/>
          </w:tcPr>
          <w:p w:rsidR="00E32574"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3,332</w:t>
            </w:r>
          </w:p>
        </w:tc>
        <w:tc>
          <w:tcPr>
            <w:tcW w:w="1255"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1257"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1278"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864"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1649"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c>
          <w:tcPr>
            <w:tcW w:w="761" w:type="dxa"/>
            <w:shd w:val="clear" w:color="auto" w:fill="FFFFFF"/>
          </w:tcPr>
          <w:p w:rsidR="00E32574" w:rsidRPr="00597A88" w:rsidRDefault="00E32574" w:rsidP="00092E15">
            <w:pPr>
              <w:pStyle w:val="Tabela"/>
              <w:numPr>
                <w:ilvl w:val="0"/>
                <w:numId w:val="0"/>
              </w:numPr>
              <w:spacing w:before="120" w:after="120"/>
              <w:jc w:val="center"/>
              <w:rPr>
                <w:rFonts w:ascii="Times New Roman" w:hAnsi="Times New Roman"/>
                <w:sz w:val="24"/>
                <w:szCs w:val="24"/>
              </w:rPr>
            </w:pPr>
            <w:r>
              <w:rPr>
                <w:rFonts w:ascii="Times New Roman" w:hAnsi="Times New Roman"/>
                <w:sz w:val="24"/>
                <w:szCs w:val="24"/>
              </w:rPr>
              <w:t>-</w:t>
            </w:r>
          </w:p>
        </w:tc>
      </w:tr>
    </w:tbl>
    <w:p w:rsidR="00E32574" w:rsidRPr="00082391" w:rsidRDefault="00E32574" w:rsidP="008C148B">
      <w:pPr>
        <w:pStyle w:val="Fonte"/>
        <w:rPr>
          <w:lang w:eastAsia="pt-BR"/>
        </w:rPr>
      </w:pPr>
      <w:r w:rsidRPr="00082391">
        <w:rPr>
          <w:lang w:eastAsia="pt-BR"/>
        </w:rPr>
        <w:t>Fonte: SAAE, 2013.</w:t>
      </w:r>
    </w:p>
    <w:p w:rsidR="00E32574" w:rsidRDefault="00E32574" w:rsidP="00E32574">
      <w:pPr>
        <w:pStyle w:val="CM71"/>
        <w:spacing w:line="360" w:lineRule="auto"/>
        <w:ind w:firstLine="708"/>
        <w:jc w:val="both"/>
        <w:rPr>
          <w:rFonts w:ascii="Times New Roman" w:hAnsi="Times New Roman" w:cs="Times New Roman"/>
        </w:rPr>
      </w:pPr>
      <w:r w:rsidRPr="00D218C7">
        <w:rPr>
          <w:rFonts w:ascii="Times New Roman" w:hAnsi="Times New Roman" w:cs="Times New Roman"/>
        </w:rPr>
        <w:t xml:space="preserve">Segundo a Lei supracitada, a TBO varia de acordo com a categoria conforme </w:t>
      </w:r>
      <w:r w:rsidR="00092E15">
        <w:rPr>
          <w:rFonts w:ascii="Times New Roman" w:hAnsi="Times New Roman" w:cs="Times New Roman"/>
        </w:rPr>
        <w:t>o Quadro 3</w:t>
      </w:r>
      <w:r w:rsidR="004037C8">
        <w:rPr>
          <w:rFonts w:ascii="Times New Roman" w:hAnsi="Times New Roman" w:cs="Times New Roman"/>
        </w:rPr>
        <w:t>5</w:t>
      </w:r>
      <w:r w:rsidRPr="00D218C7">
        <w:rPr>
          <w:rFonts w:ascii="Times New Roman" w:hAnsi="Times New Roman" w:cs="Times New Roman"/>
        </w:rPr>
        <w:t>. Como o Artigo 92 da mesma lei estabelece que os valores da TBO serão reajustadas mediante a aprovação e autorização conforme a legislação pertinente. (SAAE, 2013).</w:t>
      </w:r>
      <w:r w:rsidRPr="00A42443">
        <w:rPr>
          <w:rFonts w:ascii="Times New Roman" w:hAnsi="Times New Roman" w:cs="Times New Roman"/>
        </w:rPr>
        <w:t xml:space="preserve"> </w:t>
      </w:r>
    </w:p>
    <w:p w:rsidR="004037C8" w:rsidRDefault="004037C8" w:rsidP="004037C8">
      <w:pPr>
        <w:autoSpaceDE w:val="0"/>
        <w:autoSpaceDN w:val="0"/>
        <w:adjustRightInd w:val="0"/>
        <w:spacing w:after="0" w:line="360" w:lineRule="auto"/>
        <w:ind w:firstLine="708"/>
        <w:jc w:val="both"/>
        <w:rPr>
          <w:szCs w:val="24"/>
          <w:lang w:eastAsia="pt-BR"/>
        </w:rPr>
      </w:pPr>
      <w:r w:rsidRPr="00ED3BED">
        <w:rPr>
          <w:szCs w:val="24"/>
          <w:lang w:eastAsia="pt-BR"/>
        </w:rPr>
        <w:t xml:space="preserve">Segundo as </w:t>
      </w:r>
      <w:r>
        <w:rPr>
          <w:szCs w:val="24"/>
          <w:lang w:eastAsia="pt-BR"/>
        </w:rPr>
        <w:t>informações levantadas pelo SAAE</w:t>
      </w:r>
      <w:r w:rsidRPr="00ED3BED">
        <w:rPr>
          <w:szCs w:val="24"/>
          <w:lang w:eastAsia="pt-BR"/>
        </w:rPr>
        <w:t xml:space="preserve"> (201</w:t>
      </w:r>
      <w:r>
        <w:rPr>
          <w:szCs w:val="24"/>
          <w:lang w:eastAsia="pt-BR"/>
        </w:rPr>
        <w:t>3</w:t>
      </w:r>
      <w:r w:rsidRPr="00ED3BED">
        <w:rPr>
          <w:szCs w:val="24"/>
          <w:lang w:eastAsia="pt-BR"/>
        </w:rPr>
        <w:t xml:space="preserve">), a tarifa média praticada no </w:t>
      </w:r>
      <w:r>
        <w:rPr>
          <w:szCs w:val="24"/>
          <w:lang w:eastAsia="pt-BR"/>
        </w:rPr>
        <w:t>ano de 2012</w:t>
      </w:r>
      <w:r w:rsidRPr="00ED3BED">
        <w:rPr>
          <w:szCs w:val="24"/>
          <w:lang w:eastAsia="pt-BR"/>
        </w:rPr>
        <w:t xml:space="preserve"> para os serviços de saneamento de </w:t>
      </w:r>
      <w:r>
        <w:rPr>
          <w:szCs w:val="24"/>
          <w:lang w:eastAsia="pt-BR"/>
        </w:rPr>
        <w:t>Aimorés foi de 2,11</w:t>
      </w:r>
      <w:r w:rsidRPr="00ED3BED">
        <w:rPr>
          <w:szCs w:val="24"/>
          <w:lang w:eastAsia="pt-BR"/>
        </w:rPr>
        <w:t xml:space="preserve"> R$/m</w:t>
      </w:r>
      <w:r>
        <w:rPr>
          <w:szCs w:val="24"/>
          <w:lang w:eastAsia="pt-BR"/>
        </w:rPr>
        <w:t>³</w:t>
      </w:r>
      <w:r w:rsidR="00E64A13">
        <w:rPr>
          <w:szCs w:val="24"/>
          <w:lang w:eastAsia="pt-BR"/>
        </w:rPr>
        <w:t xml:space="preserve"> sendo que</w:t>
      </w:r>
      <w:r w:rsidR="00E64A13" w:rsidRPr="00E64A13">
        <w:t xml:space="preserve"> </w:t>
      </w:r>
      <w:r w:rsidR="00ED7D13">
        <w:rPr>
          <w:szCs w:val="24"/>
          <w:lang w:eastAsia="pt-BR"/>
        </w:rPr>
        <w:t>f</w:t>
      </w:r>
      <w:r w:rsidR="00E64A13" w:rsidRPr="00E64A13">
        <w:rPr>
          <w:szCs w:val="24"/>
          <w:lang w:eastAsia="pt-BR"/>
        </w:rPr>
        <w:t>oram utilizados dados secundários, pois o SAAE- Aimorés não forneceu a tabela de formação desta tarifa</w:t>
      </w:r>
      <w:r w:rsidR="00ED7D13">
        <w:rPr>
          <w:szCs w:val="24"/>
          <w:lang w:eastAsia="pt-BR"/>
        </w:rPr>
        <w:t>.</w:t>
      </w:r>
      <w:r w:rsidRPr="00ED3BED">
        <w:rPr>
          <w:szCs w:val="24"/>
          <w:lang w:eastAsia="pt-BR"/>
        </w:rPr>
        <w:t xml:space="preserve"> </w:t>
      </w:r>
      <w:r>
        <w:rPr>
          <w:szCs w:val="24"/>
          <w:lang w:eastAsia="pt-BR"/>
        </w:rPr>
        <w:t>A</w:t>
      </w:r>
      <w:r w:rsidRPr="00ED3BED">
        <w:rPr>
          <w:szCs w:val="24"/>
          <w:lang w:eastAsia="pt-BR"/>
        </w:rPr>
        <w:t xml:space="preserve"> Despesa T</w:t>
      </w:r>
      <w:r>
        <w:rPr>
          <w:szCs w:val="24"/>
          <w:lang w:eastAsia="pt-BR"/>
        </w:rPr>
        <w:t>otal Média foi calculada em 2,06 R$/m³ e a Despesa de exploração por economia é de 250,58 R$/ano</w:t>
      </w:r>
      <w:r w:rsidRPr="00ED3BED">
        <w:rPr>
          <w:szCs w:val="24"/>
          <w:lang w:eastAsia="pt-BR"/>
        </w:rPr>
        <w:t>. Sendo que nestes valores, está incluído o serviço de esgotamento sanitário.</w:t>
      </w:r>
    </w:p>
    <w:p w:rsidR="008C148B" w:rsidRDefault="008C148B">
      <w:pPr>
        <w:spacing w:after="200" w:line="276" w:lineRule="auto"/>
        <w:rPr>
          <w:rFonts w:eastAsiaTheme="minorEastAsia" w:cs="Times New Roman"/>
          <w:bCs/>
          <w:szCs w:val="24"/>
          <w:lang w:eastAsia="pt-BR"/>
        </w:rPr>
      </w:pPr>
      <w:r>
        <w:br w:type="page"/>
      </w:r>
    </w:p>
    <w:p w:rsidR="00E32574" w:rsidRPr="00597A88" w:rsidRDefault="0075744C" w:rsidP="0075744C">
      <w:pPr>
        <w:pStyle w:val="Legenda"/>
        <w:rPr>
          <w:color w:val="000000"/>
        </w:rPr>
      </w:pPr>
      <w:bookmarkStart w:id="374" w:name="_Toc372740541"/>
      <w:r>
        <w:lastRenderedPageBreak/>
        <w:t xml:space="preserve">Quadro </w:t>
      </w:r>
      <w:fldSimple w:instr=" SEQ Quadro \* ARABIC ">
        <w:r w:rsidR="004F77E2">
          <w:rPr>
            <w:noProof/>
          </w:rPr>
          <w:t>35</w:t>
        </w:r>
      </w:fldSimple>
      <w:r>
        <w:t xml:space="preserve"> - D</w:t>
      </w:r>
      <w:r w:rsidRPr="008F74C4">
        <w:rPr>
          <w:noProof/>
        </w:rPr>
        <w:t>e valores das taxas cobradas pelo SAAE.</w:t>
      </w:r>
      <w:bookmarkEnd w:id="374"/>
    </w:p>
    <w:tbl>
      <w:tblPr>
        <w:tblW w:w="4516" w:type="dxa"/>
        <w:jc w:val="center"/>
        <w:tblLayout w:type="fixed"/>
        <w:tblLook w:val="0000" w:firstRow="0" w:lastRow="0" w:firstColumn="0" w:lastColumn="0" w:noHBand="0" w:noVBand="0"/>
      </w:tblPr>
      <w:tblGrid>
        <w:gridCol w:w="2600"/>
        <w:gridCol w:w="1916"/>
      </w:tblGrid>
      <w:tr w:rsidR="00E32574" w:rsidRPr="00923EB2" w:rsidTr="00E05FF5">
        <w:trPr>
          <w:trHeight w:val="485"/>
          <w:jc w:val="center"/>
        </w:trPr>
        <w:tc>
          <w:tcPr>
            <w:tcW w:w="2600" w:type="dxa"/>
            <w:tcBorders>
              <w:top w:val="single" w:sz="6" w:space="0" w:color="000000"/>
              <w:left w:val="single" w:sz="4" w:space="0" w:color="000000"/>
              <w:bottom w:val="single" w:sz="6" w:space="0" w:color="000000"/>
              <w:right w:val="single" w:sz="4" w:space="0" w:color="000000"/>
            </w:tcBorders>
            <w:shd w:val="clear" w:color="auto" w:fill="D9D9D9" w:themeFill="background1" w:themeFillShade="D9"/>
            <w:vAlign w:val="center"/>
          </w:tcPr>
          <w:p w:rsidR="00E32574" w:rsidRPr="00923EB2" w:rsidRDefault="00E32574" w:rsidP="00923EB2">
            <w:pPr>
              <w:pStyle w:val="Default"/>
              <w:spacing w:before="120" w:after="120"/>
              <w:rPr>
                <w:rFonts w:ascii="Times New Roman" w:hAnsi="Times New Roman" w:cs="Times New Roman"/>
                <w:b/>
              </w:rPr>
            </w:pPr>
            <w:r w:rsidRPr="00923EB2">
              <w:rPr>
                <w:rFonts w:ascii="Times New Roman" w:hAnsi="Times New Roman" w:cs="Times New Roman"/>
                <w:b/>
              </w:rPr>
              <w:t>Taxas</w:t>
            </w:r>
          </w:p>
        </w:tc>
        <w:tc>
          <w:tcPr>
            <w:tcW w:w="1916"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923EB2" w:rsidRDefault="00E32574" w:rsidP="00923EB2">
            <w:pPr>
              <w:pStyle w:val="Default"/>
              <w:spacing w:before="120" w:after="120"/>
              <w:jc w:val="center"/>
              <w:rPr>
                <w:rFonts w:ascii="Times New Roman" w:hAnsi="Times New Roman" w:cs="Times New Roman"/>
                <w:b/>
              </w:rPr>
            </w:pPr>
            <w:r w:rsidRPr="00923EB2">
              <w:rPr>
                <w:rFonts w:ascii="Times New Roman" w:hAnsi="Times New Roman" w:cs="Times New Roman"/>
                <w:b/>
              </w:rPr>
              <w:t>Valor (R$)</w:t>
            </w:r>
          </w:p>
        </w:tc>
      </w:tr>
      <w:tr w:rsidR="00E32574" w:rsidRPr="00202B64" w:rsidTr="00E32574">
        <w:trPr>
          <w:trHeight w:val="317"/>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923EB2">
            <w:pPr>
              <w:pStyle w:val="Default"/>
              <w:spacing w:before="120" w:after="120"/>
              <w:rPr>
                <w:rFonts w:ascii="Times New Roman" w:hAnsi="Times New Roman" w:cs="Times New Roman"/>
              </w:rPr>
            </w:pPr>
            <w:r w:rsidRPr="00202B64">
              <w:rPr>
                <w:rFonts w:ascii="Times New Roman" w:hAnsi="Times New Roman" w:cs="Times New Roman"/>
              </w:rPr>
              <w:t>Taxa de Ligação</w:t>
            </w:r>
          </w:p>
        </w:tc>
        <w:tc>
          <w:tcPr>
            <w:tcW w:w="1916"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923EB2">
            <w:pPr>
              <w:pStyle w:val="Default"/>
              <w:spacing w:before="120" w:after="120"/>
              <w:jc w:val="center"/>
              <w:rPr>
                <w:rFonts w:ascii="Times New Roman" w:hAnsi="Times New Roman" w:cs="Times New Roman"/>
              </w:rPr>
            </w:pPr>
            <w:r w:rsidRPr="00202B64">
              <w:rPr>
                <w:rFonts w:ascii="Times New Roman" w:hAnsi="Times New Roman" w:cs="Times New Roman"/>
              </w:rPr>
              <w:t>22,28</w:t>
            </w:r>
          </w:p>
        </w:tc>
      </w:tr>
      <w:tr w:rsidR="00E32574" w:rsidRPr="00202B64" w:rsidTr="00E32574">
        <w:trPr>
          <w:trHeight w:val="297"/>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923EB2">
            <w:pPr>
              <w:pStyle w:val="Default"/>
              <w:spacing w:before="120" w:after="120"/>
              <w:rPr>
                <w:rFonts w:ascii="Times New Roman" w:hAnsi="Times New Roman" w:cs="Times New Roman"/>
              </w:rPr>
            </w:pPr>
            <w:r w:rsidRPr="00202B64">
              <w:rPr>
                <w:rFonts w:ascii="Times New Roman" w:hAnsi="Times New Roman" w:cs="Times New Roman"/>
              </w:rPr>
              <w:t>Taxa de religação</w:t>
            </w:r>
          </w:p>
        </w:tc>
        <w:tc>
          <w:tcPr>
            <w:tcW w:w="1916"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923EB2">
            <w:pPr>
              <w:pStyle w:val="Default"/>
              <w:spacing w:before="120" w:after="120"/>
              <w:jc w:val="center"/>
              <w:rPr>
                <w:rFonts w:ascii="Times New Roman" w:hAnsi="Times New Roman" w:cs="Times New Roman"/>
              </w:rPr>
            </w:pPr>
            <w:r w:rsidRPr="00202B64">
              <w:rPr>
                <w:rFonts w:ascii="Times New Roman" w:hAnsi="Times New Roman" w:cs="Times New Roman"/>
              </w:rPr>
              <w:t>10,78</w:t>
            </w:r>
          </w:p>
        </w:tc>
      </w:tr>
      <w:tr w:rsidR="00E32574" w:rsidRPr="00202B64" w:rsidTr="00E32574">
        <w:trPr>
          <w:trHeight w:val="322"/>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923EB2">
            <w:pPr>
              <w:pStyle w:val="Default"/>
              <w:spacing w:before="120" w:after="120"/>
              <w:rPr>
                <w:rFonts w:ascii="Times New Roman" w:hAnsi="Times New Roman" w:cs="Times New Roman"/>
              </w:rPr>
            </w:pPr>
            <w:r w:rsidRPr="00202B64">
              <w:rPr>
                <w:rFonts w:ascii="Times New Roman" w:hAnsi="Times New Roman" w:cs="Times New Roman"/>
              </w:rPr>
              <w:t>Segunda via</w:t>
            </w:r>
          </w:p>
        </w:tc>
        <w:tc>
          <w:tcPr>
            <w:tcW w:w="1916"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923EB2">
            <w:pPr>
              <w:pStyle w:val="Default"/>
              <w:spacing w:before="120" w:after="120"/>
              <w:jc w:val="center"/>
              <w:rPr>
                <w:rFonts w:ascii="Times New Roman" w:hAnsi="Times New Roman" w:cs="Times New Roman"/>
              </w:rPr>
            </w:pPr>
            <w:r w:rsidRPr="00202B64">
              <w:rPr>
                <w:rFonts w:ascii="Times New Roman" w:hAnsi="Times New Roman" w:cs="Times New Roman"/>
              </w:rPr>
              <w:t>1,64</w:t>
            </w:r>
          </w:p>
        </w:tc>
      </w:tr>
      <w:tr w:rsidR="00E32574" w:rsidRPr="00202B64" w:rsidTr="00E32574">
        <w:trPr>
          <w:trHeight w:val="335"/>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923EB2">
            <w:pPr>
              <w:pStyle w:val="Default"/>
              <w:spacing w:before="120" w:after="120"/>
              <w:rPr>
                <w:rFonts w:ascii="Times New Roman" w:hAnsi="Times New Roman" w:cs="Times New Roman"/>
              </w:rPr>
            </w:pPr>
            <w:r w:rsidRPr="00202B64">
              <w:rPr>
                <w:rFonts w:ascii="Times New Roman" w:hAnsi="Times New Roman" w:cs="Times New Roman"/>
              </w:rPr>
              <w:t>Alteração de nome</w:t>
            </w:r>
          </w:p>
        </w:tc>
        <w:tc>
          <w:tcPr>
            <w:tcW w:w="1916"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923EB2">
            <w:pPr>
              <w:pStyle w:val="Default"/>
              <w:spacing w:before="120" w:after="120"/>
              <w:jc w:val="center"/>
              <w:rPr>
                <w:rFonts w:ascii="Times New Roman" w:hAnsi="Times New Roman" w:cs="Times New Roman"/>
              </w:rPr>
            </w:pPr>
            <w:r w:rsidRPr="00202B64">
              <w:rPr>
                <w:rFonts w:ascii="Times New Roman" w:hAnsi="Times New Roman" w:cs="Times New Roman"/>
              </w:rPr>
              <w:t>1,64</w:t>
            </w:r>
          </w:p>
        </w:tc>
      </w:tr>
      <w:tr w:rsidR="00E32574" w:rsidRPr="00202B64" w:rsidTr="00E32574">
        <w:trPr>
          <w:trHeight w:val="335"/>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923EB2">
            <w:pPr>
              <w:pStyle w:val="Default"/>
              <w:spacing w:before="120" w:after="120"/>
              <w:rPr>
                <w:rFonts w:ascii="Times New Roman" w:hAnsi="Times New Roman" w:cs="Times New Roman"/>
              </w:rPr>
            </w:pPr>
            <w:r w:rsidRPr="00202B64">
              <w:rPr>
                <w:rFonts w:ascii="Times New Roman" w:hAnsi="Times New Roman" w:cs="Times New Roman"/>
              </w:rPr>
              <w:t>Mão-de-obra</w:t>
            </w:r>
          </w:p>
        </w:tc>
        <w:tc>
          <w:tcPr>
            <w:tcW w:w="1916"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923EB2">
            <w:pPr>
              <w:pStyle w:val="Default"/>
              <w:spacing w:before="120" w:after="120"/>
              <w:jc w:val="center"/>
              <w:rPr>
                <w:rFonts w:ascii="Times New Roman" w:hAnsi="Times New Roman" w:cs="Times New Roman"/>
              </w:rPr>
            </w:pPr>
            <w:r w:rsidRPr="00202B64">
              <w:rPr>
                <w:rFonts w:ascii="Times New Roman" w:hAnsi="Times New Roman" w:cs="Times New Roman"/>
              </w:rPr>
              <w:t>38,32</w:t>
            </w:r>
          </w:p>
        </w:tc>
      </w:tr>
      <w:tr w:rsidR="00E32574" w:rsidRPr="00202B64" w:rsidTr="00E32574">
        <w:trPr>
          <w:trHeight w:val="335"/>
          <w:jc w:val="center"/>
        </w:trPr>
        <w:tc>
          <w:tcPr>
            <w:tcW w:w="2600" w:type="dxa"/>
            <w:tcBorders>
              <w:top w:val="single" w:sz="6" w:space="0" w:color="000000"/>
              <w:left w:val="single" w:sz="4" w:space="0" w:color="000000"/>
              <w:bottom w:val="single" w:sz="6" w:space="0" w:color="000000"/>
              <w:right w:val="single" w:sz="4" w:space="0" w:color="000000"/>
            </w:tcBorders>
          </w:tcPr>
          <w:p w:rsidR="00E32574" w:rsidRPr="00202B64" w:rsidRDefault="00E32574" w:rsidP="00923EB2">
            <w:pPr>
              <w:pStyle w:val="Default"/>
              <w:spacing w:before="120" w:after="120"/>
              <w:rPr>
                <w:rFonts w:ascii="Times New Roman" w:hAnsi="Times New Roman" w:cs="Times New Roman"/>
              </w:rPr>
            </w:pPr>
            <w:r w:rsidRPr="00202B64">
              <w:rPr>
                <w:rFonts w:ascii="Times New Roman" w:hAnsi="Times New Roman" w:cs="Times New Roman"/>
              </w:rPr>
              <w:t>Aferição do hidrômetro</w:t>
            </w:r>
          </w:p>
        </w:tc>
        <w:tc>
          <w:tcPr>
            <w:tcW w:w="1916" w:type="dxa"/>
            <w:tcBorders>
              <w:top w:val="single" w:sz="6" w:space="0" w:color="000000"/>
              <w:left w:val="single" w:sz="4" w:space="0" w:color="000000"/>
              <w:bottom w:val="single" w:sz="6" w:space="0" w:color="000000"/>
              <w:right w:val="single" w:sz="4" w:space="0" w:color="000000"/>
            </w:tcBorders>
            <w:vAlign w:val="bottom"/>
          </w:tcPr>
          <w:p w:rsidR="00E32574" w:rsidRPr="00202B64" w:rsidRDefault="00E32574" w:rsidP="00923EB2">
            <w:pPr>
              <w:pStyle w:val="Default"/>
              <w:spacing w:before="120" w:after="120"/>
              <w:jc w:val="center"/>
              <w:rPr>
                <w:rFonts w:ascii="Times New Roman" w:hAnsi="Times New Roman" w:cs="Times New Roman"/>
              </w:rPr>
            </w:pPr>
            <w:r w:rsidRPr="00202B64">
              <w:rPr>
                <w:rFonts w:ascii="Times New Roman" w:hAnsi="Times New Roman" w:cs="Times New Roman"/>
              </w:rPr>
              <w:t>10,58</w:t>
            </w:r>
          </w:p>
        </w:tc>
      </w:tr>
    </w:tbl>
    <w:p w:rsidR="00E32574" w:rsidRPr="00082391" w:rsidRDefault="008C148B" w:rsidP="008C148B">
      <w:pPr>
        <w:pStyle w:val="Fonte"/>
        <w:ind w:left="1416"/>
        <w:rPr>
          <w:lang w:eastAsia="pt-BR"/>
        </w:rPr>
      </w:pPr>
      <w:r>
        <w:rPr>
          <w:lang w:eastAsia="pt-BR"/>
        </w:rPr>
        <w:t xml:space="preserve">            </w:t>
      </w:r>
      <w:r w:rsidR="00E32574" w:rsidRPr="00082391">
        <w:rPr>
          <w:lang w:eastAsia="pt-BR"/>
        </w:rPr>
        <w:t>Fonte: SAAE, 2013.</w:t>
      </w:r>
    </w:p>
    <w:p w:rsidR="00E32574" w:rsidRDefault="000C5DD6" w:rsidP="00971B37">
      <w:pPr>
        <w:pStyle w:val="Titulo"/>
      </w:pPr>
      <w:bookmarkStart w:id="375" w:name="_Toc372559119"/>
      <w:bookmarkStart w:id="376" w:name="_Toc372789551"/>
      <w:r>
        <w:t>11.</w:t>
      </w:r>
      <w:r w:rsidR="00E64A13">
        <w:t>9</w:t>
      </w:r>
      <w:r>
        <w:t>.6</w:t>
      </w:r>
      <w:r w:rsidR="00951ADD">
        <w:t xml:space="preserve"> </w:t>
      </w:r>
      <w:r w:rsidR="00E32574" w:rsidRPr="002D7309">
        <w:t>Qualidade</w:t>
      </w:r>
      <w:r w:rsidR="00E32574" w:rsidRPr="00082391">
        <w:t xml:space="preserve"> de Água</w:t>
      </w:r>
      <w:bookmarkEnd w:id="375"/>
      <w:bookmarkEnd w:id="376"/>
    </w:p>
    <w:p w:rsidR="00E32574" w:rsidRPr="00953F69" w:rsidRDefault="00E32574" w:rsidP="00923EB2">
      <w:pPr>
        <w:pStyle w:val="CM71"/>
        <w:spacing w:line="360" w:lineRule="auto"/>
        <w:ind w:firstLine="709"/>
        <w:jc w:val="both"/>
        <w:rPr>
          <w:rFonts w:ascii="Times New Roman" w:hAnsi="Times New Roman" w:cs="Times New Roman"/>
        </w:rPr>
      </w:pPr>
      <w:r w:rsidRPr="00953F69">
        <w:rPr>
          <w:rFonts w:ascii="Times New Roman" w:hAnsi="Times New Roman" w:cs="Times New Roman"/>
        </w:rPr>
        <w:t xml:space="preserve">A água é vital para os seres vivos e de inquestionável </w:t>
      </w:r>
      <w:r w:rsidR="00923EB2">
        <w:rPr>
          <w:rFonts w:ascii="Times New Roman" w:hAnsi="Times New Roman" w:cs="Times New Roman"/>
        </w:rPr>
        <w:t xml:space="preserve">sua </w:t>
      </w:r>
      <w:r w:rsidRPr="00953F69">
        <w:rPr>
          <w:rFonts w:ascii="Times New Roman" w:hAnsi="Times New Roman" w:cs="Times New Roman"/>
        </w:rPr>
        <w:t xml:space="preserve">importância no que tange à Saúde Pública. Segundo a Organização Mundial de Saúde, “um quarto dos leitos existentes em todos os hospitais do mundo, é ocupado por enfermos com doenças </w:t>
      </w:r>
      <w:r>
        <w:rPr>
          <w:rFonts w:ascii="Times New Roman" w:hAnsi="Times New Roman" w:cs="Times New Roman"/>
        </w:rPr>
        <w:t>veiculadas pela água” (OMS, 2013</w:t>
      </w:r>
      <w:r w:rsidRPr="00953F69">
        <w:rPr>
          <w:rFonts w:ascii="Times New Roman" w:hAnsi="Times New Roman" w:cs="Times New Roman"/>
        </w:rPr>
        <w:t xml:space="preserve">). </w:t>
      </w:r>
    </w:p>
    <w:p w:rsidR="00E32574" w:rsidRPr="00953F69" w:rsidRDefault="00E32574" w:rsidP="00923EB2">
      <w:pPr>
        <w:pStyle w:val="CM71"/>
        <w:spacing w:line="360" w:lineRule="auto"/>
        <w:ind w:firstLine="709"/>
        <w:jc w:val="both"/>
        <w:rPr>
          <w:rFonts w:ascii="Times New Roman" w:hAnsi="Times New Roman" w:cs="Times New Roman"/>
        </w:rPr>
      </w:pPr>
      <w:r w:rsidRPr="00953F69">
        <w:rPr>
          <w:rFonts w:ascii="Times New Roman" w:hAnsi="Times New Roman" w:cs="Times New Roman"/>
        </w:rPr>
        <w:t>A boa qualidade da água é imprescindível para que ela não se torne um veículo de transmissão de diversas doenças infecciosas e parasitárias. A poluição causada por excretas (fezes e urinas) humanas e de animais (cão, gato e ratos)</w:t>
      </w:r>
      <w:r w:rsidR="00923EB2">
        <w:rPr>
          <w:rFonts w:ascii="Times New Roman" w:hAnsi="Times New Roman" w:cs="Times New Roman"/>
        </w:rPr>
        <w:t>,</w:t>
      </w:r>
      <w:r w:rsidRPr="00953F69">
        <w:rPr>
          <w:rFonts w:ascii="Times New Roman" w:hAnsi="Times New Roman" w:cs="Times New Roman"/>
        </w:rPr>
        <w:t xml:space="preserve"> é das mais graves, podendo transformar a água em um meio de propagação de doenças na população. Os efluentes que não são tratados e são lançados diretamente nos corpos hídricos têm um efeito devastador para o meio ambiente. </w:t>
      </w:r>
    </w:p>
    <w:p w:rsidR="00E32574" w:rsidRPr="00953F69" w:rsidRDefault="00E32574" w:rsidP="00923EB2">
      <w:pPr>
        <w:pStyle w:val="CM71"/>
        <w:spacing w:line="360" w:lineRule="auto"/>
        <w:ind w:firstLine="709"/>
        <w:jc w:val="both"/>
        <w:rPr>
          <w:rFonts w:ascii="Times New Roman" w:hAnsi="Times New Roman" w:cs="Times New Roman"/>
        </w:rPr>
      </w:pPr>
      <w:r w:rsidRPr="00953F69">
        <w:rPr>
          <w:rFonts w:ascii="Times New Roman" w:hAnsi="Times New Roman" w:cs="Times New Roman"/>
        </w:rPr>
        <w:t xml:space="preserve">Neste estudo considerou-se a bacia hidrográfica como unidade de gestão, dessa forma é possível entender como a má utilização dos recursos hídricos das cidades localizadas às margens de um rio numa situação de montante, provoca efeitos devastadores nas cidades localizadas às margens do mesmo rio em posição de jusante, principalmente se essa cidade tem sua captação de água para consumo humano sendo feita de maneira superficial. É possível citar um exemplo clássico o caso do rio Tietê que cruza a cidade de São Paulo que recebe todo tipo de esgoto e consequentemente carrega toda a carga de poluentes para as cidades à jusante. </w:t>
      </w:r>
    </w:p>
    <w:p w:rsidR="00E32574" w:rsidRDefault="00E32574" w:rsidP="00E32574">
      <w:pPr>
        <w:pStyle w:val="CM71"/>
        <w:spacing w:line="360" w:lineRule="auto"/>
        <w:ind w:firstLine="708"/>
        <w:jc w:val="both"/>
        <w:rPr>
          <w:sz w:val="22"/>
          <w:szCs w:val="22"/>
        </w:rPr>
      </w:pPr>
      <w:r w:rsidRPr="00953F69">
        <w:rPr>
          <w:rFonts w:ascii="Times New Roman" w:hAnsi="Times New Roman" w:cs="Times New Roman"/>
        </w:rPr>
        <w:lastRenderedPageBreak/>
        <w:t xml:space="preserve">As doenças veiculadas pela água classificam-se em: </w:t>
      </w:r>
    </w:p>
    <w:p w:rsidR="00E32574" w:rsidRPr="00953F69" w:rsidRDefault="00E32574" w:rsidP="0053477A">
      <w:pPr>
        <w:pStyle w:val="Default"/>
        <w:numPr>
          <w:ilvl w:val="0"/>
          <w:numId w:val="28"/>
        </w:numPr>
        <w:spacing w:line="360" w:lineRule="auto"/>
        <w:ind w:left="567" w:hanging="283"/>
        <w:jc w:val="both"/>
        <w:rPr>
          <w:rFonts w:ascii="Times New Roman" w:hAnsi="Times New Roman" w:cs="Times New Roman"/>
          <w:color w:val="auto"/>
        </w:rPr>
      </w:pPr>
      <w:r w:rsidRPr="00953F69">
        <w:rPr>
          <w:rFonts w:ascii="Times New Roman" w:hAnsi="Times New Roman" w:cs="Times New Roman"/>
          <w:color w:val="auto"/>
        </w:rPr>
        <w:t xml:space="preserve">Doenças de transmissão hídrica e </w:t>
      </w:r>
    </w:p>
    <w:p w:rsidR="00E32574" w:rsidRPr="00953F69" w:rsidRDefault="00E32574" w:rsidP="0053477A">
      <w:pPr>
        <w:pStyle w:val="Default"/>
        <w:numPr>
          <w:ilvl w:val="0"/>
          <w:numId w:val="28"/>
        </w:numPr>
        <w:spacing w:line="360" w:lineRule="auto"/>
        <w:ind w:left="567" w:hanging="283"/>
        <w:jc w:val="both"/>
        <w:rPr>
          <w:rFonts w:ascii="Times New Roman" w:hAnsi="Times New Roman" w:cs="Times New Roman"/>
          <w:color w:val="auto"/>
        </w:rPr>
      </w:pPr>
      <w:r w:rsidRPr="00953F69">
        <w:rPr>
          <w:rFonts w:ascii="Times New Roman" w:hAnsi="Times New Roman" w:cs="Times New Roman"/>
          <w:color w:val="auto"/>
        </w:rPr>
        <w:t xml:space="preserve">Doenças de origem hídrica. </w:t>
      </w:r>
    </w:p>
    <w:p w:rsidR="00E32574" w:rsidRPr="00953F69" w:rsidRDefault="00E32574" w:rsidP="00E32574">
      <w:pPr>
        <w:pStyle w:val="CM71"/>
        <w:spacing w:line="360" w:lineRule="auto"/>
        <w:ind w:firstLine="708"/>
        <w:jc w:val="both"/>
        <w:rPr>
          <w:rFonts w:ascii="Times New Roman" w:hAnsi="Times New Roman" w:cs="Times New Roman"/>
        </w:rPr>
      </w:pPr>
      <w:r w:rsidRPr="00953F69">
        <w:rPr>
          <w:rFonts w:ascii="Times New Roman" w:hAnsi="Times New Roman" w:cs="Times New Roman"/>
        </w:rPr>
        <w:t>As doenças de transmissão hídrica são aquelas causadas por microrganismos patogênicos veiculados pela água</w:t>
      </w:r>
      <w:r w:rsidR="00923EB2">
        <w:rPr>
          <w:rFonts w:ascii="Times New Roman" w:hAnsi="Times New Roman" w:cs="Times New Roman"/>
        </w:rPr>
        <w:t>,</w:t>
      </w:r>
      <w:r w:rsidRPr="00953F69">
        <w:rPr>
          <w:rFonts w:ascii="Times New Roman" w:hAnsi="Times New Roman" w:cs="Times New Roman"/>
        </w:rPr>
        <w:t xml:space="preserve"> oriundos de excretas (fezes e urinas) de pessoas e animais infectados. </w:t>
      </w:r>
    </w:p>
    <w:p w:rsidR="00E32574" w:rsidRDefault="00E32574" w:rsidP="00E32574">
      <w:pPr>
        <w:pStyle w:val="CM71"/>
        <w:spacing w:line="360" w:lineRule="auto"/>
        <w:ind w:firstLine="708"/>
        <w:jc w:val="both"/>
        <w:rPr>
          <w:sz w:val="22"/>
          <w:szCs w:val="22"/>
        </w:rPr>
      </w:pPr>
      <w:r w:rsidRPr="00953F69">
        <w:rPr>
          <w:rFonts w:ascii="Times New Roman" w:hAnsi="Times New Roman" w:cs="Times New Roman"/>
        </w:rPr>
        <w:t xml:space="preserve">Dentre os microrganismos patogênicos veiculados pela água estão: </w:t>
      </w:r>
    </w:p>
    <w:p w:rsidR="00E32574" w:rsidRPr="00953F69" w:rsidRDefault="00E32574" w:rsidP="0053477A">
      <w:pPr>
        <w:pStyle w:val="Default"/>
        <w:numPr>
          <w:ilvl w:val="0"/>
          <w:numId w:val="29"/>
        </w:numPr>
        <w:spacing w:line="360" w:lineRule="auto"/>
        <w:ind w:left="567" w:hanging="283"/>
        <w:jc w:val="both"/>
        <w:rPr>
          <w:rFonts w:ascii="Times New Roman" w:hAnsi="Times New Roman" w:cs="Times New Roman"/>
          <w:color w:val="auto"/>
        </w:rPr>
      </w:pPr>
      <w:r w:rsidRPr="00953F69">
        <w:rPr>
          <w:rFonts w:ascii="Times New Roman" w:hAnsi="Times New Roman" w:cs="Times New Roman"/>
          <w:color w:val="auto"/>
        </w:rPr>
        <w:t xml:space="preserve">Vírus – hepatite viral do tipo A; </w:t>
      </w:r>
    </w:p>
    <w:p w:rsidR="00E32574" w:rsidRPr="00953F69" w:rsidRDefault="00E32574" w:rsidP="0053477A">
      <w:pPr>
        <w:pStyle w:val="Default"/>
        <w:numPr>
          <w:ilvl w:val="0"/>
          <w:numId w:val="29"/>
        </w:numPr>
        <w:spacing w:line="360" w:lineRule="auto"/>
        <w:ind w:left="567" w:hanging="283"/>
        <w:jc w:val="both"/>
        <w:rPr>
          <w:rFonts w:ascii="Times New Roman" w:hAnsi="Times New Roman" w:cs="Times New Roman"/>
          <w:color w:val="auto"/>
        </w:rPr>
      </w:pPr>
      <w:r w:rsidRPr="00953F69">
        <w:rPr>
          <w:rFonts w:ascii="Times New Roman" w:hAnsi="Times New Roman" w:cs="Times New Roman"/>
          <w:color w:val="auto"/>
        </w:rPr>
        <w:t xml:space="preserve">Bactérias – febre </w:t>
      </w:r>
      <w:r w:rsidR="00C21828" w:rsidRPr="00953F69">
        <w:rPr>
          <w:rFonts w:ascii="Times New Roman" w:hAnsi="Times New Roman" w:cs="Times New Roman"/>
          <w:color w:val="auto"/>
        </w:rPr>
        <w:t>tifoide</w:t>
      </w:r>
      <w:r w:rsidRPr="00953F69">
        <w:rPr>
          <w:rFonts w:ascii="Times New Roman" w:hAnsi="Times New Roman" w:cs="Times New Roman"/>
          <w:color w:val="auto"/>
        </w:rPr>
        <w:t xml:space="preserve">; disenteria bacilar; cólera e leptospirose; </w:t>
      </w:r>
    </w:p>
    <w:p w:rsidR="00E32574" w:rsidRPr="00953F69" w:rsidRDefault="00E32574" w:rsidP="0053477A">
      <w:pPr>
        <w:pStyle w:val="Default"/>
        <w:numPr>
          <w:ilvl w:val="0"/>
          <w:numId w:val="29"/>
        </w:numPr>
        <w:spacing w:line="360" w:lineRule="auto"/>
        <w:ind w:left="567" w:hanging="283"/>
        <w:jc w:val="both"/>
        <w:rPr>
          <w:rFonts w:ascii="Times New Roman" w:hAnsi="Times New Roman" w:cs="Times New Roman"/>
          <w:color w:val="auto"/>
        </w:rPr>
      </w:pPr>
      <w:r w:rsidRPr="00953F69">
        <w:rPr>
          <w:rFonts w:ascii="Times New Roman" w:hAnsi="Times New Roman" w:cs="Times New Roman"/>
          <w:color w:val="auto"/>
        </w:rPr>
        <w:t xml:space="preserve">Protozoários – amebíase ou disenteria amebiana; </w:t>
      </w:r>
    </w:p>
    <w:p w:rsidR="00E32574" w:rsidRPr="00953F69" w:rsidRDefault="00E32574" w:rsidP="0053477A">
      <w:pPr>
        <w:pStyle w:val="Default"/>
        <w:numPr>
          <w:ilvl w:val="0"/>
          <w:numId w:val="29"/>
        </w:numPr>
        <w:spacing w:line="360" w:lineRule="auto"/>
        <w:ind w:left="567" w:hanging="283"/>
        <w:jc w:val="both"/>
        <w:rPr>
          <w:rFonts w:ascii="Times New Roman" w:hAnsi="Times New Roman" w:cs="Times New Roman"/>
          <w:color w:val="auto"/>
        </w:rPr>
      </w:pPr>
      <w:r w:rsidRPr="00953F69">
        <w:rPr>
          <w:rFonts w:ascii="Times New Roman" w:hAnsi="Times New Roman" w:cs="Times New Roman"/>
          <w:color w:val="auto"/>
        </w:rPr>
        <w:t xml:space="preserve">Vermes (helmintos) e larvas – esquistossomose. </w:t>
      </w:r>
    </w:p>
    <w:p w:rsidR="00E32574" w:rsidRPr="00953F69" w:rsidRDefault="00E32574" w:rsidP="00E32574">
      <w:pPr>
        <w:pStyle w:val="CM71"/>
        <w:spacing w:line="360" w:lineRule="auto"/>
        <w:ind w:firstLine="708"/>
        <w:jc w:val="both"/>
        <w:rPr>
          <w:rFonts w:ascii="Times New Roman" w:hAnsi="Times New Roman" w:cs="Times New Roman"/>
        </w:rPr>
      </w:pPr>
      <w:r w:rsidRPr="00953F69">
        <w:rPr>
          <w:rFonts w:ascii="Times New Roman" w:hAnsi="Times New Roman" w:cs="Times New Roman"/>
        </w:rPr>
        <w:t xml:space="preserve">A falta de saneamento interfere na qualidade de vida da população e até mesmo no desenvolvimento do país. A maioria das doenças relacionadas com o saneamento são de fácil prevenção, mas causam muitas mortes, como o caso da </w:t>
      </w:r>
      <w:r w:rsidR="00C21828" w:rsidRPr="00953F69">
        <w:rPr>
          <w:rFonts w:ascii="Times New Roman" w:hAnsi="Times New Roman" w:cs="Times New Roman"/>
        </w:rPr>
        <w:t>diarreia</w:t>
      </w:r>
      <w:r w:rsidRPr="00953F69">
        <w:rPr>
          <w:rFonts w:ascii="Times New Roman" w:hAnsi="Times New Roman" w:cs="Times New Roman"/>
        </w:rPr>
        <w:t xml:space="preserve"> entre crianças menores de cinco anos no Brasil. Os índices de mortalidade infantil também estão associados ao acesso a serviços de água, esgoto e destino adequado do lixo (SANEPAR, 2012). </w:t>
      </w:r>
    </w:p>
    <w:p w:rsidR="00E32574" w:rsidRPr="00953F69" w:rsidRDefault="00E32574" w:rsidP="00E32574">
      <w:pPr>
        <w:pStyle w:val="CM71"/>
        <w:spacing w:line="360" w:lineRule="auto"/>
        <w:ind w:firstLine="708"/>
        <w:jc w:val="both"/>
        <w:rPr>
          <w:rFonts w:ascii="Times New Roman" w:hAnsi="Times New Roman" w:cs="Times New Roman"/>
        </w:rPr>
      </w:pPr>
      <w:r w:rsidRPr="00953F69">
        <w:rPr>
          <w:rFonts w:ascii="Times New Roman" w:hAnsi="Times New Roman" w:cs="Times New Roman"/>
        </w:rPr>
        <w:t xml:space="preserve">As doenças são transmitidas pelo contato ou ingestão de água contaminada, contato da pele com o solo e lixo contaminados. A presença de esgoto, água parada, resíduos sólidos, rios poluídos e outros problemas também contribuem para o aparecimento de insetos e parasitas que podem transmitir doenças. </w:t>
      </w:r>
    </w:p>
    <w:p w:rsidR="00E32574" w:rsidRPr="00953F69" w:rsidRDefault="00E32574" w:rsidP="00E32574">
      <w:pPr>
        <w:pStyle w:val="CM71"/>
        <w:spacing w:line="360" w:lineRule="auto"/>
        <w:ind w:firstLine="708"/>
        <w:jc w:val="both"/>
        <w:rPr>
          <w:rFonts w:ascii="Times New Roman" w:hAnsi="Times New Roman" w:cs="Times New Roman"/>
        </w:rPr>
      </w:pPr>
      <w:r w:rsidRPr="00953F69">
        <w:rPr>
          <w:rFonts w:ascii="Times New Roman" w:hAnsi="Times New Roman" w:cs="Times New Roman"/>
        </w:rPr>
        <w:t xml:space="preserve">É importante lembrar que os custos com prevenção dessas doenças são menores do que os que se tem com a cura e a perda de vidas por causa delas. </w:t>
      </w:r>
    </w:p>
    <w:p w:rsidR="00E32574" w:rsidRDefault="00E32574" w:rsidP="00E32574">
      <w:pPr>
        <w:pStyle w:val="CM71"/>
        <w:spacing w:line="360" w:lineRule="auto"/>
        <w:ind w:firstLine="708"/>
        <w:jc w:val="both"/>
        <w:rPr>
          <w:rFonts w:ascii="Times New Roman" w:hAnsi="Times New Roman" w:cs="Times New Roman"/>
        </w:rPr>
      </w:pPr>
      <w:r w:rsidRPr="00953F69">
        <w:rPr>
          <w:rFonts w:ascii="Times New Roman" w:hAnsi="Times New Roman" w:cs="Times New Roman"/>
        </w:rPr>
        <w:t>Segundo dados disponibilizados pela Secretaria Municipal de Saúde de Aimorés (</w:t>
      </w:r>
      <w:r w:rsidR="00923EB2">
        <w:rPr>
          <w:rFonts w:ascii="Times New Roman" w:hAnsi="Times New Roman" w:cs="Times New Roman"/>
        </w:rPr>
        <w:t>Quadro 37</w:t>
      </w:r>
      <w:r w:rsidRPr="00953F69">
        <w:rPr>
          <w:rFonts w:ascii="Times New Roman" w:hAnsi="Times New Roman" w:cs="Times New Roman"/>
        </w:rPr>
        <w:t>), os principais casos de doenças diagnosticadas no município</w:t>
      </w:r>
      <w:r>
        <w:rPr>
          <w:rFonts w:ascii="Times New Roman" w:hAnsi="Times New Roman" w:cs="Times New Roman"/>
        </w:rPr>
        <w:t xml:space="preserve"> em 2012</w:t>
      </w:r>
      <w:r w:rsidRPr="00953F69">
        <w:rPr>
          <w:rFonts w:ascii="Times New Roman" w:hAnsi="Times New Roman" w:cs="Times New Roman"/>
        </w:rPr>
        <w:t xml:space="preserve"> </w:t>
      </w:r>
      <w:r>
        <w:rPr>
          <w:rFonts w:ascii="Times New Roman" w:hAnsi="Times New Roman" w:cs="Times New Roman"/>
        </w:rPr>
        <w:t>foram</w:t>
      </w:r>
      <w:r w:rsidRPr="00953F69">
        <w:rPr>
          <w:rFonts w:ascii="Times New Roman" w:hAnsi="Times New Roman" w:cs="Times New Roman"/>
        </w:rPr>
        <w:t xml:space="preserve">: meningite com </w:t>
      </w:r>
      <w:r>
        <w:rPr>
          <w:rFonts w:ascii="Times New Roman" w:hAnsi="Times New Roman" w:cs="Times New Roman"/>
        </w:rPr>
        <w:t>dois</w:t>
      </w:r>
      <w:r w:rsidRPr="00953F69">
        <w:rPr>
          <w:rFonts w:ascii="Times New Roman" w:hAnsi="Times New Roman" w:cs="Times New Roman"/>
        </w:rPr>
        <w:t xml:space="preserve"> casos, hepatites virais com </w:t>
      </w:r>
      <w:r>
        <w:rPr>
          <w:rFonts w:ascii="Times New Roman" w:hAnsi="Times New Roman" w:cs="Times New Roman"/>
        </w:rPr>
        <w:t>trinta e nove casos e leptospirose com quatro casos</w:t>
      </w:r>
      <w:r w:rsidR="00770677">
        <w:rPr>
          <w:rFonts w:ascii="Times New Roman" w:hAnsi="Times New Roman" w:cs="Times New Roman"/>
        </w:rPr>
        <w:t xml:space="preserve"> </w:t>
      </w:r>
      <w:r w:rsidR="00770677" w:rsidRPr="00953F69">
        <w:rPr>
          <w:rFonts w:ascii="Times New Roman" w:hAnsi="Times New Roman" w:cs="Times New Roman"/>
        </w:rPr>
        <w:t>febre amarela e a malária (COPASA, 2012). Como pode-se observar n</w:t>
      </w:r>
      <w:r w:rsidR="007B426E">
        <w:rPr>
          <w:rFonts w:ascii="Times New Roman" w:hAnsi="Times New Roman" w:cs="Times New Roman"/>
        </w:rPr>
        <w:t>o</w:t>
      </w:r>
      <w:r w:rsidR="00770677" w:rsidRPr="00953F69">
        <w:rPr>
          <w:rFonts w:ascii="Times New Roman" w:hAnsi="Times New Roman" w:cs="Times New Roman"/>
        </w:rPr>
        <w:t xml:space="preserve"> </w:t>
      </w:r>
      <w:r w:rsidR="007B426E">
        <w:rPr>
          <w:rFonts w:ascii="Times New Roman" w:hAnsi="Times New Roman" w:cs="Times New Roman"/>
        </w:rPr>
        <w:t>Quadro 3</w:t>
      </w:r>
      <w:r w:rsidR="004037C8">
        <w:rPr>
          <w:rFonts w:ascii="Times New Roman" w:hAnsi="Times New Roman" w:cs="Times New Roman"/>
        </w:rPr>
        <w:t>6</w:t>
      </w:r>
      <w:r w:rsidR="00770677" w:rsidRPr="00953F69">
        <w:rPr>
          <w:rFonts w:ascii="Times New Roman" w:hAnsi="Times New Roman" w:cs="Times New Roman"/>
        </w:rPr>
        <w:t xml:space="preserve">, a esquistossomose e a </w:t>
      </w:r>
      <w:r w:rsidR="00770677" w:rsidRPr="006F4141">
        <w:rPr>
          <w:rFonts w:ascii="Times New Roman" w:hAnsi="Times New Roman" w:cs="Times New Roman"/>
          <w:color w:val="000000"/>
          <w:szCs w:val="20"/>
        </w:rPr>
        <w:t>leishmaniose visceral</w:t>
      </w:r>
      <w:r w:rsidR="00770677" w:rsidRPr="006F4141">
        <w:rPr>
          <w:rFonts w:ascii="Times New Roman" w:hAnsi="Times New Roman" w:cs="Times New Roman"/>
          <w:sz w:val="32"/>
        </w:rPr>
        <w:t xml:space="preserve"> </w:t>
      </w:r>
      <w:r w:rsidR="00770677" w:rsidRPr="00953F69">
        <w:rPr>
          <w:rFonts w:ascii="Times New Roman" w:hAnsi="Times New Roman" w:cs="Times New Roman"/>
        </w:rPr>
        <w:t>são as doenças de maior ocorrência no</w:t>
      </w:r>
      <w:r w:rsidR="00770677">
        <w:rPr>
          <w:rFonts w:ascii="Times New Roman" w:hAnsi="Times New Roman" w:cs="Times New Roman"/>
        </w:rPr>
        <w:t xml:space="preserve"> Município</w:t>
      </w:r>
      <w:r>
        <w:rPr>
          <w:rFonts w:ascii="Times New Roman" w:hAnsi="Times New Roman" w:cs="Times New Roman"/>
        </w:rPr>
        <w:t>.</w:t>
      </w:r>
    </w:p>
    <w:p w:rsidR="00B244CE" w:rsidRPr="00B244CE" w:rsidRDefault="00B244CE" w:rsidP="00B244CE">
      <w:pPr>
        <w:rPr>
          <w:lang w:eastAsia="pt-BR"/>
        </w:rPr>
      </w:pPr>
    </w:p>
    <w:p w:rsidR="002D7309" w:rsidRPr="00C77BF3" w:rsidRDefault="00C77BF3" w:rsidP="002D7309">
      <w:pPr>
        <w:pStyle w:val="TituloTabelas"/>
        <w:spacing w:before="120" w:after="120"/>
        <w:jc w:val="center"/>
        <w:rPr>
          <w:b/>
        </w:rPr>
      </w:pPr>
      <w:bookmarkStart w:id="377" w:name="_Toc372740542"/>
      <w:bookmarkStart w:id="378" w:name="_Toc372117282"/>
      <w:r w:rsidRPr="00C77BF3">
        <w:rPr>
          <w:b/>
        </w:rPr>
        <w:lastRenderedPageBreak/>
        <w:t xml:space="preserve">Quadro </w:t>
      </w:r>
      <w:r w:rsidR="00B16C6C" w:rsidRPr="00C77BF3">
        <w:rPr>
          <w:b/>
        </w:rPr>
        <w:fldChar w:fldCharType="begin"/>
      </w:r>
      <w:r w:rsidRPr="00C77BF3">
        <w:rPr>
          <w:b/>
        </w:rPr>
        <w:instrText xml:space="preserve"> SEQ Quadro \* ARABIC </w:instrText>
      </w:r>
      <w:r w:rsidR="00B16C6C" w:rsidRPr="00C77BF3">
        <w:rPr>
          <w:b/>
        </w:rPr>
        <w:fldChar w:fldCharType="separate"/>
      </w:r>
      <w:r w:rsidR="004F77E2">
        <w:rPr>
          <w:b/>
          <w:noProof/>
        </w:rPr>
        <w:t>36</w:t>
      </w:r>
      <w:r w:rsidR="00B16C6C" w:rsidRPr="00C77BF3">
        <w:rPr>
          <w:b/>
        </w:rPr>
        <w:fldChar w:fldCharType="end"/>
      </w:r>
      <w:r w:rsidRPr="00C77BF3">
        <w:rPr>
          <w:b/>
        </w:rPr>
        <w:t xml:space="preserve"> - </w:t>
      </w:r>
      <w:r w:rsidRPr="00C77BF3">
        <w:rPr>
          <w:b/>
          <w:noProof/>
        </w:rPr>
        <w:t>Notificação no SINAN por Ano 2005 a 2012 - Aimorés</w:t>
      </w:r>
      <w:bookmarkEnd w:id="377"/>
    </w:p>
    <w:p w:rsidR="002D7309" w:rsidRPr="00C77BF3" w:rsidRDefault="002D7309" w:rsidP="00C77BF3">
      <w:pPr>
        <w:pStyle w:val="Legenda"/>
        <w:spacing w:after="0"/>
        <w:rPr>
          <w:b w:val="0"/>
          <w:sz w:val="16"/>
          <w:szCs w:val="16"/>
        </w:rPr>
      </w:pPr>
    </w:p>
    <w:tbl>
      <w:tblPr>
        <w:tblpPr w:leftFromText="141" w:rightFromText="141" w:vertAnchor="page" w:horzAnchor="margin" w:tblpXSpec="center" w:tblpY="2281"/>
        <w:tblW w:w="75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3229"/>
        <w:gridCol w:w="546"/>
        <w:gridCol w:w="546"/>
        <w:gridCol w:w="546"/>
        <w:gridCol w:w="546"/>
        <w:gridCol w:w="546"/>
        <w:gridCol w:w="546"/>
        <w:gridCol w:w="546"/>
        <w:gridCol w:w="546"/>
      </w:tblGrid>
      <w:tr w:rsidR="002D7309" w:rsidRPr="00202B64" w:rsidTr="002D7309">
        <w:trPr>
          <w:trHeight w:val="397"/>
        </w:trPr>
        <w:tc>
          <w:tcPr>
            <w:tcW w:w="7597" w:type="dxa"/>
            <w:gridSpan w:val="9"/>
            <w:shd w:val="clear" w:color="auto" w:fill="D9D9D9" w:themeFill="background1" w:themeFillShade="D9"/>
            <w:noWrap/>
            <w:vAlign w:val="center"/>
          </w:tcPr>
          <w:p w:rsidR="002D7309" w:rsidRPr="00770677" w:rsidRDefault="002D7309" w:rsidP="002D7309">
            <w:pPr>
              <w:spacing w:before="120" w:after="120" w:line="240" w:lineRule="auto"/>
              <w:jc w:val="center"/>
              <w:rPr>
                <w:b/>
                <w:color w:val="000000"/>
                <w:sz w:val="20"/>
                <w:szCs w:val="20"/>
              </w:rPr>
            </w:pPr>
            <w:r w:rsidRPr="00770677">
              <w:rPr>
                <w:b/>
                <w:color w:val="000000"/>
                <w:sz w:val="20"/>
                <w:szCs w:val="20"/>
              </w:rPr>
              <w:t>NOTIFICAÇÃO INDIVIDUAL – Sinan-Net</w:t>
            </w:r>
          </w:p>
        </w:tc>
      </w:tr>
      <w:tr w:rsidR="002D7309" w:rsidRPr="00202B64" w:rsidTr="002D7309">
        <w:trPr>
          <w:trHeight w:val="624"/>
        </w:trPr>
        <w:tc>
          <w:tcPr>
            <w:tcW w:w="3229" w:type="dxa"/>
            <w:vMerge w:val="restart"/>
            <w:shd w:val="clear" w:color="auto" w:fill="D9D9D9" w:themeFill="background1" w:themeFillShade="D9"/>
            <w:noWrap/>
            <w:vAlign w:val="center"/>
          </w:tcPr>
          <w:p w:rsidR="002D7309" w:rsidRPr="00770677" w:rsidRDefault="002D7309" w:rsidP="002D7309">
            <w:pPr>
              <w:spacing w:before="120" w:after="120" w:line="240" w:lineRule="auto"/>
              <w:rPr>
                <w:b/>
                <w:color w:val="000000"/>
                <w:sz w:val="20"/>
                <w:szCs w:val="20"/>
              </w:rPr>
            </w:pPr>
            <w:r w:rsidRPr="00770677">
              <w:rPr>
                <w:b/>
                <w:color w:val="000000"/>
                <w:sz w:val="20"/>
                <w:szCs w:val="20"/>
              </w:rPr>
              <w:t>Agravos notificado</w:t>
            </w:r>
          </w:p>
        </w:tc>
        <w:tc>
          <w:tcPr>
            <w:tcW w:w="4368" w:type="dxa"/>
            <w:gridSpan w:val="8"/>
            <w:shd w:val="clear" w:color="auto" w:fill="D9D9D9" w:themeFill="background1" w:themeFillShade="D9"/>
            <w:noWrap/>
            <w:vAlign w:val="center"/>
          </w:tcPr>
          <w:p w:rsidR="002D7309" w:rsidRPr="00770677" w:rsidRDefault="002D7309" w:rsidP="002D7309">
            <w:pPr>
              <w:spacing w:before="120" w:after="120" w:line="240" w:lineRule="auto"/>
              <w:jc w:val="center"/>
              <w:rPr>
                <w:b/>
                <w:color w:val="000000"/>
                <w:sz w:val="20"/>
                <w:szCs w:val="20"/>
              </w:rPr>
            </w:pPr>
            <w:r w:rsidRPr="00770677">
              <w:rPr>
                <w:b/>
                <w:color w:val="000000"/>
                <w:sz w:val="20"/>
                <w:szCs w:val="20"/>
              </w:rPr>
              <w:t xml:space="preserve">Frequência por Ano da Notificação segundo Agravos notificado- </w:t>
            </w:r>
            <w:r w:rsidRPr="00770677">
              <w:rPr>
                <w:b/>
                <w:bCs/>
                <w:color w:val="000000"/>
                <w:sz w:val="20"/>
                <w:szCs w:val="20"/>
              </w:rPr>
              <w:t>Aimorés</w:t>
            </w:r>
          </w:p>
        </w:tc>
      </w:tr>
      <w:tr w:rsidR="002D7309" w:rsidRPr="00202B64" w:rsidTr="002D7309">
        <w:trPr>
          <w:trHeight w:val="397"/>
        </w:trPr>
        <w:tc>
          <w:tcPr>
            <w:tcW w:w="3229" w:type="dxa"/>
            <w:vMerge/>
            <w:shd w:val="clear" w:color="auto" w:fill="D9D9D9" w:themeFill="background1" w:themeFillShade="D9"/>
            <w:noWrap/>
            <w:vAlign w:val="bottom"/>
          </w:tcPr>
          <w:p w:rsidR="002D7309" w:rsidRPr="00770677" w:rsidRDefault="002D7309" w:rsidP="002D7309">
            <w:pPr>
              <w:spacing w:before="120" w:after="120" w:line="240" w:lineRule="auto"/>
              <w:rPr>
                <w:b/>
                <w:color w:val="000000"/>
                <w:sz w:val="20"/>
                <w:szCs w:val="20"/>
              </w:rPr>
            </w:pPr>
          </w:p>
        </w:tc>
        <w:tc>
          <w:tcPr>
            <w:tcW w:w="546" w:type="dxa"/>
            <w:shd w:val="clear" w:color="auto" w:fill="D9D9D9" w:themeFill="background1" w:themeFillShade="D9"/>
            <w:noWrap/>
            <w:vAlign w:val="center"/>
          </w:tcPr>
          <w:p w:rsidR="002D7309" w:rsidRPr="00770677" w:rsidRDefault="002D7309" w:rsidP="002D7309">
            <w:pPr>
              <w:spacing w:before="120" w:after="120" w:line="240" w:lineRule="auto"/>
              <w:jc w:val="center"/>
              <w:rPr>
                <w:b/>
                <w:color w:val="000000"/>
                <w:sz w:val="20"/>
                <w:szCs w:val="20"/>
              </w:rPr>
            </w:pPr>
            <w:r w:rsidRPr="00770677">
              <w:rPr>
                <w:b/>
                <w:color w:val="000000"/>
                <w:sz w:val="20"/>
                <w:szCs w:val="20"/>
              </w:rPr>
              <w:t>2005</w:t>
            </w:r>
          </w:p>
        </w:tc>
        <w:tc>
          <w:tcPr>
            <w:tcW w:w="546" w:type="dxa"/>
            <w:shd w:val="clear" w:color="auto" w:fill="D9D9D9" w:themeFill="background1" w:themeFillShade="D9"/>
            <w:noWrap/>
            <w:vAlign w:val="center"/>
          </w:tcPr>
          <w:p w:rsidR="002D7309" w:rsidRPr="00770677" w:rsidRDefault="002D7309" w:rsidP="002D7309">
            <w:pPr>
              <w:spacing w:before="120" w:after="120" w:line="240" w:lineRule="auto"/>
              <w:jc w:val="center"/>
              <w:rPr>
                <w:b/>
                <w:color w:val="000000"/>
                <w:sz w:val="20"/>
                <w:szCs w:val="20"/>
              </w:rPr>
            </w:pPr>
            <w:r w:rsidRPr="00770677">
              <w:rPr>
                <w:b/>
                <w:color w:val="000000"/>
                <w:sz w:val="20"/>
                <w:szCs w:val="20"/>
              </w:rPr>
              <w:t>2006</w:t>
            </w:r>
          </w:p>
        </w:tc>
        <w:tc>
          <w:tcPr>
            <w:tcW w:w="546" w:type="dxa"/>
            <w:shd w:val="clear" w:color="auto" w:fill="D9D9D9" w:themeFill="background1" w:themeFillShade="D9"/>
            <w:noWrap/>
            <w:vAlign w:val="center"/>
          </w:tcPr>
          <w:p w:rsidR="002D7309" w:rsidRPr="00770677" w:rsidRDefault="002D7309" w:rsidP="002D7309">
            <w:pPr>
              <w:spacing w:before="120" w:after="120" w:line="240" w:lineRule="auto"/>
              <w:jc w:val="center"/>
              <w:rPr>
                <w:b/>
                <w:color w:val="000000"/>
                <w:sz w:val="20"/>
                <w:szCs w:val="20"/>
              </w:rPr>
            </w:pPr>
            <w:r w:rsidRPr="00770677">
              <w:rPr>
                <w:b/>
                <w:color w:val="000000"/>
                <w:sz w:val="20"/>
                <w:szCs w:val="20"/>
              </w:rPr>
              <w:t>2007</w:t>
            </w:r>
          </w:p>
        </w:tc>
        <w:tc>
          <w:tcPr>
            <w:tcW w:w="546" w:type="dxa"/>
            <w:shd w:val="clear" w:color="auto" w:fill="D9D9D9" w:themeFill="background1" w:themeFillShade="D9"/>
            <w:noWrap/>
            <w:vAlign w:val="center"/>
          </w:tcPr>
          <w:p w:rsidR="002D7309" w:rsidRPr="00770677" w:rsidRDefault="002D7309" w:rsidP="002D7309">
            <w:pPr>
              <w:spacing w:before="120" w:after="120" w:line="240" w:lineRule="auto"/>
              <w:jc w:val="center"/>
              <w:rPr>
                <w:b/>
                <w:color w:val="000000"/>
                <w:sz w:val="20"/>
                <w:szCs w:val="20"/>
              </w:rPr>
            </w:pPr>
            <w:r w:rsidRPr="00770677">
              <w:rPr>
                <w:b/>
                <w:color w:val="000000"/>
                <w:sz w:val="20"/>
                <w:szCs w:val="20"/>
              </w:rPr>
              <w:t>2008</w:t>
            </w:r>
          </w:p>
        </w:tc>
        <w:tc>
          <w:tcPr>
            <w:tcW w:w="546" w:type="dxa"/>
            <w:shd w:val="clear" w:color="auto" w:fill="D9D9D9" w:themeFill="background1" w:themeFillShade="D9"/>
            <w:noWrap/>
            <w:vAlign w:val="center"/>
          </w:tcPr>
          <w:p w:rsidR="002D7309" w:rsidRPr="00770677" w:rsidRDefault="002D7309" w:rsidP="002D7309">
            <w:pPr>
              <w:spacing w:before="120" w:after="120" w:line="240" w:lineRule="auto"/>
              <w:jc w:val="center"/>
              <w:rPr>
                <w:b/>
                <w:color w:val="000000"/>
                <w:sz w:val="20"/>
                <w:szCs w:val="20"/>
              </w:rPr>
            </w:pPr>
            <w:r w:rsidRPr="00770677">
              <w:rPr>
                <w:b/>
                <w:color w:val="000000"/>
                <w:sz w:val="20"/>
                <w:szCs w:val="20"/>
              </w:rPr>
              <w:t>2009</w:t>
            </w:r>
          </w:p>
        </w:tc>
        <w:tc>
          <w:tcPr>
            <w:tcW w:w="546" w:type="dxa"/>
            <w:shd w:val="clear" w:color="auto" w:fill="D9D9D9" w:themeFill="background1" w:themeFillShade="D9"/>
            <w:noWrap/>
            <w:vAlign w:val="center"/>
          </w:tcPr>
          <w:p w:rsidR="002D7309" w:rsidRPr="00770677" w:rsidRDefault="002D7309" w:rsidP="002D7309">
            <w:pPr>
              <w:spacing w:before="120" w:after="120" w:line="240" w:lineRule="auto"/>
              <w:jc w:val="center"/>
              <w:rPr>
                <w:b/>
                <w:color w:val="000000"/>
                <w:sz w:val="20"/>
                <w:szCs w:val="20"/>
              </w:rPr>
            </w:pPr>
            <w:r w:rsidRPr="00770677">
              <w:rPr>
                <w:b/>
                <w:color w:val="000000"/>
                <w:sz w:val="20"/>
                <w:szCs w:val="20"/>
              </w:rPr>
              <w:t>2010</w:t>
            </w:r>
          </w:p>
        </w:tc>
        <w:tc>
          <w:tcPr>
            <w:tcW w:w="546" w:type="dxa"/>
            <w:shd w:val="clear" w:color="auto" w:fill="D9D9D9" w:themeFill="background1" w:themeFillShade="D9"/>
            <w:noWrap/>
            <w:vAlign w:val="center"/>
          </w:tcPr>
          <w:p w:rsidR="002D7309" w:rsidRPr="00770677" w:rsidRDefault="002D7309" w:rsidP="002D7309">
            <w:pPr>
              <w:spacing w:before="120" w:after="120" w:line="240" w:lineRule="auto"/>
              <w:jc w:val="center"/>
              <w:rPr>
                <w:b/>
                <w:color w:val="000000"/>
                <w:sz w:val="20"/>
                <w:szCs w:val="20"/>
              </w:rPr>
            </w:pPr>
            <w:r w:rsidRPr="00770677">
              <w:rPr>
                <w:b/>
                <w:color w:val="000000"/>
                <w:sz w:val="20"/>
                <w:szCs w:val="20"/>
              </w:rPr>
              <w:t>2011</w:t>
            </w:r>
          </w:p>
        </w:tc>
        <w:tc>
          <w:tcPr>
            <w:tcW w:w="546" w:type="dxa"/>
            <w:shd w:val="clear" w:color="auto" w:fill="D9D9D9" w:themeFill="background1" w:themeFillShade="D9"/>
            <w:noWrap/>
            <w:vAlign w:val="center"/>
          </w:tcPr>
          <w:p w:rsidR="002D7309" w:rsidRPr="00770677" w:rsidRDefault="002D7309" w:rsidP="002D7309">
            <w:pPr>
              <w:spacing w:before="120" w:after="120" w:line="240" w:lineRule="auto"/>
              <w:jc w:val="center"/>
              <w:rPr>
                <w:b/>
                <w:color w:val="000000"/>
                <w:sz w:val="20"/>
                <w:szCs w:val="20"/>
              </w:rPr>
            </w:pPr>
            <w:r w:rsidRPr="00770677">
              <w:rPr>
                <w:b/>
                <w:color w:val="000000"/>
                <w:sz w:val="20"/>
                <w:szCs w:val="20"/>
              </w:rPr>
              <w:t>2012</w:t>
            </w:r>
          </w:p>
        </w:tc>
      </w:tr>
      <w:tr w:rsidR="002D7309" w:rsidRPr="00202B64" w:rsidTr="002D7309">
        <w:trPr>
          <w:trHeight w:val="397"/>
        </w:trPr>
        <w:tc>
          <w:tcPr>
            <w:tcW w:w="3229" w:type="dxa"/>
            <w:noWrap/>
            <w:vAlign w:val="center"/>
          </w:tcPr>
          <w:p w:rsidR="002D7309" w:rsidRPr="00202B64" w:rsidRDefault="002D7309" w:rsidP="002D7309">
            <w:pPr>
              <w:spacing w:before="120" w:after="120" w:line="240" w:lineRule="auto"/>
              <w:rPr>
                <w:color w:val="000000"/>
                <w:sz w:val="20"/>
                <w:szCs w:val="20"/>
              </w:rPr>
            </w:pPr>
            <w:r w:rsidRPr="00202B64">
              <w:rPr>
                <w:color w:val="000000"/>
                <w:sz w:val="20"/>
                <w:szCs w:val="20"/>
              </w:rPr>
              <w:t>A90 DENGUE</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29</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579</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415</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71</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115</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r>
      <w:tr w:rsidR="002D7309" w:rsidRPr="00202B64" w:rsidTr="002D7309">
        <w:trPr>
          <w:trHeight w:val="397"/>
        </w:trPr>
        <w:tc>
          <w:tcPr>
            <w:tcW w:w="3229" w:type="dxa"/>
            <w:noWrap/>
            <w:vAlign w:val="center"/>
          </w:tcPr>
          <w:p w:rsidR="002D7309" w:rsidRPr="00202B64" w:rsidRDefault="002D7309" w:rsidP="002D7309">
            <w:pPr>
              <w:spacing w:before="120" w:after="120" w:line="240" w:lineRule="auto"/>
              <w:rPr>
                <w:color w:val="000000"/>
                <w:sz w:val="20"/>
                <w:szCs w:val="20"/>
              </w:rPr>
            </w:pPr>
            <w:r w:rsidRPr="00202B64">
              <w:rPr>
                <w:color w:val="000000"/>
                <w:sz w:val="20"/>
                <w:szCs w:val="20"/>
              </w:rPr>
              <w:t>A279 LEPTOSPIROSE</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5</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13</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1</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1</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8</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4</w:t>
            </w:r>
          </w:p>
        </w:tc>
      </w:tr>
      <w:tr w:rsidR="002D7309" w:rsidRPr="00202B64" w:rsidTr="002D7309">
        <w:trPr>
          <w:trHeight w:val="397"/>
        </w:trPr>
        <w:tc>
          <w:tcPr>
            <w:tcW w:w="3229" w:type="dxa"/>
            <w:noWrap/>
            <w:vAlign w:val="center"/>
          </w:tcPr>
          <w:p w:rsidR="002D7309" w:rsidRPr="00202B64" w:rsidRDefault="002D7309" w:rsidP="002D7309">
            <w:pPr>
              <w:spacing w:before="120" w:after="120" w:line="240" w:lineRule="auto"/>
              <w:rPr>
                <w:color w:val="000000"/>
                <w:sz w:val="20"/>
                <w:szCs w:val="20"/>
              </w:rPr>
            </w:pPr>
            <w:r w:rsidRPr="00202B64">
              <w:rPr>
                <w:color w:val="000000"/>
                <w:sz w:val="20"/>
                <w:szCs w:val="20"/>
              </w:rPr>
              <w:t>G039 MENINGITE</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4</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3</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1</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3</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2</w:t>
            </w:r>
          </w:p>
        </w:tc>
      </w:tr>
      <w:tr w:rsidR="002D7309" w:rsidRPr="00202B64" w:rsidTr="002D7309">
        <w:trPr>
          <w:trHeight w:val="397"/>
        </w:trPr>
        <w:tc>
          <w:tcPr>
            <w:tcW w:w="3229" w:type="dxa"/>
            <w:noWrap/>
            <w:vAlign w:val="center"/>
          </w:tcPr>
          <w:p w:rsidR="002D7309" w:rsidRPr="00202B64" w:rsidRDefault="002D7309" w:rsidP="002D7309">
            <w:pPr>
              <w:spacing w:before="120" w:after="120" w:line="240" w:lineRule="auto"/>
              <w:rPr>
                <w:color w:val="000000"/>
                <w:sz w:val="20"/>
                <w:szCs w:val="20"/>
              </w:rPr>
            </w:pPr>
            <w:r w:rsidRPr="00202B64">
              <w:rPr>
                <w:color w:val="000000"/>
                <w:sz w:val="20"/>
                <w:szCs w:val="20"/>
              </w:rPr>
              <w:t>B550 LEISHMANIOSE VISCERAL</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2</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24</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27</w:t>
            </w:r>
          </w:p>
        </w:tc>
      </w:tr>
      <w:tr w:rsidR="002D7309" w:rsidRPr="00202B64" w:rsidTr="002D7309">
        <w:trPr>
          <w:trHeight w:val="397"/>
        </w:trPr>
        <w:tc>
          <w:tcPr>
            <w:tcW w:w="3229" w:type="dxa"/>
            <w:noWrap/>
            <w:vAlign w:val="center"/>
          </w:tcPr>
          <w:p w:rsidR="002D7309" w:rsidRPr="00202B64" w:rsidRDefault="002D7309" w:rsidP="002D7309">
            <w:pPr>
              <w:spacing w:before="120" w:after="120" w:line="240" w:lineRule="auto"/>
              <w:rPr>
                <w:color w:val="000000"/>
                <w:sz w:val="20"/>
                <w:szCs w:val="20"/>
              </w:rPr>
            </w:pPr>
            <w:r w:rsidRPr="00202B64">
              <w:rPr>
                <w:color w:val="000000"/>
                <w:sz w:val="20"/>
                <w:szCs w:val="20"/>
              </w:rPr>
              <w:t>B19 HEPATITES VIRAIS</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7</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8</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6</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6</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33</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39</w:t>
            </w:r>
          </w:p>
        </w:tc>
      </w:tr>
      <w:tr w:rsidR="002D7309" w:rsidRPr="00202B64" w:rsidTr="002D7309">
        <w:trPr>
          <w:trHeight w:val="397"/>
        </w:trPr>
        <w:tc>
          <w:tcPr>
            <w:tcW w:w="3229" w:type="dxa"/>
            <w:noWrap/>
            <w:vAlign w:val="center"/>
          </w:tcPr>
          <w:p w:rsidR="002D7309" w:rsidRPr="00202B64" w:rsidRDefault="002D7309" w:rsidP="002D7309">
            <w:pPr>
              <w:spacing w:before="120" w:after="120" w:line="240" w:lineRule="auto"/>
              <w:rPr>
                <w:color w:val="000000"/>
                <w:sz w:val="20"/>
                <w:szCs w:val="20"/>
              </w:rPr>
            </w:pPr>
            <w:r w:rsidRPr="00202B64">
              <w:rPr>
                <w:color w:val="000000"/>
                <w:sz w:val="20"/>
                <w:szCs w:val="20"/>
              </w:rPr>
              <w:t>B659 ESQUISTOSSOMOSE</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8</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1</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r>
      <w:tr w:rsidR="002D7309" w:rsidRPr="00202B64" w:rsidTr="002D7309">
        <w:trPr>
          <w:trHeight w:val="397"/>
        </w:trPr>
        <w:tc>
          <w:tcPr>
            <w:tcW w:w="3229" w:type="dxa"/>
            <w:noWrap/>
            <w:vAlign w:val="center"/>
          </w:tcPr>
          <w:p w:rsidR="002D7309" w:rsidRPr="00202B64" w:rsidRDefault="002D7309" w:rsidP="002D7309">
            <w:pPr>
              <w:spacing w:before="120" w:after="120" w:line="240" w:lineRule="auto"/>
              <w:rPr>
                <w:color w:val="000000"/>
                <w:sz w:val="20"/>
                <w:szCs w:val="20"/>
              </w:rPr>
            </w:pPr>
            <w:r w:rsidRPr="00202B64">
              <w:rPr>
                <w:color w:val="000000"/>
                <w:sz w:val="20"/>
                <w:szCs w:val="20"/>
              </w:rPr>
              <w:t>Total</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0</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49</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604</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425</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81</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184</w:t>
            </w:r>
          </w:p>
        </w:tc>
        <w:tc>
          <w:tcPr>
            <w:tcW w:w="546" w:type="dxa"/>
            <w:noWrap/>
            <w:vAlign w:val="center"/>
          </w:tcPr>
          <w:p w:rsidR="002D7309" w:rsidRPr="00202B64" w:rsidRDefault="002D7309" w:rsidP="002D7309">
            <w:pPr>
              <w:spacing w:before="120" w:after="120" w:line="240" w:lineRule="auto"/>
              <w:jc w:val="center"/>
              <w:rPr>
                <w:color w:val="000000"/>
                <w:sz w:val="20"/>
                <w:szCs w:val="20"/>
              </w:rPr>
            </w:pPr>
            <w:r w:rsidRPr="00202B64">
              <w:rPr>
                <w:color w:val="000000"/>
                <w:sz w:val="20"/>
                <w:szCs w:val="20"/>
              </w:rPr>
              <w:t>72</w:t>
            </w:r>
          </w:p>
        </w:tc>
      </w:tr>
    </w:tbl>
    <w:bookmarkEnd w:id="378"/>
    <w:p w:rsidR="00E32574" w:rsidRPr="00CC2B0E" w:rsidRDefault="00E32574" w:rsidP="00C77BF3">
      <w:pPr>
        <w:pStyle w:val="Fonte"/>
        <w:spacing w:before="0"/>
        <w:ind w:left="567"/>
        <w:rPr>
          <w:lang w:eastAsia="pt-BR"/>
        </w:rPr>
      </w:pPr>
      <w:r w:rsidRPr="00CC2B0E">
        <w:t>Fonte: SINAN NET - SRS Goval</w:t>
      </w:r>
    </w:p>
    <w:p w:rsidR="00E32574" w:rsidRDefault="00E32574" w:rsidP="00E32574">
      <w:pPr>
        <w:pStyle w:val="CM71"/>
        <w:spacing w:line="360" w:lineRule="auto"/>
        <w:ind w:firstLine="708"/>
        <w:jc w:val="both"/>
        <w:rPr>
          <w:rFonts w:ascii="Times New Roman" w:hAnsi="Times New Roman" w:cs="Times New Roman"/>
        </w:rPr>
      </w:pPr>
      <w:r w:rsidRPr="00953F69">
        <w:rPr>
          <w:rFonts w:ascii="Times New Roman" w:hAnsi="Times New Roman" w:cs="Times New Roman"/>
        </w:rPr>
        <w:t xml:space="preserve">A esquistossomose (xistosa) é uma doença crônica, causada por um pequeno verme, o </w:t>
      </w:r>
      <w:r w:rsidRPr="00770677">
        <w:rPr>
          <w:rFonts w:ascii="Times New Roman" w:hAnsi="Times New Roman" w:cs="Times New Roman"/>
          <w:i/>
        </w:rPr>
        <w:t xml:space="preserve">Schistosoma </w:t>
      </w:r>
      <w:r w:rsidR="00770677" w:rsidRPr="00770677">
        <w:rPr>
          <w:rFonts w:ascii="Times New Roman" w:hAnsi="Times New Roman" w:cs="Times New Roman"/>
          <w:i/>
        </w:rPr>
        <w:t>M</w:t>
      </w:r>
      <w:r w:rsidRPr="00770677">
        <w:rPr>
          <w:rFonts w:ascii="Times New Roman" w:hAnsi="Times New Roman" w:cs="Times New Roman"/>
          <w:i/>
        </w:rPr>
        <w:t>ansoni</w:t>
      </w:r>
      <w:r w:rsidRPr="00953F69">
        <w:rPr>
          <w:rFonts w:ascii="Times New Roman" w:hAnsi="Times New Roman" w:cs="Times New Roman"/>
        </w:rPr>
        <w:t>, que se instala nas veias do fígado e do intestino</w:t>
      </w:r>
      <w:r w:rsidR="00770677">
        <w:rPr>
          <w:rFonts w:ascii="Times New Roman" w:hAnsi="Times New Roman" w:cs="Times New Roman"/>
        </w:rPr>
        <w:t xml:space="preserve"> dos contaminados</w:t>
      </w:r>
      <w:r w:rsidRPr="00953F69">
        <w:rPr>
          <w:rFonts w:ascii="Times New Roman" w:hAnsi="Times New Roman" w:cs="Times New Roman"/>
        </w:rPr>
        <w:t xml:space="preserve">. Para que surja a esquistossomose numa localidade, são necessárias várias condições: a primeira é a existência de caramujos que hospedam o </w:t>
      </w:r>
      <w:r w:rsidRPr="00B57111">
        <w:rPr>
          <w:rFonts w:ascii="Times New Roman" w:hAnsi="Times New Roman" w:cs="Times New Roman"/>
          <w:i/>
        </w:rPr>
        <w:t>Schistosoma mansoni</w:t>
      </w:r>
      <w:r w:rsidRPr="00953F69">
        <w:rPr>
          <w:rFonts w:ascii="Times New Roman" w:hAnsi="Times New Roman" w:cs="Times New Roman"/>
        </w:rPr>
        <w:t xml:space="preserve">. Esses caramujos vivem em córregos, lagoas, valas de irrigação e canais onde haja boa alimentação (COPASA, 2012). A esquistossomose é contraída através do contato do homem com águas contaminadas por caramujos. Como sintomas, pode aparecer em algumas pessoas, a ascite ou barriga d’água. </w:t>
      </w:r>
    </w:p>
    <w:p w:rsidR="00E32574" w:rsidRDefault="00E32574" w:rsidP="00E32574">
      <w:pPr>
        <w:pStyle w:val="CM71"/>
        <w:spacing w:line="360" w:lineRule="auto"/>
        <w:ind w:firstLine="708"/>
        <w:jc w:val="both"/>
        <w:rPr>
          <w:rFonts w:ascii="Times New Roman" w:hAnsi="Times New Roman" w:cs="Times New Roman"/>
        </w:rPr>
      </w:pPr>
      <w:r>
        <w:rPr>
          <w:rFonts w:ascii="Times New Roman" w:hAnsi="Times New Roman" w:cs="Times New Roman"/>
        </w:rPr>
        <w:t xml:space="preserve">As hepatites virais são doenças provocadas por diferentes agentes etiológicos. Com tropismo primário </w:t>
      </w:r>
      <w:r w:rsidR="00770677">
        <w:rPr>
          <w:rFonts w:ascii="Times New Roman" w:hAnsi="Times New Roman" w:cs="Times New Roman"/>
        </w:rPr>
        <w:t>do</w:t>
      </w:r>
      <w:r>
        <w:rPr>
          <w:rFonts w:ascii="Times New Roman" w:hAnsi="Times New Roman" w:cs="Times New Roman"/>
        </w:rPr>
        <w:t xml:space="preserve"> tecido hepático, que apresentam características epidemiológicas, clínicas e laboratoriais semelhantes, porém com importantes particularidades. A principal via de contágio do vírus da hepatite A é a fecal-oral; por contato inter-humano ou através de água e alimentos contaminados. Contribui para a transmissão a estabilidade do vírus da hepatite A (HAV) no meio ambiente </w:t>
      </w:r>
      <w:r w:rsidR="00770677">
        <w:rPr>
          <w:rFonts w:ascii="Times New Roman" w:hAnsi="Times New Roman" w:cs="Times New Roman"/>
        </w:rPr>
        <w:t>é</w:t>
      </w:r>
      <w:r>
        <w:rPr>
          <w:rFonts w:ascii="Times New Roman" w:hAnsi="Times New Roman" w:cs="Times New Roman"/>
        </w:rPr>
        <w:t xml:space="preserve"> grande </w:t>
      </w:r>
      <w:r w:rsidR="00770677">
        <w:rPr>
          <w:rFonts w:ascii="Times New Roman" w:hAnsi="Times New Roman" w:cs="Times New Roman"/>
        </w:rPr>
        <w:t xml:space="preserve">a </w:t>
      </w:r>
      <w:r>
        <w:rPr>
          <w:rFonts w:ascii="Times New Roman" w:hAnsi="Times New Roman" w:cs="Times New Roman"/>
        </w:rPr>
        <w:t>quantidade de vírus presente</w:t>
      </w:r>
      <w:r w:rsidR="00770677">
        <w:rPr>
          <w:rFonts w:ascii="Times New Roman" w:hAnsi="Times New Roman" w:cs="Times New Roman"/>
        </w:rPr>
        <w:t>s</w:t>
      </w:r>
      <w:r>
        <w:rPr>
          <w:rFonts w:ascii="Times New Roman" w:hAnsi="Times New Roman" w:cs="Times New Roman"/>
        </w:rPr>
        <w:t xml:space="preserve"> nas fezes dos indivíduos infectados. A disseminação está relacionada com o nível socioeconômico da população, existindo variações regionais de </w:t>
      </w:r>
      <w:r>
        <w:rPr>
          <w:rFonts w:ascii="Times New Roman" w:hAnsi="Times New Roman" w:cs="Times New Roman"/>
        </w:rPr>
        <w:lastRenderedPageBreak/>
        <w:t>endemicidade de acordo com o grau de saneamento básico, de educação sanitária e das condições de higiene da população. (BRASIL, 2013).</w:t>
      </w:r>
    </w:p>
    <w:p w:rsidR="00E32574" w:rsidRDefault="00E32574" w:rsidP="00E32574">
      <w:pPr>
        <w:pStyle w:val="CM71"/>
        <w:spacing w:line="360" w:lineRule="auto"/>
        <w:ind w:firstLine="708"/>
        <w:jc w:val="both"/>
        <w:rPr>
          <w:rFonts w:ascii="Times New Roman" w:hAnsi="Times New Roman" w:cs="Times New Roman"/>
        </w:rPr>
      </w:pPr>
      <w:r w:rsidRPr="00953F69">
        <w:rPr>
          <w:rFonts w:ascii="Times New Roman" w:hAnsi="Times New Roman" w:cs="Times New Roman"/>
        </w:rPr>
        <w:t xml:space="preserve">A dengue é uma doença infecciosa aguda de curta duração, de gravidade variável, causada por um arbovírus, do gênero </w:t>
      </w:r>
      <w:r w:rsidRPr="00B57111">
        <w:rPr>
          <w:rFonts w:ascii="Times New Roman" w:hAnsi="Times New Roman" w:cs="Times New Roman"/>
          <w:i/>
        </w:rPr>
        <w:t>Flavivirus</w:t>
      </w:r>
      <w:r w:rsidRPr="00953F69">
        <w:rPr>
          <w:rFonts w:ascii="Times New Roman" w:hAnsi="Times New Roman" w:cs="Times New Roman"/>
        </w:rPr>
        <w:t xml:space="preserve">. A doença é transmitida, principalmente, pelo mosquito </w:t>
      </w:r>
      <w:r w:rsidRPr="00B57111">
        <w:rPr>
          <w:rFonts w:ascii="Times New Roman" w:hAnsi="Times New Roman" w:cs="Times New Roman"/>
          <w:i/>
        </w:rPr>
        <w:t>Aedes aegypti</w:t>
      </w:r>
      <w:r w:rsidRPr="00953F69">
        <w:rPr>
          <w:rFonts w:ascii="Times New Roman" w:hAnsi="Times New Roman" w:cs="Times New Roman"/>
        </w:rPr>
        <w:t xml:space="preserve"> infectado. As epidemias geralmente ocorrem no verão, durante ou imediatamente após períodos chuvosos. O contágio se dá pela picada do mosquito Aedes aegypti que ficou infectado após picar uma pessoa doente. Os transmissores da dengue proliferam-se dentro ou nas proximidades de habitações, em recipientes com água acumulada (caixas d’água, cisternas, latas, pneus, cacos de vidro, vasos de plantas) (COPASA, 2012). </w:t>
      </w:r>
    </w:p>
    <w:p w:rsidR="00E32574" w:rsidRPr="00767E12" w:rsidRDefault="00E32574" w:rsidP="00590BF3">
      <w:pPr>
        <w:pStyle w:val="CM71"/>
        <w:spacing w:line="360" w:lineRule="auto"/>
        <w:ind w:firstLine="709"/>
        <w:jc w:val="both"/>
        <w:rPr>
          <w:rFonts w:ascii="Times New Roman" w:hAnsi="Times New Roman" w:cs="Times New Roman"/>
        </w:rPr>
      </w:pPr>
      <w:r w:rsidRPr="00767E12">
        <w:rPr>
          <w:rFonts w:ascii="Times New Roman" w:hAnsi="Times New Roman" w:cs="Times New Roman"/>
        </w:rPr>
        <w:t>O Trecho de Vazão Reduzida do Rio Doce está localizado junto à cidade de Aimorés, é constituído de um canal de água corrente do rio que é permanente</w:t>
      </w:r>
      <w:r w:rsidR="00590BF3">
        <w:rPr>
          <w:rFonts w:ascii="Times New Roman" w:hAnsi="Times New Roman" w:cs="Times New Roman"/>
        </w:rPr>
        <w:t>, com vazão</w:t>
      </w:r>
      <w:r w:rsidRPr="00767E12">
        <w:rPr>
          <w:rFonts w:ascii="Times New Roman" w:hAnsi="Times New Roman" w:cs="Times New Roman"/>
        </w:rPr>
        <w:t xml:space="preserve"> de 16</w:t>
      </w:r>
      <w:r w:rsidR="00590BF3">
        <w:rPr>
          <w:rFonts w:ascii="Times New Roman" w:hAnsi="Times New Roman" w:cs="Times New Roman"/>
        </w:rPr>
        <w:t xml:space="preserve"> </w:t>
      </w:r>
      <w:r w:rsidRPr="00767E12">
        <w:rPr>
          <w:rFonts w:ascii="Times New Roman" w:hAnsi="Times New Roman" w:cs="Times New Roman"/>
        </w:rPr>
        <w:t>m³</w:t>
      </w:r>
      <w:r w:rsidR="00590BF3">
        <w:rPr>
          <w:rFonts w:ascii="Times New Roman" w:hAnsi="Times New Roman" w:cs="Times New Roman"/>
        </w:rPr>
        <w:t>.</w:t>
      </w:r>
      <w:r w:rsidRPr="00767E12">
        <w:rPr>
          <w:rFonts w:ascii="Times New Roman" w:hAnsi="Times New Roman" w:cs="Times New Roman"/>
        </w:rPr>
        <w:t>s</w:t>
      </w:r>
      <w:r w:rsidR="00590BF3" w:rsidRPr="00590BF3">
        <w:rPr>
          <w:rFonts w:ascii="Times New Roman" w:hAnsi="Times New Roman" w:cs="Times New Roman"/>
          <w:vertAlign w:val="superscript"/>
        </w:rPr>
        <w:t>-1</w:t>
      </w:r>
      <w:r w:rsidRPr="00767E12">
        <w:rPr>
          <w:rFonts w:ascii="Times New Roman" w:hAnsi="Times New Roman" w:cs="Times New Roman"/>
        </w:rPr>
        <w:t xml:space="preserve">. Contém várias reservas pequenas de água em sulcos </w:t>
      </w:r>
      <w:r w:rsidR="00590BF3">
        <w:rPr>
          <w:rFonts w:ascii="Times New Roman" w:hAnsi="Times New Roman" w:cs="Times New Roman"/>
        </w:rPr>
        <w:t xml:space="preserve">ou locas </w:t>
      </w:r>
      <w:r w:rsidRPr="00767E12">
        <w:rPr>
          <w:rFonts w:ascii="Times New Roman" w:hAnsi="Times New Roman" w:cs="Times New Roman"/>
        </w:rPr>
        <w:t xml:space="preserve">nas pedras que fazem parte do cenário do </w:t>
      </w:r>
      <w:r w:rsidR="00590BF3">
        <w:rPr>
          <w:rFonts w:ascii="Times New Roman" w:hAnsi="Times New Roman" w:cs="Times New Roman"/>
        </w:rPr>
        <w:t>t</w:t>
      </w:r>
      <w:r w:rsidRPr="00767E12">
        <w:rPr>
          <w:rFonts w:ascii="Times New Roman" w:hAnsi="Times New Roman" w:cs="Times New Roman"/>
        </w:rPr>
        <w:t xml:space="preserve">recho. É um belo cenário composto de pedras </w:t>
      </w:r>
      <w:r w:rsidR="00590BF3">
        <w:rPr>
          <w:rFonts w:ascii="Times New Roman" w:hAnsi="Times New Roman" w:cs="Times New Roman"/>
        </w:rPr>
        <w:t xml:space="preserve">com locas </w:t>
      </w:r>
      <w:r w:rsidRPr="00767E12">
        <w:rPr>
          <w:rFonts w:ascii="Times New Roman" w:hAnsi="Times New Roman" w:cs="Times New Roman"/>
        </w:rPr>
        <w:t>que a água moldou</w:t>
      </w:r>
      <w:r w:rsidR="00590BF3">
        <w:rPr>
          <w:rFonts w:ascii="Times New Roman" w:hAnsi="Times New Roman" w:cs="Times New Roman"/>
        </w:rPr>
        <w:t>, devido à</w:t>
      </w:r>
      <w:r w:rsidRPr="00767E12">
        <w:rPr>
          <w:rFonts w:ascii="Times New Roman" w:hAnsi="Times New Roman" w:cs="Times New Roman"/>
        </w:rPr>
        <w:t xml:space="preserve"> existência de contato da água sobre as pedras. Uma vez </w:t>
      </w:r>
      <w:r w:rsidR="00590BF3">
        <w:rPr>
          <w:rFonts w:ascii="Times New Roman" w:hAnsi="Times New Roman" w:cs="Times New Roman"/>
        </w:rPr>
        <w:t>por semana</w:t>
      </w:r>
      <w:r w:rsidRPr="00767E12">
        <w:rPr>
          <w:rFonts w:ascii="Times New Roman" w:hAnsi="Times New Roman" w:cs="Times New Roman"/>
        </w:rPr>
        <w:t xml:space="preserve"> a Usina </w:t>
      </w:r>
      <w:r w:rsidR="00590BF3">
        <w:rPr>
          <w:rFonts w:ascii="Times New Roman" w:hAnsi="Times New Roman" w:cs="Times New Roman"/>
        </w:rPr>
        <w:t xml:space="preserve">de Aimorés </w:t>
      </w:r>
      <w:r w:rsidRPr="00767E12">
        <w:rPr>
          <w:rFonts w:ascii="Times New Roman" w:hAnsi="Times New Roman" w:cs="Times New Roman"/>
        </w:rPr>
        <w:t>abre as águas contidas na barragem fazendo um vertimento, alagando a área anteriormente cobert</w:t>
      </w:r>
      <w:r w:rsidR="00590BF3">
        <w:rPr>
          <w:rFonts w:ascii="Times New Roman" w:hAnsi="Times New Roman" w:cs="Times New Roman"/>
        </w:rPr>
        <w:t>a</w:t>
      </w:r>
      <w:r w:rsidRPr="00767E12">
        <w:rPr>
          <w:rFonts w:ascii="Times New Roman" w:hAnsi="Times New Roman" w:cs="Times New Roman"/>
        </w:rPr>
        <w:t xml:space="preserve"> pelas águas. Há uma grande população de ovos, larvas, pequenos insetos, crustáceos, pequenos peixes que </w:t>
      </w:r>
      <w:r w:rsidR="00590BF3">
        <w:rPr>
          <w:rFonts w:ascii="Times New Roman" w:hAnsi="Times New Roman" w:cs="Times New Roman"/>
        </w:rPr>
        <w:t xml:space="preserve">se </w:t>
      </w:r>
      <w:r w:rsidRPr="00767E12">
        <w:rPr>
          <w:rFonts w:ascii="Times New Roman" w:hAnsi="Times New Roman" w:cs="Times New Roman"/>
        </w:rPr>
        <w:t>alimentam desta riqueza de seres vivos disponíveis à permanência deles neste ambiente</w:t>
      </w:r>
      <w:r>
        <w:rPr>
          <w:rFonts w:ascii="Times New Roman" w:hAnsi="Times New Roman" w:cs="Times New Roman"/>
        </w:rPr>
        <w:t xml:space="preserve"> (Prefeitura de Aimorés, 2013).</w:t>
      </w:r>
    </w:p>
    <w:p w:rsidR="00E32574" w:rsidRPr="00767E12" w:rsidRDefault="00590BF3" w:rsidP="00E32574">
      <w:pPr>
        <w:spacing w:line="360" w:lineRule="auto"/>
        <w:ind w:firstLine="708"/>
        <w:jc w:val="both"/>
        <w:rPr>
          <w:szCs w:val="24"/>
          <w:lang w:eastAsia="pt-BR"/>
        </w:rPr>
      </w:pPr>
      <w:r>
        <w:rPr>
          <w:szCs w:val="24"/>
          <w:lang w:eastAsia="pt-BR"/>
        </w:rPr>
        <w:t>No Quadro 3</w:t>
      </w:r>
      <w:r w:rsidR="004037C8">
        <w:rPr>
          <w:szCs w:val="24"/>
          <w:lang w:eastAsia="pt-BR"/>
        </w:rPr>
        <w:t>7</w:t>
      </w:r>
      <w:r w:rsidR="00E32574" w:rsidRPr="00767E12">
        <w:rPr>
          <w:szCs w:val="24"/>
          <w:lang w:eastAsia="pt-BR"/>
        </w:rPr>
        <w:t xml:space="preserve">, </w:t>
      </w:r>
      <w:r>
        <w:rPr>
          <w:szCs w:val="24"/>
          <w:lang w:eastAsia="pt-BR"/>
        </w:rPr>
        <w:t xml:space="preserve">apresenta-se </w:t>
      </w:r>
      <w:r w:rsidR="007B426E">
        <w:rPr>
          <w:szCs w:val="24"/>
          <w:lang w:eastAsia="pt-BR"/>
        </w:rPr>
        <w:t xml:space="preserve">o </w:t>
      </w:r>
      <w:r>
        <w:rPr>
          <w:szCs w:val="24"/>
          <w:lang w:eastAsia="pt-BR"/>
        </w:rPr>
        <w:t>l</w:t>
      </w:r>
      <w:r w:rsidR="00E32574" w:rsidRPr="00767E12">
        <w:rPr>
          <w:szCs w:val="24"/>
          <w:lang w:eastAsia="pt-BR"/>
        </w:rPr>
        <w:t xml:space="preserve">evantamento dos índices de </w:t>
      </w:r>
      <w:r w:rsidR="00E32574">
        <w:rPr>
          <w:szCs w:val="24"/>
          <w:lang w:eastAsia="pt-BR"/>
        </w:rPr>
        <w:t>dengue no município de Aimorés, após o início da operação da Hidrelétrica de Aimorés em 2005/2006</w:t>
      </w:r>
      <w:r w:rsidR="007B426E">
        <w:rPr>
          <w:szCs w:val="24"/>
          <w:lang w:eastAsia="pt-BR"/>
        </w:rPr>
        <w:t xml:space="preserve">, </w:t>
      </w:r>
      <w:r w:rsidR="00E32574">
        <w:rPr>
          <w:szCs w:val="24"/>
          <w:lang w:eastAsia="pt-BR"/>
        </w:rPr>
        <w:t>nota-se um</w:t>
      </w:r>
      <w:r w:rsidR="007B426E">
        <w:rPr>
          <w:szCs w:val="24"/>
          <w:lang w:eastAsia="pt-BR"/>
        </w:rPr>
        <w:t>a tendência a diminuição nos valores r</w:t>
      </w:r>
      <w:r w:rsidR="00B17875">
        <w:rPr>
          <w:szCs w:val="24"/>
          <w:lang w:eastAsia="pt-BR"/>
        </w:rPr>
        <w:t xml:space="preserve">elativo </w:t>
      </w:r>
      <w:r w:rsidR="007B426E">
        <w:rPr>
          <w:szCs w:val="24"/>
          <w:lang w:eastAsia="pt-BR"/>
        </w:rPr>
        <w:t>d</w:t>
      </w:r>
      <w:r w:rsidR="00E32574">
        <w:rPr>
          <w:szCs w:val="24"/>
          <w:lang w:eastAsia="pt-BR"/>
        </w:rPr>
        <w:t>os índices</w:t>
      </w:r>
      <w:r w:rsidR="007B426E">
        <w:rPr>
          <w:szCs w:val="24"/>
          <w:lang w:eastAsia="pt-BR"/>
        </w:rPr>
        <w:t xml:space="preserve"> </w:t>
      </w:r>
      <w:r w:rsidR="002123CF">
        <w:rPr>
          <w:szCs w:val="24"/>
          <w:lang w:eastAsia="pt-BR"/>
        </w:rPr>
        <w:t xml:space="preserve">percentuais </w:t>
      </w:r>
      <w:r w:rsidR="007B426E">
        <w:rPr>
          <w:szCs w:val="24"/>
          <w:lang w:eastAsia="pt-BR"/>
        </w:rPr>
        <w:t>de contaminação</w:t>
      </w:r>
      <w:r w:rsidR="002123CF">
        <w:rPr>
          <w:szCs w:val="24"/>
          <w:lang w:eastAsia="pt-BR"/>
        </w:rPr>
        <w:t>, reduzindo-os em média 0,4% de unidades residenciais pesquisadas com focos, passando em média de 1,4% para 1,0%</w:t>
      </w:r>
      <w:r w:rsidR="00E32574">
        <w:rPr>
          <w:szCs w:val="24"/>
          <w:lang w:eastAsia="pt-BR"/>
        </w:rPr>
        <w:t>.</w:t>
      </w:r>
    </w:p>
    <w:p w:rsidR="00B17875" w:rsidRDefault="00B17875">
      <w:pPr>
        <w:spacing w:after="200" w:line="276" w:lineRule="auto"/>
        <w:rPr>
          <w:rFonts w:eastAsiaTheme="minorEastAsia" w:cs="Times New Roman"/>
          <w:bCs/>
          <w:szCs w:val="24"/>
          <w:lang w:eastAsia="pt-BR"/>
        </w:rPr>
      </w:pPr>
      <w:bookmarkStart w:id="379" w:name="_Toc372117283"/>
      <w:r>
        <w:br w:type="page"/>
      </w:r>
    </w:p>
    <w:p w:rsidR="008C148B" w:rsidRPr="00767E12" w:rsidRDefault="0075744C" w:rsidP="0075744C">
      <w:pPr>
        <w:pStyle w:val="Legenda"/>
      </w:pPr>
      <w:bookmarkStart w:id="380" w:name="_Toc372740543"/>
      <w:bookmarkEnd w:id="379"/>
      <w:r>
        <w:lastRenderedPageBreak/>
        <w:t xml:space="preserve">Quadro </w:t>
      </w:r>
      <w:fldSimple w:instr=" SEQ Quadro \* ARABIC ">
        <w:r w:rsidR="004F77E2">
          <w:rPr>
            <w:noProof/>
          </w:rPr>
          <w:t>37</w:t>
        </w:r>
      </w:fldSimple>
      <w:r>
        <w:t xml:space="preserve"> - </w:t>
      </w:r>
      <w:r w:rsidRPr="001E41E3">
        <w:rPr>
          <w:noProof/>
        </w:rPr>
        <w:t>Levantamento de unidades e índice de infestação de dengue em Aimorés.</w:t>
      </w:r>
      <w:bookmarkEnd w:id="380"/>
    </w:p>
    <w:tbl>
      <w:tblPr>
        <w:tblW w:w="8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1112"/>
        <w:gridCol w:w="1734"/>
        <w:gridCol w:w="1099"/>
        <w:gridCol w:w="1508"/>
        <w:gridCol w:w="1099"/>
        <w:gridCol w:w="1508"/>
      </w:tblGrid>
      <w:tr w:rsidR="00E32574" w:rsidRPr="002123CF" w:rsidTr="00E05FF5">
        <w:trPr>
          <w:trHeight w:val="300"/>
          <w:tblHeader/>
          <w:jc w:val="center"/>
        </w:trPr>
        <w:tc>
          <w:tcPr>
            <w:tcW w:w="8060" w:type="dxa"/>
            <w:gridSpan w:val="6"/>
            <w:shd w:val="clear" w:color="auto" w:fill="D9D9D9" w:themeFill="background1" w:themeFillShade="D9"/>
            <w:noWrap/>
            <w:vAlign w:val="bottom"/>
          </w:tcPr>
          <w:p w:rsidR="00E32574" w:rsidRPr="002123CF" w:rsidRDefault="00E32574" w:rsidP="00B17875">
            <w:pPr>
              <w:spacing w:before="120" w:after="120" w:line="240" w:lineRule="auto"/>
              <w:jc w:val="center"/>
              <w:rPr>
                <w:b/>
                <w:color w:val="000000"/>
                <w:szCs w:val="24"/>
              </w:rPr>
            </w:pPr>
            <w:r w:rsidRPr="002123CF">
              <w:rPr>
                <w:b/>
                <w:color w:val="000000"/>
                <w:szCs w:val="24"/>
              </w:rPr>
              <w:t>Levantamento de Índice de Aimorés - Ano</w:t>
            </w:r>
          </w:p>
        </w:tc>
      </w:tr>
      <w:tr w:rsidR="00E32574" w:rsidRPr="002123CF" w:rsidTr="00E05FF5">
        <w:trPr>
          <w:trHeight w:val="600"/>
          <w:tblHeader/>
          <w:jc w:val="center"/>
        </w:trPr>
        <w:tc>
          <w:tcPr>
            <w:tcW w:w="1112" w:type="dxa"/>
            <w:vMerge w:val="restart"/>
            <w:shd w:val="clear" w:color="auto" w:fill="D9D9D9" w:themeFill="background1" w:themeFillShade="D9"/>
            <w:vAlign w:val="center"/>
          </w:tcPr>
          <w:p w:rsidR="00E32574" w:rsidRPr="002123CF" w:rsidRDefault="00E32574" w:rsidP="00B17875">
            <w:pPr>
              <w:spacing w:before="120" w:after="120" w:line="240" w:lineRule="auto"/>
              <w:jc w:val="center"/>
              <w:rPr>
                <w:b/>
                <w:color w:val="000000"/>
                <w:szCs w:val="24"/>
              </w:rPr>
            </w:pPr>
            <w:r w:rsidRPr="002123CF">
              <w:rPr>
                <w:b/>
                <w:color w:val="000000"/>
                <w:szCs w:val="24"/>
              </w:rPr>
              <w:t>Ano</w:t>
            </w:r>
          </w:p>
        </w:tc>
        <w:tc>
          <w:tcPr>
            <w:tcW w:w="4341" w:type="dxa"/>
            <w:gridSpan w:val="3"/>
            <w:shd w:val="clear" w:color="auto" w:fill="D9D9D9" w:themeFill="background1" w:themeFillShade="D9"/>
            <w:vAlign w:val="center"/>
          </w:tcPr>
          <w:p w:rsidR="00E32574" w:rsidRPr="002123CF" w:rsidRDefault="00E32574" w:rsidP="00B17875">
            <w:pPr>
              <w:spacing w:before="120" w:after="120" w:line="240" w:lineRule="auto"/>
              <w:jc w:val="center"/>
              <w:rPr>
                <w:b/>
                <w:color w:val="000000"/>
                <w:szCs w:val="24"/>
              </w:rPr>
            </w:pPr>
            <w:r w:rsidRPr="002123CF">
              <w:rPr>
                <w:b/>
                <w:color w:val="000000"/>
                <w:szCs w:val="24"/>
              </w:rPr>
              <w:t xml:space="preserve">Unidades </w:t>
            </w:r>
          </w:p>
        </w:tc>
        <w:tc>
          <w:tcPr>
            <w:tcW w:w="2607" w:type="dxa"/>
            <w:gridSpan w:val="2"/>
            <w:shd w:val="clear" w:color="auto" w:fill="D9D9D9" w:themeFill="background1" w:themeFillShade="D9"/>
            <w:vAlign w:val="center"/>
          </w:tcPr>
          <w:p w:rsidR="00E32574" w:rsidRPr="002123CF" w:rsidRDefault="00E32574" w:rsidP="00B17875">
            <w:pPr>
              <w:spacing w:before="120" w:after="120" w:line="240" w:lineRule="auto"/>
              <w:jc w:val="center"/>
              <w:rPr>
                <w:b/>
                <w:color w:val="000000"/>
                <w:szCs w:val="24"/>
              </w:rPr>
            </w:pPr>
            <w:r w:rsidRPr="002123CF">
              <w:rPr>
                <w:b/>
                <w:color w:val="000000"/>
                <w:szCs w:val="24"/>
              </w:rPr>
              <w:t>Índice de Infestação</w:t>
            </w:r>
            <w:r w:rsidR="002123CF">
              <w:rPr>
                <w:b/>
                <w:color w:val="000000"/>
                <w:szCs w:val="24"/>
              </w:rPr>
              <w:t xml:space="preserve"> (%)</w:t>
            </w:r>
            <w:r w:rsidRPr="002123CF">
              <w:rPr>
                <w:b/>
                <w:color w:val="000000"/>
                <w:szCs w:val="24"/>
              </w:rPr>
              <w:t xml:space="preserve"> </w:t>
            </w:r>
          </w:p>
        </w:tc>
      </w:tr>
      <w:tr w:rsidR="00B17875" w:rsidRPr="002123CF" w:rsidTr="00E05FF5">
        <w:trPr>
          <w:trHeight w:val="300"/>
          <w:tblHeader/>
          <w:jc w:val="center"/>
        </w:trPr>
        <w:tc>
          <w:tcPr>
            <w:tcW w:w="1112" w:type="dxa"/>
            <w:vMerge/>
            <w:shd w:val="clear" w:color="auto" w:fill="D9D9D9" w:themeFill="background1" w:themeFillShade="D9"/>
            <w:vAlign w:val="center"/>
          </w:tcPr>
          <w:p w:rsidR="00B17875" w:rsidRPr="002123CF" w:rsidRDefault="00B17875" w:rsidP="00B17875">
            <w:pPr>
              <w:spacing w:before="120" w:after="120" w:line="240" w:lineRule="auto"/>
              <w:rPr>
                <w:b/>
                <w:color w:val="000000"/>
                <w:szCs w:val="24"/>
              </w:rPr>
            </w:pPr>
          </w:p>
        </w:tc>
        <w:tc>
          <w:tcPr>
            <w:tcW w:w="1734" w:type="dxa"/>
            <w:vMerge w:val="restart"/>
            <w:shd w:val="clear" w:color="auto" w:fill="D9D9D9" w:themeFill="background1" w:themeFillShade="D9"/>
            <w:noWrap/>
            <w:vAlign w:val="center"/>
          </w:tcPr>
          <w:p w:rsidR="00B17875" w:rsidRPr="002123CF" w:rsidRDefault="00B17875" w:rsidP="00B17875">
            <w:pPr>
              <w:spacing w:before="120" w:after="120" w:line="240" w:lineRule="auto"/>
              <w:jc w:val="center"/>
              <w:rPr>
                <w:b/>
                <w:color w:val="000000"/>
                <w:szCs w:val="24"/>
              </w:rPr>
            </w:pPr>
            <w:r w:rsidRPr="002123CF">
              <w:rPr>
                <w:b/>
                <w:color w:val="000000"/>
                <w:szCs w:val="24"/>
              </w:rPr>
              <w:t>Pesquisadas</w:t>
            </w:r>
          </w:p>
        </w:tc>
        <w:tc>
          <w:tcPr>
            <w:tcW w:w="2607" w:type="dxa"/>
            <w:gridSpan w:val="2"/>
            <w:shd w:val="clear" w:color="auto" w:fill="D9D9D9" w:themeFill="background1" w:themeFillShade="D9"/>
            <w:noWrap/>
            <w:vAlign w:val="bottom"/>
          </w:tcPr>
          <w:p w:rsidR="00B17875" w:rsidRPr="002123CF" w:rsidRDefault="00B17875" w:rsidP="00B17875">
            <w:pPr>
              <w:spacing w:before="120" w:after="120" w:line="240" w:lineRule="auto"/>
              <w:jc w:val="center"/>
              <w:rPr>
                <w:b/>
                <w:color w:val="000000"/>
                <w:szCs w:val="24"/>
              </w:rPr>
            </w:pPr>
            <w:r w:rsidRPr="002123CF">
              <w:rPr>
                <w:b/>
                <w:color w:val="000000"/>
                <w:szCs w:val="24"/>
              </w:rPr>
              <w:t>Com Focos</w:t>
            </w:r>
          </w:p>
        </w:tc>
        <w:tc>
          <w:tcPr>
            <w:tcW w:w="2607" w:type="dxa"/>
            <w:gridSpan w:val="2"/>
            <w:shd w:val="clear" w:color="auto" w:fill="D9D9D9" w:themeFill="background1" w:themeFillShade="D9"/>
            <w:noWrap/>
            <w:vAlign w:val="bottom"/>
          </w:tcPr>
          <w:p w:rsidR="00B17875" w:rsidRPr="002123CF" w:rsidRDefault="00B17875" w:rsidP="00B17875">
            <w:pPr>
              <w:spacing w:before="120" w:after="120" w:line="240" w:lineRule="auto"/>
              <w:jc w:val="center"/>
              <w:rPr>
                <w:b/>
                <w:color w:val="000000"/>
                <w:szCs w:val="24"/>
              </w:rPr>
            </w:pPr>
            <w:r w:rsidRPr="002123CF">
              <w:rPr>
                <w:b/>
                <w:color w:val="000000"/>
                <w:szCs w:val="24"/>
              </w:rPr>
              <w:t>Predial</w:t>
            </w:r>
          </w:p>
        </w:tc>
      </w:tr>
      <w:tr w:rsidR="00B17875" w:rsidRPr="002123CF" w:rsidTr="00E05FF5">
        <w:trPr>
          <w:trHeight w:val="300"/>
          <w:tblHeader/>
          <w:jc w:val="center"/>
        </w:trPr>
        <w:tc>
          <w:tcPr>
            <w:tcW w:w="1112" w:type="dxa"/>
            <w:vMerge/>
            <w:shd w:val="clear" w:color="auto" w:fill="D9D9D9" w:themeFill="background1" w:themeFillShade="D9"/>
            <w:vAlign w:val="center"/>
          </w:tcPr>
          <w:p w:rsidR="00B17875" w:rsidRPr="002123CF" w:rsidRDefault="00B17875" w:rsidP="00B17875">
            <w:pPr>
              <w:spacing w:before="120" w:after="120" w:line="240" w:lineRule="auto"/>
              <w:rPr>
                <w:b/>
                <w:color w:val="000000"/>
                <w:szCs w:val="24"/>
              </w:rPr>
            </w:pPr>
          </w:p>
        </w:tc>
        <w:tc>
          <w:tcPr>
            <w:tcW w:w="1734" w:type="dxa"/>
            <w:vMerge/>
            <w:shd w:val="clear" w:color="auto" w:fill="D9D9D9" w:themeFill="background1" w:themeFillShade="D9"/>
            <w:noWrap/>
            <w:vAlign w:val="bottom"/>
          </w:tcPr>
          <w:p w:rsidR="00B17875" w:rsidRPr="002123CF" w:rsidRDefault="00B17875" w:rsidP="00B17875">
            <w:pPr>
              <w:spacing w:before="120" w:after="120" w:line="240" w:lineRule="auto"/>
              <w:jc w:val="center"/>
              <w:rPr>
                <w:b/>
                <w:color w:val="000000"/>
                <w:szCs w:val="24"/>
              </w:rPr>
            </w:pPr>
          </w:p>
        </w:tc>
        <w:tc>
          <w:tcPr>
            <w:tcW w:w="1099" w:type="dxa"/>
            <w:shd w:val="clear" w:color="auto" w:fill="D9D9D9" w:themeFill="background1" w:themeFillShade="D9"/>
            <w:noWrap/>
            <w:vAlign w:val="bottom"/>
          </w:tcPr>
          <w:p w:rsidR="00B17875" w:rsidRPr="002123CF" w:rsidRDefault="00B17875" w:rsidP="00B17875">
            <w:pPr>
              <w:spacing w:before="120" w:after="120" w:line="240" w:lineRule="auto"/>
              <w:jc w:val="center"/>
              <w:rPr>
                <w:b/>
                <w:i/>
                <w:color w:val="000000"/>
                <w:szCs w:val="24"/>
              </w:rPr>
            </w:pPr>
            <w:r w:rsidRPr="002123CF">
              <w:rPr>
                <w:b/>
                <w:i/>
                <w:color w:val="000000"/>
                <w:szCs w:val="24"/>
              </w:rPr>
              <w:t>Aegypti</w:t>
            </w:r>
          </w:p>
        </w:tc>
        <w:tc>
          <w:tcPr>
            <w:tcW w:w="1508" w:type="dxa"/>
            <w:shd w:val="clear" w:color="auto" w:fill="D9D9D9" w:themeFill="background1" w:themeFillShade="D9"/>
            <w:noWrap/>
            <w:vAlign w:val="bottom"/>
          </w:tcPr>
          <w:p w:rsidR="00B17875" w:rsidRPr="002123CF" w:rsidRDefault="00B17875" w:rsidP="00B17875">
            <w:pPr>
              <w:spacing w:before="120" w:after="120" w:line="240" w:lineRule="auto"/>
              <w:jc w:val="center"/>
              <w:rPr>
                <w:b/>
                <w:i/>
                <w:color w:val="000000"/>
                <w:szCs w:val="24"/>
              </w:rPr>
            </w:pPr>
            <w:r w:rsidRPr="002123CF">
              <w:rPr>
                <w:b/>
                <w:i/>
                <w:color w:val="000000"/>
                <w:szCs w:val="24"/>
              </w:rPr>
              <w:t>Albopictus</w:t>
            </w:r>
          </w:p>
        </w:tc>
        <w:tc>
          <w:tcPr>
            <w:tcW w:w="1099" w:type="dxa"/>
            <w:shd w:val="clear" w:color="auto" w:fill="D9D9D9" w:themeFill="background1" w:themeFillShade="D9"/>
            <w:noWrap/>
            <w:vAlign w:val="bottom"/>
          </w:tcPr>
          <w:p w:rsidR="00B17875" w:rsidRPr="002123CF" w:rsidRDefault="00B17875" w:rsidP="00B17875">
            <w:pPr>
              <w:spacing w:before="120" w:after="120" w:line="240" w:lineRule="auto"/>
              <w:jc w:val="center"/>
              <w:rPr>
                <w:b/>
                <w:i/>
                <w:color w:val="000000"/>
                <w:szCs w:val="24"/>
              </w:rPr>
            </w:pPr>
            <w:r w:rsidRPr="002123CF">
              <w:rPr>
                <w:b/>
                <w:i/>
                <w:color w:val="000000"/>
                <w:szCs w:val="24"/>
              </w:rPr>
              <w:t>Aegypti</w:t>
            </w:r>
          </w:p>
        </w:tc>
        <w:tc>
          <w:tcPr>
            <w:tcW w:w="1508" w:type="dxa"/>
            <w:shd w:val="clear" w:color="auto" w:fill="D9D9D9" w:themeFill="background1" w:themeFillShade="D9"/>
            <w:noWrap/>
            <w:vAlign w:val="bottom"/>
          </w:tcPr>
          <w:p w:rsidR="00B17875" w:rsidRPr="002123CF" w:rsidRDefault="00B17875" w:rsidP="00B17875">
            <w:pPr>
              <w:spacing w:before="120" w:after="120" w:line="240" w:lineRule="auto"/>
              <w:jc w:val="center"/>
              <w:rPr>
                <w:b/>
                <w:i/>
                <w:color w:val="000000"/>
                <w:szCs w:val="24"/>
              </w:rPr>
            </w:pPr>
            <w:r w:rsidRPr="002123CF">
              <w:rPr>
                <w:b/>
                <w:i/>
                <w:color w:val="000000"/>
                <w:szCs w:val="24"/>
              </w:rPr>
              <w:t>Albopictus</w:t>
            </w:r>
          </w:p>
        </w:tc>
      </w:tr>
      <w:tr w:rsidR="00E32574" w:rsidRPr="00202B64" w:rsidTr="00E32574">
        <w:trPr>
          <w:trHeight w:val="300"/>
          <w:jc w:val="center"/>
        </w:trPr>
        <w:tc>
          <w:tcPr>
            <w:tcW w:w="1112"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2005</w:t>
            </w:r>
          </w:p>
        </w:tc>
        <w:tc>
          <w:tcPr>
            <w:tcW w:w="1734"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8.277</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154</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154</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1,86</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1,86</w:t>
            </w:r>
          </w:p>
        </w:tc>
      </w:tr>
      <w:tr w:rsidR="00E32574" w:rsidRPr="00202B64" w:rsidTr="00E32574">
        <w:trPr>
          <w:trHeight w:val="300"/>
          <w:jc w:val="center"/>
        </w:trPr>
        <w:tc>
          <w:tcPr>
            <w:tcW w:w="1112"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2006</w:t>
            </w:r>
          </w:p>
        </w:tc>
        <w:tc>
          <w:tcPr>
            <w:tcW w:w="1734"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6.669</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192</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89</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2,88</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1,33</w:t>
            </w:r>
          </w:p>
        </w:tc>
      </w:tr>
      <w:tr w:rsidR="00E32574" w:rsidRPr="00202B64" w:rsidTr="00E32574">
        <w:trPr>
          <w:trHeight w:val="300"/>
          <w:jc w:val="center"/>
        </w:trPr>
        <w:tc>
          <w:tcPr>
            <w:tcW w:w="1112"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2007</w:t>
            </w:r>
          </w:p>
        </w:tc>
        <w:tc>
          <w:tcPr>
            <w:tcW w:w="1734"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6.559</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111</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36</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1,69</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0,55</w:t>
            </w:r>
          </w:p>
        </w:tc>
      </w:tr>
      <w:tr w:rsidR="00E32574" w:rsidRPr="00202B64" w:rsidTr="00E32574">
        <w:trPr>
          <w:trHeight w:val="300"/>
          <w:jc w:val="center"/>
        </w:trPr>
        <w:tc>
          <w:tcPr>
            <w:tcW w:w="1112"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2008</w:t>
            </w:r>
          </w:p>
        </w:tc>
        <w:tc>
          <w:tcPr>
            <w:tcW w:w="1734"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8.852</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177</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130</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2,00</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1,47</w:t>
            </w:r>
          </w:p>
        </w:tc>
      </w:tr>
      <w:tr w:rsidR="00E32574" w:rsidRPr="00202B64" w:rsidTr="00E32574">
        <w:trPr>
          <w:trHeight w:val="300"/>
          <w:jc w:val="center"/>
        </w:trPr>
        <w:tc>
          <w:tcPr>
            <w:tcW w:w="1112"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2009</w:t>
            </w:r>
          </w:p>
        </w:tc>
        <w:tc>
          <w:tcPr>
            <w:tcW w:w="1734"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10.095</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116</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110</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1,05</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1,09</w:t>
            </w:r>
          </w:p>
        </w:tc>
      </w:tr>
      <w:tr w:rsidR="00E32574" w:rsidRPr="00202B64" w:rsidTr="00E32574">
        <w:trPr>
          <w:trHeight w:val="300"/>
          <w:jc w:val="center"/>
        </w:trPr>
        <w:tc>
          <w:tcPr>
            <w:tcW w:w="1112"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2010</w:t>
            </w:r>
          </w:p>
        </w:tc>
        <w:tc>
          <w:tcPr>
            <w:tcW w:w="1734"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7.101</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94</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80</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1,32</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1,13</w:t>
            </w:r>
          </w:p>
        </w:tc>
      </w:tr>
      <w:tr w:rsidR="00E32574" w:rsidRPr="00202B64" w:rsidTr="00E32574">
        <w:trPr>
          <w:trHeight w:val="300"/>
          <w:jc w:val="center"/>
        </w:trPr>
        <w:tc>
          <w:tcPr>
            <w:tcW w:w="1112"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2011</w:t>
            </w:r>
          </w:p>
        </w:tc>
        <w:tc>
          <w:tcPr>
            <w:tcW w:w="1734"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3.555</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42</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49</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1,18</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1,38</w:t>
            </w:r>
          </w:p>
        </w:tc>
      </w:tr>
      <w:tr w:rsidR="00E32574" w:rsidRPr="00202B64" w:rsidTr="00E32574">
        <w:trPr>
          <w:trHeight w:val="300"/>
          <w:jc w:val="center"/>
        </w:trPr>
        <w:tc>
          <w:tcPr>
            <w:tcW w:w="1112"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2012</w:t>
            </w:r>
          </w:p>
        </w:tc>
        <w:tc>
          <w:tcPr>
            <w:tcW w:w="1734"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4.565</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42</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47</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0,92</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1,03</w:t>
            </w:r>
          </w:p>
        </w:tc>
      </w:tr>
      <w:tr w:rsidR="00E32574" w:rsidRPr="00202B64" w:rsidTr="00E32574">
        <w:trPr>
          <w:trHeight w:val="300"/>
          <w:jc w:val="center"/>
        </w:trPr>
        <w:tc>
          <w:tcPr>
            <w:tcW w:w="1112"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2013</w:t>
            </w:r>
          </w:p>
        </w:tc>
        <w:tc>
          <w:tcPr>
            <w:tcW w:w="1734"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1.488</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16</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15</w:t>
            </w:r>
          </w:p>
        </w:tc>
        <w:tc>
          <w:tcPr>
            <w:tcW w:w="1099"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1,08</w:t>
            </w:r>
          </w:p>
        </w:tc>
        <w:tc>
          <w:tcPr>
            <w:tcW w:w="1508" w:type="dxa"/>
            <w:noWrap/>
            <w:vAlign w:val="bottom"/>
          </w:tcPr>
          <w:p w:rsidR="00E32574" w:rsidRPr="00202B64" w:rsidRDefault="00E32574" w:rsidP="00B17875">
            <w:pPr>
              <w:spacing w:before="120" w:after="120" w:line="240" w:lineRule="auto"/>
              <w:jc w:val="center"/>
              <w:rPr>
                <w:color w:val="000000"/>
                <w:szCs w:val="24"/>
              </w:rPr>
            </w:pPr>
            <w:r w:rsidRPr="00202B64">
              <w:rPr>
                <w:color w:val="000000"/>
                <w:szCs w:val="24"/>
              </w:rPr>
              <w:t>1,01</w:t>
            </w:r>
          </w:p>
        </w:tc>
      </w:tr>
    </w:tbl>
    <w:p w:rsidR="00E32574" w:rsidRPr="00767E12" w:rsidRDefault="008C148B" w:rsidP="008C148B">
      <w:pPr>
        <w:pStyle w:val="Fonte"/>
        <w:rPr>
          <w:lang w:eastAsia="pt-BR"/>
        </w:rPr>
      </w:pPr>
      <w:r>
        <w:rPr>
          <w:lang w:eastAsia="pt-BR"/>
        </w:rPr>
        <w:t xml:space="preserve">    </w:t>
      </w:r>
      <w:r w:rsidR="00E32574" w:rsidRPr="00767E12">
        <w:rPr>
          <w:lang w:eastAsia="pt-BR"/>
        </w:rPr>
        <w:t>Fonte: Prefeitura de Aimorés, 2013.</w:t>
      </w:r>
    </w:p>
    <w:p w:rsidR="00E32574" w:rsidRPr="00953F69" w:rsidRDefault="00E32574" w:rsidP="00E32574">
      <w:pPr>
        <w:pStyle w:val="CM71"/>
        <w:spacing w:line="360" w:lineRule="auto"/>
        <w:ind w:firstLine="708"/>
        <w:jc w:val="both"/>
        <w:rPr>
          <w:rFonts w:ascii="Times New Roman" w:hAnsi="Times New Roman" w:cs="Times New Roman"/>
        </w:rPr>
      </w:pPr>
      <w:r w:rsidRPr="00953F69">
        <w:rPr>
          <w:rFonts w:ascii="Times New Roman" w:hAnsi="Times New Roman" w:cs="Times New Roman"/>
        </w:rPr>
        <w:t>Já as doenças de origem hídrica são aquelas resultantes</w:t>
      </w:r>
      <w:r w:rsidR="002123CF">
        <w:rPr>
          <w:rFonts w:ascii="Times New Roman" w:hAnsi="Times New Roman" w:cs="Times New Roman"/>
        </w:rPr>
        <w:t xml:space="preserve"> da contaminação com</w:t>
      </w:r>
      <w:r w:rsidRPr="00953F69">
        <w:rPr>
          <w:rFonts w:ascii="Times New Roman" w:hAnsi="Times New Roman" w:cs="Times New Roman"/>
        </w:rPr>
        <w:t xml:space="preserve"> substâncias minerais e orgânicas dissolvidas ou em suspensão na água. Essas substâncias podem ser naturais ou introduzidas nos cursos d’água. Os efeitos dessas substâncias sobre o organismo humano dependem da </w:t>
      </w:r>
      <w:r w:rsidR="002123CF">
        <w:rPr>
          <w:rFonts w:ascii="Times New Roman" w:hAnsi="Times New Roman" w:cs="Times New Roman"/>
        </w:rPr>
        <w:t xml:space="preserve">sua </w:t>
      </w:r>
      <w:r w:rsidRPr="00953F69">
        <w:rPr>
          <w:rFonts w:ascii="Times New Roman" w:hAnsi="Times New Roman" w:cs="Times New Roman"/>
        </w:rPr>
        <w:t xml:space="preserve">concentração e toxidez específica para o ser humano. Os sintomas podem ser agudos ou cumulativos, e podem resultar em doenças de eclosão tardia, como é o caso do chumbo (Saturnismo), dos nitratos (metemoglobiemia) e do flúor (fluorose). </w:t>
      </w:r>
    </w:p>
    <w:p w:rsidR="00E32574" w:rsidRPr="00953F69" w:rsidRDefault="00E32574" w:rsidP="002123CF">
      <w:pPr>
        <w:pStyle w:val="CM71"/>
        <w:spacing w:line="360" w:lineRule="auto"/>
        <w:ind w:firstLine="709"/>
        <w:jc w:val="both"/>
        <w:rPr>
          <w:rFonts w:ascii="Times New Roman" w:hAnsi="Times New Roman" w:cs="Times New Roman"/>
        </w:rPr>
      </w:pPr>
      <w:r w:rsidRPr="00953F69">
        <w:rPr>
          <w:rFonts w:ascii="Times New Roman" w:hAnsi="Times New Roman" w:cs="Times New Roman"/>
        </w:rPr>
        <w:t>As substâncias tóxicas naturais compreendem às formações minerais com potencial tóxico (selênio, arsênio, boro e flúor) e microrganismos que produzem substâncias tóxicas (algas</w:t>
      </w:r>
      <w:r w:rsidR="002123CF">
        <w:rPr>
          <w:rFonts w:ascii="Times New Roman" w:hAnsi="Times New Roman" w:cs="Times New Roman"/>
        </w:rPr>
        <w:t>, cianobactérias</w:t>
      </w:r>
      <w:r w:rsidRPr="00953F69">
        <w:rPr>
          <w:rFonts w:ascii="Times New Roman" w:hAnsi="Times New Roman" w:cs="Times New Roman"/>
        </w:rPr>
        <w:t xml:space="preserve">). Já aquelas </w:t>
      </w:r>
      <w:r w:rsidR="002123CF">
        <w:rPr>
          <w:rFonts w:ascii="Times New Roman" w:hAnsi="Times New Roman" w:cs="Times New Roman"/>
        </w:rPr>
        <w:t>com</w:t>
      </w:r>
      <w:r w:rsidRPr="00953F69">
        <w:rPr>
          <w:rFonts w:ascii="Times New Roman" w:hAnsi="Times New Roman" w:cs="Times New Roman"/>
        </w:rPr>
        <w:t xml:space="preserve"> potencial de contaminação </w:t>
      </w:r>
      <w:r w:rsidRPr="00953F69">
        <w:rPr>
          <w:rFonts w:ascii="Times New Roman" w:hAnsi="Times New Roman" w:cs="Times New Roman"/>
        </w:rPr>
        <w:lastRenderedPageBreak/>
        <w:t xml:space="preserve">introduzidas resultam de defeitos em obras hidráulicas (tubos metálicos – chumbo), tratamento químico na água de abastecimento e despejos industriais (cobre, zinco e ferro). </w:t>
      </w:r>
    </w:p>
    <w:p w:rsidR="00E32574" w:rsidRPr="00953F69" w:rsidRDefault="00E32574" w:rsidP="002123CF">
      <w:pPr>
        <w:pStyle w:val="CM71"/>
        <w:spacing w:line="360" w:lineRule="auto"/>
        <w:ind w:firstLine="709"/>
        <w:jc w:val="both"/>
        <w:rPr>
          <w:rFonts w:ascii="Times New Roman" w:hAnsi="Times New Roman" w:cs="Times New Roman"/>
        </w:rPr>
      </w:pPr>
      <w:r w:rsidRPr="00953F69">
        <w:rPr>
          <w:rFonts w:ascii="Times New Roman" w:hAnsi="Times New Roman" w:cs="Times New Roman"/>
        </w:rPr>
        <w:t xml:space="preserve">O monitoramento da água tratada é feito em amostras coletadas em diversos pontos do município, por meio de coletas realizadas de acordo com a Portaria 2.914 de 2011 do Ministério da Saúde, que dispõe sobre os procedimentos de controle e de vigilância da qualidade da água para consumo humano e seu padrão de potabilidade, esse acompanhamento é realizado constantemente pelo SAAE. </w:t>
      </w:r>
    </w:p>
    <w:p w:rsidR="00E32574" w:rsidRPr="00597A88" w:rsidRDefault="00E32574" w:rsidP="002123CF">
      <w:pPr>
        <w:pStyle w:val="CM71"/>
        <w:spacing w:line="360" w:lineRule="auto"/>
        <w:ind w:firstLine="709"/>
        <w:jc w:val="both"/>
      </w:pPr>
      <w:r w:rsidRPr="00953F69">
        <w:rPr>
          <w:rFonts w:ascii="Times New Roman" w:hAnsi="Times New Roman" w:cs="Times New Roman"/>
        </w:rPr>
        <w:t xml:space="preserve">O controle determinado pela </w:t>
      </w:r>
      <w:r w:rsidR="002123CF">
        <w:rPr>
          <w:rFonts w:ascii="Times New Roman" w:hAnsi="Times New Roman" w:cs="Times New Roman"/>
        </w:rPr>
        <w:t xml:space="preserve">referida </w:t>
      </w:r>
      <w:r w:rsidRPr="00953F69">
        <w:rPr>
          <w:rFonts w:ascii="Times New Roman" w:hAnsi="Times New Roman" w:cs="Times New Roman"/>
        </w:rPr>
        <w:t xml:space="preserve">portaria é para as condições físico-químicas e bacteriológicas da água, para o controle físico-químico são realizadas análises da água tratada na ETA com periodicidade de duas em duas horas, já as análises bacteriológicas são realizadas na ETA (água tratada) e nas pontas de rede, localizadas em diferentes pontos do sistema de distribuição de água de Aimorés </w:t>
      </w:r>
    </w:p>
    <w:p w:rsidR="00E32574" w:rsidRPr="00953F69" w:rsidRDefault="00E32574" w:rsidP="002123CF">
      <w:pPr>
        <w:pStyle w:val="CM71"/>
        <w:spacing w:line="360" w:lineRule="auto"/>
        <w:ind w:firstLine="708"/>
        <w:jc w:val="both"/>
        <w:rPr>
          <w:rFonts w:ascii="Times New Roman" w:hAnsi="Times New Roman" w:cs="Times New Roman"/>
        </w:rPr>
      </w:pPr>
      <w:r w:rsidRPr="00953F69">
        <w:rPr>
          <w:rFonts w:ascii="Times New Roman" w:hAnsi="Times New Roman" w:cs="Times New Roman"/>
        </w:rPr>
        <w:t xml:space="preserve">A Portaria 2.914 de 2011 do Ministério da Saúde também estabelece índices máximos e mínimos para a adição de cloro na água como uma condicionante de qualidade. Também é solicitado ao órgão gestor do serviço de água a adição de flúor para os casos onde há necessidade geralmente devido à ocorrência de índices elevados de carie na população. </w:t>
      </w:r>
    </w:p>
    <w:p w:rsidR="00E32574" w:rsidRPr="00953F69" w:rsidRDefault="00E32574" w:rsidP="00E32574">
      <w:pPr>
        <w:pStyle w:val="CM71"/>
        <w:spacing w:line="360" w:lineRule="auto"/>
        <w:ind w:firstLine="708"/>
        <w:jc w:val="both"/>
        <w:rPr>
          <w:rFonts w:ascii="Times New Roman" w:hAnsi="Times New Roman" w:cs="Times New Roman"/>
        </w:rPr>
      </w:pPr>
      <w:r w:rsidRPr="00953F69">
        <w:rPr>
          <w:rFonts w:ascii="Times New Roman" w:hAnsi="Times New Roman" w:cs="Times New Roman"/>
        </w:rPr>
        <w:t xml:space="preserve">O padrão microbiológico de potabilidade da água para consumo humano, detalhado na Portaria define parâmetros, além de orientações quanto ao procedimento de análise no caso de detectadas amostras com resultado positivo, assim como para amostragens individuais, por exemplo, de fontes e nascentes. </w:t>
      </w:r>
    </w:p>
    <w:p w:rsidR="00E32574" w:rsidRPr="00953F69" w:rsidRDefault="00E32574" w:rsidP="00E32574">
      <w:pPr>
        <w:pStyle w:val="CM71"/>
        <w:spacing w:line="360" w:lineRule="auto"/>
        <w:ind w:firstLine="708"/>
        <w:jc w:val="both"/>
        <w:rPr>
          <w:rFonts w:ascii="Times New Roman" w:hAnsi="Times New Roman" w:cs="Times New Roman"/>
        </w:rPr>
      </w:pPr>
      <w:r w:rsidRPr="00953F69">
        <w:rPr>
          <w:rFonts w:ascii="Times New Roman" w:hAnsi="Times New Roman" w:cs="Times New Roman"/>
        </w:rPr>
        <w:t xml:space="preserve">Dentre as recomendações, condições, e orientações estabelecidas pela Portaria, pode-se destacar os seguintes pontos: </w:t>
      </w:r>
    </w:p>
    <w:p w:rsidR="00E32574" w:rsidRPr="00953F69" w:rsidRDefault="00E32574" w:rsidP="0053477A">
      <w:pPr>
        <w:pStyle w:val="Default"/>
        <w:numPr>
          <w:ilvl w:val="0"/>
          <w:numId w:val="30"/>
        </w:numPr>
        <w:spacing w:line="360" w:lineRule="auto"/>
        <w:ind w:left="567" w:hanging="283"/>
        <w:jc w:val="both"/>
        <w:rPr>
          <w:rFonts w:ascii="Times New Roman" w:hAnsi="Times New Roman" w:cs="Times New Roman"/>
          <w:color w:val="auto"/>
        </w:rPr>
      </w:pPr>
      <w:r w:rsidRPr="00953F69">
        <w:rPr>
          <w:rFonts w:ascii="Times New Roman" w:hAnsi="Times New Roman" w:cs="Times New Roman"/>
          <w:color w:val="auto"/>
        </w:rPr>
        <w:t xml:space="preserve">Nos sistemas coletivos que abastecem uma população superior a 20.000 mil habitantes, em 95% das amostras mensais analisadas devem existir ausência total de coliformes totais, caso contrário, deve-se providenciar imediata recoleta e inspeção local, sendo tomadas providências cabíveis no caso de constatação de irregularidade. </w:t>
      </w:r>
    </w:p>
    <w:p w:rsidR="00E32574" w:rsidRPr="00953F69" w:rsidRDefault="00E32574" w:rsidP="0053477A">
      <w:pPr>
        <w:pStyle w:val="Default"/>
        <w:numPr>
          <w:ilvl w:val="0"/>
          <w:numId w:val="30"/>
        </w:numPr>
        <w:spacing w:line="360" w:lineRule="auto"/>
        <w:ind w:left="567" w:hanging="283"/>
        <w:jc w:val="both"/>
        <w:rPr>
          <w:rFonts w:ascii="Times New Roman" w:hAnsi="Times New Roman" w:cs="Times New Roman"/>
          <w:color w:val="auto"/>
        </w:rPr>
      </w:pPr>
      <w:r w:rsidRPr="00953F69">
        <w:rPr>
          <w:rFonts w:ascii="Times New Roman" w:hAnsi="Times New Roman" w:cs="Times New Roman"/>
          <w:color w:val="auto"/>
        </w:rPr>
        <w:t>Para turbidez, após o tratamento da água para filtração rápida, a norma estabelece o limite de 0,5 UT (</w:t>
      </w:r>
      <w:r w:rsidR="002123CF">
        <w:rPr>
          <w:rFonts w:ascii="Times New Roman" w:hAnsi="Times New Roman" w:cs="Times New Roman"/>
          <w:color w:val="auto"/>
        </w:rPr>
        <w:t>U</w:t>
      </w:r>
      <w:r w:rsidRPr="00953F69">
        <w:rPr>
          <w:rFonts w:ascii="Times New Roman" w:hAnsi="Times New Roman" w:cs="Times New Roman"/>
          <w:color w:val="auto"/>
        </w:rPr>
        <w:t xml:space="preserve">nidade de </w:t>
      </w:r>
      <w:r w:rsidR="002123CF">
        <w:rPr>
          <w:rFonts w:ascii="Times New Roman" w:hAnsi="Times New Roman" w:cs="Times New Roman"/>
          <w:color w:val="auto"/>
        </w:rPr>
        <w:t>T</w:t>
      </w:r>
      <w:r w:rsidRPr="00953F69">
        <w:rPr>
          <w:rFonts w:ascii="Times New Roman" w:hAnsi="Times New Roman" w:cs="Times New Roman"/>
          <w:color w:val="auto"/>
        </w:rPr>
        <w:t xml:space="preserve">urbidez) em 95% das amostras. O atendimento do </w:t>
      </w:r>
      <w:r w:rsidRPr="00953F69">
        <w:rPr>
          <w:rFonts w:ascii="Times New Roman" w:hAnsi="Times New Roman" w:cs="Times New Roman"/>
          <w:color w:val="auto"/>
        </w:rPr>
        <w:lastRenderedPageBreak/>
        <w:t xml:space="preserve">percentual de aceitação do limite de turbidez da portaria deve ser verificado mensalmente com base em amostras, preferencialmente no efluente individual de cada unidade de filtração, no mínimo diariamente para desinfecção ou filtração lenta e no mínimo a cada duas horas para filtração rápida. Para o caso de águas subterrâneas a portaria estabelece o limite de 1,0 UT (unidade de turbidez) em 95% das amostras. </w:t>
      </w:r>
    </w:p>
    <w:p w:rsidR="00E32574" w:rsidRPr="00953F69" w:rsidRDefault="00E32574" w:rsidP="00E32574">
      <w:pPr>
        <w:pStyle w:val="CM73"/>
        <w:spacing w:line="360" w:lineRule="auto"/>
        <w:ind w:firstLine="708"/>
        <w:jc w:val="both"/>
        <w:rPr>
          <w:rFonts w:ascii="Times New Roman" w:hAnsi="Times New Roman" w:cs="Times New Roman"/>
        </w:rPr>
      </w:pPr>
      <w:r w:rsidRPr="00953F69">
        <w:rPr>
          <w:rFonts w:ascii="Times New Roman" w:hAnsi="Times New Roman" w:cs="Times New Roman"/>
        </w:rPr>
        <w:t>O SAAE realiza hoje coletas e análises da água nos seguintes sistemas</w:t>
      </w:r>
      <w:r>
        <w:rPr>
          <w:rFonts w:ascii="Times New Roman" w:hAnsi="Times New Roman" w:cs="Times New Roman"/>
        </w:rPr>
        <w:t xml:space="preserve"> de tratamento de água, da sede,</w:t>
      </w:r>
      <w:r w:rsidRPr="004812F2">
        <w:rPr>
          <w:rFonts w:ascii="Times New Roman" w:hAnsi="Times New Roman" w:cs="Times New Roman"/>
        </w:rPr>
        <w:t xml:space="preserve"> nos distritos</w:t>
      </w:r>
      <w:r>
        <w:rPr>
          <w:rFonts w:ascii="Times New Roman" w:hAnsi="Times New Roman" w:cs="Times New Roman"/>
        </w:rPr>
        <w:t xml:space="preserve"> e nos povoados</w:t>
      </w:r>
      <w:r w:rsidRPr="00953F69">
        <w:rPr>
          <w:rFonts w:ascii="Times New Roman" w:hAnsi="Times New Roman" w:cs="Times New Roman"/>
        </w:rPr>
        <w:t>.</w:t>
      </w:r>
    </w:p>
    <w:p w:rsidR="00E32574" w:rsidRPr="00953F69" w:rsidRDefault="00E32574" w:rsidP="00E32574">
      <w:pPr>
        <w:pStyle w:val="CM73"/>
        <w:spacing w:line="360" w:lineRule="auto"/>
        <w:ind w:firstLine="708"/>
        <w:jc w:val="both"/>
        <w:rPr>
          <w:rFonts w:ascii="Times New Roman" w:hAnsi="Times New Roman" w:cs="Times New Roman"/>
        </w:rPr>
      </w:pPr>
      <w:r w:rsidRPr="00953F69">
        <w:rPr>
          <w:rFonts w:ascii="Times New Roman" w:hAnsi="Times New Roman" w:cs="Times New Roman"/>
        </w:rPr>
        <w:t xml:space="preserve">As coletas realizadas na saída do tratamento, que se encontram fora dos parâmetros para turbidez, são ocasionadas por falha no processo de filtragem, sendo que as amostras coletadas na rede de distribuição, em desconformidade com os parâmetros de turbidez se devem ao fato, na maioria das vezes, por procedimentos inadequados durante o conserto de vazamentos ou rompimentos nas redes de distribuição. Ao se tratar de amostras fora dos parâmetros para coliformes totais, na rede de distribuição, a causa advém da falta de descarga nas pontas de rede, após concerto na rede ou infiltrações existentes não visíveis. </w:t>
      </w:r>
    </w:p>
    <w:p w:rsidR="00E32574" w:rsidRPr="00953F69" w:rsidRDefault="00E32574" w:rsidP="00E32574">
      <w:pPr>
        <w:pStyle w:val="CM73"/>
        <w:spacing w:line="360" w:lineRule="auto"/>
        <w:ind w:firstLine="708"/>
        <w:jc w:val="both"/>
        <w:rPr>
          <w:rFonts w:ascii="Times New Roman" w:hAnsi="Times New Roman" w:cs="Times New Roman"/>
        </w:rPr>
      </w:pPr>
      <w:r w:rsidRPr="00953F69">
        <w:rPr>
          <w:rFonts w:ascii="Times New Roman" w:hAnsi="Times New Roman" w:cs="Times New Roman"/>
        </w:rPr>
        <w:t xml:space="preserve">Os procedimentos exigidos pela Portaria </w:t>
      </w:r>
      <w:r>
        <w:rPr>
          <w:rFonts w:ascii="Times New Roman" w:hAnsi="Times New Roman" w:cs="Times New Roman"/>
        </w:rPr>
        <w:t xml:space="preserve">n° </w:t>
      </w:r>
      <w:r w:rsidRPr="00953F69">
        <w:rPr>
          <w:rFonts w:ascii="Times New Roman" w:hAnsi="Times New Roman" w:cs="Times New Roman"/>
        </w:rPr>
        <w:t xml:space="preserve">2.914 de 2011 do Ministério da Saúde, quando é identificada uma amostra positiva para coliformes totais, é realizar imediatamente descargas nas pontas de rede próximas ao local e fazer nova coleta e análise para certificação da qualidade da água. Os procedimentos comentados sinteticamente nesse parágrafo serão detalhados no produto cinco de Ações para Emergências e Contingências, onde serão necessários estabelecer mecanismos e ações para atuar na correção dos problemas. </w:t>
      </w:r>
    </w:p>
    <w:p w:rsidR="00E32574" w:rsidRPr="00953F69" w:rsidRDefault="00BF5409" w:rsidP="00E32574">
      <w:pPr>
        <w:pStyle w:val="CM73"/>
        <w:spacing w:line="360" w:lineRule="auto"/>
        <w:ind w:firstLine="708"/>
        <w:jc w:val="both"/>
        <w:rPr>
          <w:rFonts w:ascii="Times New Roman" w:hAnsi="Times New Roman" w:cs="Times New Roman"/>
        </w:rPr>
      </w:pPr>
      <w:r>
        <w:rPr>
          <w:rFonts w:ascii="Times New Roman" w:hAnsi="Times New Roman" w:cs="Times New Roman"/>
        </w:rPr>
        <w:t>Os Quadro</w:t>
      </w:r>
      <w:r w:rsidR="00E32574" w:rsidRPr="00953F69">
        <w:rPr>
          <w:rFonts w:ascii="Times New Roman" w:hAnsi="Times New Roman" w:cs="Times New Roman"/>
        </w:rPr>
        <w:t xml:space="preserve">s </w:t>
      </w:r>
      <w:r>
        <w:rPr>
          <w:rFonts w:ascii="Times New Roman" w:hAnsi="Times New Roman" w:cs="Times New Roman"/>
        </w:rPr>
        <w:t>3</w:t>
      </w:r>
      <w:r w:rsidR="004037C8">
        <w:rPr>
          <w:rFonts w:ascii="Times New Roman" w:hAnsi="Times New Roman" w:cs="Times New Roman"/>
        </w:rPr>
        <w:t>8</w:t>
      </w:r>
      <w:r w:rsidR="00E05FF5">
        <w:rPr>
          <w:rFonts w:ascii="Times New Roman" w:hAnsi="Times New Roman" w:cs="Times New Roman"/>
        </w:rPr>
        <w:t xml:space="preserve"> e</w:t>
      </w:r>
      <w:r>
        <w:rPr>
          <w:rFonts w:ascii="Times New Roman" w:hAnsi="Times New Roman" w:cs="Times New Roman"/>
        </w:rPr>
        <w:t xml:space="preserve"> </w:t>
      </w:r>
      <w:r w:rsidR="004037C8">
        <w:rPr>
          <w:rFonts w:ascii="Times New Roman" w:hAnsi="Times New Roman" w:cs="Times New Roman"/>
        </w:rPr>
        <w:t>39</w:t>
      </w:r>
      <w:r>
        <w:rPr>
          <w:rFonts w:ascii="Times New Roman" w:hAnsi="Times New Roman" w:cs="Times New Roman"/>
        </w:rPr>
        <w:t xml:space="preserve">, e na </w:t>
      </w:r>
      <w:r w:rsidRPr="00E05FF5">
        <w:rPr>
          <w:rFonts w:ascii="Times New Roman" w:hAnsi="Times New Roman" w:cs="Times New Roman"/>
        </w:rPr>
        <w:t>Tabela</w:t>
      </w:r>
      <w:r>
        <w:rPr>
          <w:rFonts w:ascii="Times New Roman" w:hAnsi="Times New Roman" w:cs="Times New Roman"/>
        </w:rPr>
        <w:t xml:space="preserve"> </w:t>
      </w:r>
      <w:r w:rsidR="00E05FF5">
        <w:rPr>
          <w:rFonts w:ascii="Times New Roman" w:hAnsi="Times New Roman" w:cs="Times New Roman"/>
        </w:rPr>
        <w:t>6</w:t>
      </w:r>
      <w:r>
        <w:rPr>
          <w:rFonts w:ascii="Times New Roman" w:hAnsi="Times New Roman" w:cs="Times New Roman"/>
        </w:rPr>
        <w:t xml:space="preserve">, </w:t>
      </w:r>
      <w:r w:rsidR="00E32574" w:rsidRPr="00953F69">
        <w:rPr>
          <w:rFonts w:ascii="Times New Roman" w:hAnsi="Times New Roman" w:cs="Times New Roman"/>
        </w:rPr>
        <w:t xml:space="preserve">mostram o número de análises e seus resultados </w:t>
      </w:r>
      <w:r w:rsidR="00E32574">
        <w:rPr>
          <w:rFonts w:ascii="Times New Roman" w:hAnsi="Times New Roman" w:cs="Times New Roman"/>
        </w:rPr>
        <w:t>por ETA no município de Aimorés, referente ao mês de agosto de 2013.</w:t>
      </w:r>
      <w:r w:rsidR="00E32574" w:rsidRPr="00953F69">
        <w:rPr>
          <w:rFonts w:ascii="Times New Roman" w:hAnsi="Times New Roman" w:cs="Times New Roman"/>
        </w:rPr>
        <w:t xml:space="preserve"> </w:t>
      </w:r>
    </w:p>
    <w:p w:rsidR="00E32574" w:rsidRDefault="00E32574" w:rsidP="00E32574">
      <w:pPr>
        <w:pStyle w:val="Default"/>
      </w:pPr>
    </w:p>
    <w:p w:rsidR="00E32574" w:rsidRPr="00953F69" w:rsidRDefault="00E32574" w:rsidP="00E32574">
      <w:pPr>
        <w:pStyle w:val="Default"/>
      </w:pPr>
    </w:p>
    <w:p w:rsidR="00E32574" w:rsidRDefault="00E32574" w:rsidP="00E32574">
      <w:pPr>
        <w:widowControl w:val="0"/>
        <w:autoSpaceDE w:val="0"/>
        <w:autoSpaceDN w:val="0"/>
        <w:adjustRightInd w:val="0"/>
        <w:spacing w:after="0" w:line="240" w:lineRule="auto"/>
        <w:jc w:val="center"/>
        <w:rPr>
          <w:b/>
          <w:bCs/>
          <w:szCs w:val="24"/>
        </w:rPr>
        <w:sectPr w:rsidR="00E32574" w:rsidSect="00E32574">
          <w:pgSz w:w="11906" w:h="16838"/>
          <w:pgMar w:top="1417" w:right="1701" w:bottom="1417" w:left="1701" w:header="708" w:footer="708" w:gutter="0"/>
          <w:cols w:space="708"/>
          <w:docGrid w:linePitch="360"/>
        </w:sectPr>
      </w:pPr>
    </w:p>
    <w:p w:rsidR="00E32574" w:rsidRDefault="0075744C" w:rsidP="0075744C">
      <w:pPr>
        <w:pStyle w:val="Legenda"/>
        <w:rPr>
          <w:b w:val="0"/>
          <w:bCs w:val="0"/>
        </w:rPr>
      </w:pPr>
      <w:bookmarkStart w:id="381" w:name="_Toc372740544"/>
      <w:r>
        <w:lastRenderedPageBreak/>
        <w:t xml:space="preserve">Quadro </w:t>
      </w:r>
      <w:fldSimple w:instr=" SEQ Quadro \* ARABIC ">
        <w:r w:rsidR="004F77E2">
          <w:rPr>
            <w:noProof/>
          </w:rPr>
          <w:t>38</w:t>
        </w:r>
      </w:fldSimple>
      <w:r>
        <w:t xml:space="preserve"> - </w:t>
      </w:r>
      <w:r w:rsidRPr="006E1462">
        <w:rPr>
          <w:noProof/>
        </w:rPr>
        <w:t>Controle dos parâmetros físico-químicos da água bruta captada para tratamento no município de Aimorés.</w:t>
      </w:r>
      <w:bookmarkEnd w:id="381"/>
    </w:p>
    <w:tbl>
      <w:tblPr>
        <w:tblW w:w="40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0"/>
        <w:gridCol w:w="1007"/>
        <w:gridCol w:w="1306"/>
        <w:gridCol w:w="1047"/>
        <w:gridCol w:w="911"/>
        <w:gridCol w:w="788"/>
        <w:gridCol w:w="915"/>
        <w:gridCol w:w="777"/>
        <w:gridCol w:w="822"/>
        <w:gridCol w:w="749"/>
        <w:gridCol w:w="770"/>
        <w:gridCol w:w="996"/>
      </w:tblGrid>
      <w:tr w:rsidR="00E32574" w:rsidRPr="00BF5409" w:rsidTr="00E05FF5">
        <w:trPr>
          <w:trHeight w:val="737"/>
          <w:tblHeader/>
          <w:jc w:val="center"/>
        </w:trPr>
        <w:tc>
          <w:tcPr>
            <w:tcW w:w="576" w:type="pct"/>
            <w:shd w:val="clear" w:color="auto" w:fill="D9D9D9" w:themeFill="background1" w:themeFillShade="D9"/>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Parâmetro</w:t>
            </w:r>
          </w:p>
        </w:tc>
        <w:tc>
          <w:tcPr>
            <w:tcW w:w="435" w:type="pct"/>
            <w:shd w:val="clear" w:color="auto" w:fill="D9D9D9" w:themeFill="background1" w:themeFillShade="D9"/>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Unidade</w:t>
            </w:r>
          </w:p>
        </w:tc>
        <w:tc>
          <w:tcPr>
            <w:tcW w:w="583" w:type="pct"/>
            <w:shd w:val="clear" w:color="auto" w:fill="D9D9D9" w:themeFill="background1" w:themeFillShade="D9"/>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Portaria n° 2914 12/12/2011 do MS</w:t>
            </w:r>
          </w:p>
        </w:tc>
        <w:tc>
          <w:tcPr>
            <w:tcW w:w="422" w:type="pct"/>
            <w:shd w:val="clear" w:color="auto" w:fill="D9D9D9" w:themeFill="background1" w:themeFillShade="D9"/>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Rio Manhuaçu</w:t>
            </w:r>
          </w:p>
        </w:tc>
        <w:tc>
          <w:tcPr>
            <w:tcW w:w="409" w:type="pct"/>
            <w:shd w:val="clear" w:color="auto" w:fill="D9D9D9" w:themeFill="background1" w:themeFillShade="D9"/>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Rio Capim</w:t>
            </w:r>
          </w:p>
        </w:tc>
        <w:tc>
          <w:tcPr>
            <w:tcW w:w="355" w:type="pct"/>
            <w:shd w:val="clear" w:color="auto" w:fill="D9D9D9" w:themeFill="background1" w:themeFillShade="D9"/>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Rio Doce</w:t>
            </w:r>
          </w:p>
        </w:tc>
        <w:tc>
          <w:tcPr>
            <w:tcW w:w="411" w:type="pct"/>
            <w:shd w:val="clear" w:color="auto" w:fill="D9D9D9" w:themeFill="background1" w:themeFillShade="D9"/>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Poço Exp. Alicio</w:t>
            </w:r>
          </w:p>
        </w:tc>
        <w:tc>
          <w:tcPr>
            <w:tcW w:w="347" w:type="pct"/>
            <w:shd w:val="clear" w:color="auto" w:fill="D9D9D9" w:themeFill="background1" w:themeFillShade="D9"/>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Poço Mundo Novo</w:t>
            </w:r>
          </w:p>
        </w:tc>
        <w:tc>
          <w:tcPr>
            <w:tcW w:w="373" w:type="pct"/>
            <w:shd w:val="clear" w:color="auto" w:fill="D9D9D9" w:themeFill="background1" w:themeFillShade="D9"/>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Mina Alto Capim</w:t>
            </w:r>
          </w:p>
        </w:tc>
        <w:tc>
          <w:tcPr>
            <w:tcW w:w="338" w:type="pct"/>
            <w:shd w:val="clear" w:color="auto" w:fill="D9D9D9" w:themeFill="background1" w:themeFillShade="D9"/>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Poço São João</w:t>
            </w:r>
          </w:p>
        </w:tc>
        <w:tc>
          <w:tcPr>
            <w:tcW w:w="347" w:type="pct"/>
            <w:shd w:val="clear" w:color="auto" w:fill="D9D9D9" w:themeFill="background1" w:themeFillShade="D9"/>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Poço São José</w:t>
            </w:r>
          </w:p>
        </w:tc>
        <w:tc>
          <w:tcPr>
            <w:tcW w:w="405" w:type="pct"/>
            <w:shd w:val="clear" w:color="auto" w:fill="D9D9D9" w:themeFill="background1" w:themeFillShade="D9"/>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Poço Santa Terezinha</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sz w:val="18"/>
                <w:szCs w:val="18"/>
              </w:rPr>
              <w:t>pH</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6,0 a 9,0</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7,3</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7,26</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6,97</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5,98</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Turbidez</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uT</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5.0 uT</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20</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37</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10</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5</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Cor</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sz w:val="18"/>
                <w:szCs w:val="18"/>
              </w:rPr>
              <w:t>uH</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15 uH mg PtCo/L</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&lt;5</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Temperatura</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°C</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25 °C</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Alcalinidade</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sz w:val="18"/>
                <w:szCs w:val="18"/>
                <w:vertAlign w:val="subscript"/>
              </w:rPr>
            </w:pPr>
            <w:r w:rsidRPr="00202B64">
              <w:rPr>
                <w:rFonts w:ascii="Times New Roman" w:hAnsi="Times New Roman" w:cs="Times New Roman"/>
                <w:sz w:val="18"/>
                <w:szCs w:val="18"/>
              </w:rPr>
              <w:t>mg/CaCO</w:t>
            </w:r>
            <w:r w:rsidRPr="00202B64">
              <w:rPr>
                <w:rFonts w:ascii="Times New Roman" w:hAnsi="Times New Roman" w:cs="Times New Roman"/>
                <w:sz w:val="18"/>
                <w:szCs w:val="18"/>
                <w:vertAlign w:val="subscript"/>
              </w:rPr>
              <w:t>3</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Alumínio</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0,2 mg/L Al</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ND</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0,09</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0,04</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Amônia</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vertAlign w:val="subscript"/>
              </w:rPr>
            </w:pPr>
            <w:r w:rsidRPr="00202B64">
              <w:rPr>
                <w:rFonts w:ascii="Times New Roman" w:hAnsi="Times New Roman" w:cs="Times New Roman"/>
                <w:sz w:val="18"/>
                <w:szCs w:val="18"/>
              </w:rPr>
              <w:t xml:space="preserve">1,5 </w:t>
            </w:r>
            <w:r w:rsidRPr="00202B64">
              <w:rPr>
                <w:rFonts w:ascii="Times New Roman" w:hAnsi="Times New Roman" w:cs="Times New Roman"/>
                <w:color w:val="auto"/>
                <w:sz w:val="18"/>
                <w:szCs w:val="18"/>
              </w:rPr>
              <w:t>mg/L N-NH</w:t>
            </w:r>
            <w:r w:rsidRPr="00202B64">
              <w:rPr>
                <w:rFonts w:ascii="Times New Roman" w:hAnsi="Times New Roman" w:cs="Times New Roman"/>
                <w:color w:val="auto"/>
                <w:sz w:val="18"/>
                <w:szCs w:val="18"/>
                <w:vertAlign w:val="subscript"/>
              </w:rPr>
              <w:t>3</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0,33</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1,52</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0,12</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0,13</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 xml:space="preserve">Cloreto </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250 </w:t>
            </w:r>
            <w:r w:rsidRPr="00202B64">
              <w:rPr>
                <w:rFonts w:ascii="Times New Roman" w:hAnsi="Times New Roman" w:cs="Times New Roman"/>
                <w:color w:val="auto"/>
                <w:sz w:val="18"/>
                <w:szCs w:val="18"/>
              </w:rPr>
              <w:t>mg/L</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21</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56</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26</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38</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Dureza total</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vertAlign w:val="subscript"/>
              </w:rPr>
            </w:pPr>
            <w:r w:rsidRPr="00202B64">
              <w:rPr>
                <w:rFonts w:ascii="Times New Roman" w:hAnsi="Times New Roman" w:cs="Times New Roman"/>
                <w:sz w:val="18"/>
                <w:szCs w:val="18"/>
              </w:rPr>
              <w:t xml:space="preserve">500 </w:t>
            </w:r>
            <w:r w:rsidRPr="00202B64">
              <w:rPr>
                <w:rFonts w:ascii="Times New Roman" w:hAnsi="Times New Roman" w:cs="Times New Roman"/>
                <w:color w:val="auto"/>
                <w:sz w:val="18"/>
                <w:szCs w:val="18"/>
              </w:rPr>
              <w:t>mg/L CaCO</w:t>
            </w:r>
            <w:r w:rsidRPr="00202B64">
              <w:rPr>
                <w:rFonts w:ascii="Times New Roman" w:hAnsi="Times New Roman" w:cs="Times New Roman"/>
                <w:color w:val="auto"/>
                <w:sz w:val="18"/>
                <w:szCs w:val="18"/>
                <w:vertAlign w:val="subscript"/>
              </w:rPr>
              <w:t>3</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42,2</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40</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28</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59</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Ferro Total</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0,3 </w:t>
            </w:r>
            <w:r w:rsidRPr="00202B64">
              <w:rPr>
                <w:rFonts w:ascii="Times New Roman" w:hAnsi="Times New Roman" w:cs="Times New Roman"/>
                <w:color w:val="auto"/>
                <w:sz w:val="18"/>
                <w:szCs w:val="18"/>
              </w:rPr>
              <w:t>mg/L Fe</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1,12</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0,07</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0,56</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Ferro solúvel</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color w:val="auto"/>
                <w:sz w:val="18"/>
                <w:szCs w:val="18"/>
              </w:rPr>
              <w:t>mg/L</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0,38</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Fluoreto</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vertAlign w:val="superscript"/>
              </w:rPr>
            </w:pPr>
            <w:r w:rsidRPr="00202B64">
              <w:rPr>
                <w:rFonts w:ascii="Times New Roman" w:hAnsi="Times New Roman" w:cs="Times New Roman"/>
                <w:sz w:val="18"/>
                <w:szCs w:val="18"/>
              </w:rPr>
              <w:t xml:space="preserve">1,5 </w:t>
            </w:r>
            <w:r w:rsidRPr="00202B64">
              <w:rPr>
                <w:rFonts w:ascii="Times New Roman" w:hAnsi="Times New Roman" w:cs="Times New Roman"/>
                <w:color w:val="auto"/>
                <w:sz w:val="18"/>
                <w:szCs w:val="18"/>
              </w:rPr>
              <w:t>mg/L F</w:t>
            </w:r>
            <w:r w:rsidRPr="00202B64">
              <w:rPr>
                <w:rFonts w:ascii="Times New Roman" w:hAnsi="Times New Roman" w:cs="Times New Roman"/>
                <w:color w:val="auto"/>
                <w:sz w:val="18"/>
                <w:szCs w:val="18"/>
                <w:vertAlign w:val="superscript"/>
              </w:rPr>
              <w:t>-</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0,1</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0,06</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0,34</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Manganês</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0,1 </w:t>
            </w:r>
            <w:r w:rsidRPr="00202B64">
              <w:rPr>
                <w:rFonts w:ascii="Times New Roman" w:hAnsi="Times New Roman" w:cs="Times New Roman"/>
                <w:color w:val="auto"/>
                <w:sz w:val="18"/>
                <w:szCs w:val="18"/>
              </w:rPr>
              <w:t>mg/L Mn</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0,04</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0,07</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Sólidos Dissolvidos</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1000 </w:t>
            </w:r>
            <w:r w:rsidRPr="00202B64">
              <w:rPr>
                <w:rFonts w:ascii="Times New Roman" w:hAnsi="Times New Roman" w:cs="Times New Roman"/>
                <w:color w:val="auto"/>
                <w:sz w:val="18"/>
                <w:szCs w:val="18"/>
              </w:rPr>
              <w:t>mg/L</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28,5</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64,9</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28,1</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115,1</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lastRenderedPageBreak/>
              <w:t>Sulfato</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250 </w:t>
            </w:r>
            <w:r w:rsidRPr="00202B64">
              <w:rPr>
                <w:rFonts w:ascii="Times New Roman" w:hAnsi="Times New Roman" w:cs="Times New Roman"/>
                <w:color w:val="auto"/>
                <w:sz w:val="18"/>
                <w:szCs w:val="18"/>
              </w:rPr>
              <w:t>mg/L</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11</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Zinco</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5</w:t>
            </w:r>
            <w:r w:rsidRPr="00202B64">
              <w:rPr>
                <w:rFonts w:ascii="Times New Roman" w:hAnsi="Times New Roman" w:cs="Times New Roman"/>
                <w:color w:val="auto"/>
                <w:sz w:val="18"/>
                <w:szCs w:val="18"/>
              </w:rPr>
              <w:t xml:space="preserve"> mg/L Zn</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0,15</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0,16</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0,05</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0,05</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Cromo Hexavalente</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0,05 </w:t>
            </w:r>
            <w:r w:rsidRPr="00202B64">
              <w:rPr>
                <w:rFonts w:ascii="Times New Roman" w:hAnsi="Times New Roman" w:cs="Times New Roman"/>
                <w:color w:val="auto"/>
                <w:sz w:val="18"/>
                <w:szCs w:val="18"/>
              </w:rPr>
              <w:t>mg/L Cr</w:t>
            </w:r>
            <w:r w:rsidRPr="00202B64">
              <w:rPr>
                <w:rFonts w:ascii="Times New Roman" w:hAnsi="Times New Roman" w:cs="Times New Roman"/>
                <w:color w:val="auto"/>
                <w:sz w:val="18"/>
                <w:szCs w:val="18"/>
                <w:vertAlign w:val="superscript"/>
              </w:rPr>
              <w:t>6+</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0,01</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0,08</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Cianeto</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0,07 </w:t>
            </w:r>
            <w:r w:rsidRPr="00202B64">
              <w:rPr>
                <w:rFonts w:ascii="Times New Roman" w:hAnsi="Times New Roman" w:cs="Times New Roman"/>
                <w:color w:val="auto"/>
                <w:sz w:val="18"/>
                <w:szCs w:val="18"/>
              </w:rPr>
              <w:t>mg/L CN</w:t>
            </w:r>
            <w:r w:rsidRPr="00202B64">
              <w:rPr>
                <w:rFonts w:ascii="Times New Roman" w:hAnsi="Times New Roman" w:cs="Times New Roman"/>
                <w:color w:val="auto"/>
                <w:sz w:val="18"/>
                <w:szCs w:val="18"/>
                <w:vertAlign w:val="superscript"/>
              </w:rPr>
              <w:t>-</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0,004</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0,028</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0,002</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0,002</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Cobre</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2 </w:t>
            </w:r>
            <w:r w:rsidRPr="00202B64">
              <w:rPr>
                <w:rFonts w:ascii="Times New Roman" w:hAnsi="Times New Roman" w:cs="Times New Roman"/>
                <w:color w:val="auto"/>
                <w:sz w:val="18"/>
                <w:szCs w:val="18"/>
              </w:rPr>
              <w:t>mg/L Cu</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0,04</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0,12</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0,01</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Potássio</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0,05 </w:t>
            </w:r>
            <w:r w:rsidRPr="00202B64">
              <w:rPr>
                <w:rFonts w:ascii="Times New Roman" w:hAnsi="Times New Roman" w:cs="Times New Roman"/>
                <w:color w:val="auto"/>
                <w:sz w:val="18"/>
                <w:szCs w:val="18"/>
              </w:rPr>
              <w:t>mg/L  K</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Fosfato</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0,025 </w:t>
            </w:r>
            <w:r w:rsidRPr="00202B64">
              <w:rPr>
                <w:rFonts w:ascii="Times New Roman" w:hAnsi="Times New Roman" w:cs="Times New Roman"/>
                <w:color w:val="auto"/>
                <w:sz w:val="18"/>
                <w:szCs w:val="18"/>
              </w:rPr>
              <w:t>mg/L PO</w:t>
            </w:r>
            <w:r w:rsidRPr="00202B64">
              <w:rPr>
                <w:rFonts w:ascii="Times New Roman" w:hAnsi="Times New Roman" w:cs="Times New Roman"/>
                <w:color w:val="auto"/>
                <w:sz w:val="18"/>
                <w:szCs w:val="18"/>
                <w:vertAlign w:val="subscript"/>
              </w:rPr>
              <w:t xml:space="preserve">4 </w:t>
            </w:r>
            <w:r w:rsidRPr="00202B64">
              <w:rPr>
                <w:rFonts w:ascii="Times New Roman" w:hAnsi="Times New Roman" w:cs="Times New Roman"/>
                <w:color w:val="auto"/>
                <w:sz w:val="18"/>
                <w:szCs w:val="18"/>
                <w:vertAlign w:val="superscript"/>
              </w:rPr>
              <w:t>3-</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Oxigênio Dissolvido</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ind w:left="360"/>
              <w:rPr>
                <w:rFonts w:ascii="Times New Roman" w:hAnsi="Times New Roman" w:cs="Times New Roman"/>
                <w:sz w:val="18"/>
                <w:szCs w:val="18"/>
              </w:rPr>
            </w:pPr>
            <w:r w:rsidRPr="00202B64">
              <w:rPr>
                <w:rFonts w:ascii="Times New Roman" w:hAnsi="Times New Roman" w:cs="Times New Roman"/>
                <w:sz w:val="18"/>
                <w:szCs w:val="18"/>
              </w:rPr>
              <w:t>&gt; 4</w:t>
            </w:r>
            <w:r w:rsidRPr="00202B64">
              <w:rPr>
                <w:rFonts w:ascii="Times New Roman" w:hAnsi="Times New Roman" w:cs="Times New Roman"/>
                <w:color w:val="auto"/>
                <w:sz w:val="18"/>
                <w:szCs w:val="18"/>
              </w:rPr>
              <w:t xml:space="preserve"> mg/L</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7,5</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Nitrato</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ind w:left="360"/>
              <w:rPr>
                <w:rFonts w:ascii="Times New Roman" w:hAnsi="Times New Roman" w:cs="Times New Roman"/>
                <w:sz w:val="18"/>
                <w:szCs w:val="18"/>
              </w:rPr>
            </w:pPr>
            <w:r w:rsidRPr="00202B64">
              <w:rPr>
                <w:rFonts w:ascii="Times New Roman" w:hAnsi="Times New Roman" w:cs="Times New Roman"/>
                <w:sz w:val="18"/>
                <w:szCs w:val="18"/>
              </w:rPr>
              <w:t xml:space="preserve">10 </w:t>
            </w:r>
            <w:r w:rsidRPr="00202B64">
              <w:rPr>
                <w:rFonts w:ascii="Times New Roman" w:hAnsi="Times New Roman" w:cs="Times New Roman"/>
                <w:color w:val="auto"/>
                <w:sz w:val="18"/>
                <w:szCs w:val="18"/>
              </w:rPr>
              <w:t>mg/L N – NO</w:t>
            </w:r>
            <w:r w:rsidRPr="00202B64">
              <w:rPr>
                <w:rFonts w:ascii="Times New Roman" w:hAnsi="Times New Roman" w:cs="Times New Roman"/>
                <w:color w:val="auto"/>
                <w:sz w:val="18"/>
                <w:szCs w:val="18"/>
                <w:vertAlign w:val="subscript"/>
              </w:rPr>
              <w:t>3</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1,28</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1,06</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2,93</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Nitrito</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ind w:left="360"/>
              <w:rPr>
                <w:rFonts w:ascii="Times New Roman" w:hAnsi="Times New Roman" w:cs="Times New Roman"/>
                <w:sz w:val="18"/>
                <w:szCs w:val="18"/>
              </w:rPr>
            </w:pPr>
            <w:r w:rsidRPr="00202B64">
              <w:rPr>
                <w:rFonts w:ascii="Times New Roman" w:hAnsi="Times New Roman" w:cs="Times New Roman"/>
                <w:sz w:val="18"/>
                <w:szCs w:val="18"/>
              </w:rPr>
              <w:t xml:space="preserve">1 </w:t>
            </w:r>
            <w:r w:rsidRPr="00202B64">
              <w:rPr>
                <w:rFonts w:ascii="Times New Roman" w:hAnsi="Times New Roman" w:cs="Times New Roman"/>
                <w:color w:val="auto"/>
                <w:sz w:val="18"/>
                <w:szCs w:val="18"/>
              </w:rPr>
              <w:t>mg/L N – NO</w:t>
            </w:r>
            <w:r w:rsidRPr="00202B64">
              <w:rPr>
                <w:rFonts w:ascii="Times New Roman" w:hAnsi="Times New Roman" w:cs="Times New Roman"/>
                <w:color w:val="auto"/>
                <w:sz w:val="18"/>
                <w:szCs w:val="18"/>
                <w:vertAlign w:val="subscript"/>
              </w:rPr>
              <w:t>2</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0,018</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0,052</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0,009</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Sílica</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ind w:left="360"/>
              <w:rPr>
                <w:rFonts w:ascii="Times New Roman" w:hAnsi="Times New Roman" w:cs="Times New Roman"/>
                <w:sz w:val="18"/>
                <w:szCs w:val="18"/>
              </w:rPr>
            </w:pPr>
            <w:r w:rsidRPr="00202B64">
              <w:rPr>
                <w:rFonts w:ascii="Times New Roman" w:hAnsi="Times New Roman" w:cs="Times New Roman"/>
                <w:sz w:val="18"/>
                <w:szCs w:val="18"/>
              </w:rPr>
              <w:t xml:space="preserve">110 </w:t>
            </w:r>
            <w:r w:rsidRPr="00202B64">
              <w:rPr>
                <w:rFonts w:ascii="Times New Roman" w:hAnsi="Times New Roman" w:cs="Times New Roman"/>
                <w:color w:val="auto"/>
                <w:sz w:val="18"/>
                <w:szCs w:val="18"/>
              </w:rPr>
              <w:t>mg/L</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r>
      <w:tr w:rsidR="00E32574" w:rsidRPr="00202B64" w:rsidTr="00E32574">
        <w:trPr>
          <w:trHeight w:val="374"/>
          <w:jc w:val="center"/>
        </w:trPr>
        <w:tc>
          <w:tcPr>
            <w:tcW w:w="5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Fenol</w:t>
            </w:r>
          </w:p>
        </w:tc>
        <w:tc>
          <w:tcPr>
            <w:tcW w:w="4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583" w:type="pct"/>
            <w:vAlign w:val="center"/>
          </w:tcPr>
          <w:p w:rsidR="00E32574" w:rsidRPr="00202B64" w:rsidRDefault="00E32574" w:rsidP="00E05FF5">
            <w:pPr>
              <w:pStyle w:val="Default"/>
              <w:spacing w:before="60" w:after="60"/>
              <w:ind w:left="360"/>
              <w:rPr>
                <w:rFonts w:ascii="Times New Roman" w:hAnsi="Times New Roman" w:cs="Times New Roman"/>
                <w:sz w:val="18"/>
                <w:szCs w:val="18"/>
              </w:rPr>
            </w:pPr>
            <w:r w:rsidRPr="00202B64">
              <w:rPr>
                <w:rFonts w:ascii="Times New Roman" w:hAnsi="Times New Roman" w:cs="Times New Roman"/>
                <w:sz w:val="18"/>
                <w:szCs w:val="18"/>
              </w:rPr>
              <w:t xml:space="preserve">0,001 </w:t>
            </w:r>
            <w:r w:rsidRPr="00202B64">
              <w:rPr>
                <w:rFonts w:ascii="Times New Roman" w:hAnsi="Times New Roman" w:cs="Times New Roman"/>
                <w:color w:val="auto"/>
                <w:sz w:val="18"/>
                <w:szCs w:val="18"/>
              </w:rPr>
              <w:t>mg/L</w:t>
            </w:r>
          </w:p>
        </w:tc>
        <w:tc>
          <w:tcPr>
            <w:tcW w:w="42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0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5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11"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73"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38"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347"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4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r>
    </w:tbl>
    <w:p w:rsidR="00E32574" w:rsidRPr="00BF5409" w:rsidRDefault="00BF5409" w:rsidP="00BF5409">
      <w:pPr>
        <w:widowControl w:val="0"/>
        <w:autoSpaceDE w:val="0"/>
        <w:autoSpaceDN w:val="0"/>
        <w:adjustRightInd w:val="0"/>
        <w:spacing w:before="120" w:after="0" w:line="240" w:lineRule="auto"/>
        <w:ind w:left="1276"/>
        <w:rPr>
          <w:bCs/>
          <w:sz w:val="20"/>
          <w:szCs w:val="20"/>
        </w:rPr>
      </w:pPr>
      <w:r w:rsidRPr="00BF5409">
        <w:rPr>
          <w:bCs/>
          <w:sz w:val="20"/>
          <w:szCs w:val="20"/>
        </w:rPr>
        <w:t>Fonte: SAAE, 2013</w:t>
      </w:r>
    </w:p>
    <w:p w:rsidR="008C148B" w:rsidRDefault="008C148B">
      <w:pPr>
        <w:spacing w:after="200" w:line="276" w:lineRule="auto"/>
        <w:rPr>
          <w:rFonts w:eastAsiaTheme="minorEastAsia" w:cs="Times New Roman"/>
          <w:bCs/>
          <w:szCs w:val="24"/>
          <w:lang w:eastAsia="pt-BR"/>
        </w:rPr>
      </w:pPr>
      <w:r>
        <w:br w:type="page"/>
      </w:r>
    </w:p>
    <w:p w:rsidR="008C148B" w:rsidRPr="008C148B" w:rsidRDefault="0075744C" w:rsidP="0075744C">
      <w:pPr>
        <w:pStyle w:val="Legenda"/>
        <w:rPr>
          <w:color w:val="000000"/>
        </w:rPr>
      </w:pPr>
      <w:bookmarkStart w:id="382" w:name="_Toc372740545"/>
      <w:r>
        <w:lastRenderedPageBreak/>
        <w:t xml:space="preserve">Quadro </w:t>
      </w:r>
      <w:fldSimple w:instr=" SEQ Quadro \* ARABIC ">
        <w:r w:rsidR="004F77E2">
          <w:rPr>
            <w:noProof/>
          </w:rPr>
          <w:t>39</w:t>
        </w:r>
      </w:fldSimple>
      <w:r>
        <w:t xml:space="preserve"> - </w:t>
      </w:r>
      <w:r w:rsidRPr="005B0930">
        <w:rPr>
          <w:noProof/>
        </w:rPr>
        <w:t>Controle dos parâmetros físico-químicos da água tratada realizadas no município de Aimorés.</w:t>
      </w:r>
      <w:bookmarkEnd w:id="3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3"/>
        <w:gridCol w:w="1007"/>
        <w:gridCol w:w="1293"/>
        <w:gridCol w:w="807"/>
        <w:gridCol w:w="1006"/>
        <w:gridCol w:w="807"/>
        <w:gridCol w:w="947"/>
        <w:gridCol w:w="907"/>
        <w:gridCol w:w="837"/>
        <w:gridCol w:w="786"/>
        <w:gridCol w:w="807"/>
        <w:gridCol w:w="807"/>
        <w:gridCol w:w="786"/>
        <w:gridCol w:w="926"/>
        <w:gridCol w:w="996"/>
      </w:tblGrid>
      <w:tr w:rsidR="00E32574" w:rsidRPr="00BF5409" w:rsidTr="00E32574">
        <w:trPr>
          <w:trHeight w:val="737"/>
          <w:tblHeader/>
        </w:trPr>
        <w:tc>
          <w:tcPr>
            <w:tcW w:w="485"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Parâmetro</w:t>
            </w:r>
          </w:p>
        </w:tc>
        <w:tc>
          <w:tcPr>
            <w:tcW w:w="354"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Unidade</w:t>
            </w:r>
          </w:p>
        </w:tc>
        <w:tc>
          <w:tcPr>
            <w:tcW w:w="492"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Portaria n° 2914 12/12/2011 do MS</w:t>
            </w:r>
          </w:p>
        </w:tc>
        <w:tc>
          <w:tcPr>
            <w:tcW w:w="284"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Sede</w:t>
            </w:r>
          </w:p>
        </w:tc>
        <w:tc>
          <w:tcPr>
            <w:tcW w:w="349"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Conceição do Capim</w:t>
            </w:r>
          </w:p>
        </w:tc>
        <w:tc>
          <w:tcPr>
            <w:tcW w:w="305"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Penha do Capim</w:t>
            </w:r>
          </w:p>
        </w:tc>
        <w:tc>
          <w:tcPr>
            <w:tcW w:w="350"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São Sebastião da Vala</w:t>
            </w:r>
          </w:p>
        </w:tc>
        <w:tc>
          <w:tcPr>
            <w:tcW w:w="294"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Tabaúna</w:t>
            </w:r>
          </w:p>
        </w:tc>
        <w:tc>
          <w:tcPr>
            <w:tcW w:w="319"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Sto. Antônio do Rio Doce</w:t>
            </w:r>
          </w:p>
        </w:tc>
        <w:tc>
          <w:tcPr>
            <w:tcW w:w="276"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Ex. Alicio</w:t>
            </w:r>
          </w:p>
        </w:tc>
        <w:tc>
          <w:tcPr>
            <w:tcW w:w="284"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Mundo Novo</w:t>
            </w:r>
          </w:p>
        </w:tc>
        <w:tc>
          <w:tcPr>
            <w:tcW w:w="284"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Alto Capim</w:t>
            </w:r>
          </w:p>
        </w:tc>
        <w:tc>
          <w:tcPr>
            <w:tcW w:w="276"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São João</w:t>
            </w:r>
          </w:p>
        </w:tc>
        <w:tc>
          <w:tcPr>
            <w:tcW w:w="312"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São José do Limoeiro</w:t>
            </w:r>
          </w:p>
        </w:tc>
        <w:tc>
          <w:tcPr>
            <w:tcW w:w="335" w:type="pct"/>
            <w:shd w:val="clear" w:color="auto" w:fill="BFBFBF"/>
            <w:vAlign w:val="center"/>
          </w:tcPr>
          <w:p w:rsidR="00E32574" w:rsidRPr="00BF5409" w:rsidRDefault="00E32574" w:rsidP="00E05FF5">
            <w:pPr>
              <w:pStyle w:val="Default"/>
              <w:spacing w:before="60" w:after="60"/>
              <w:jc w:val="center"/>
              <w:rPr>
                <w:rFonts w:ascii="Times New Roman" w:hAnsi="Times New Roman" w:cs="Times New Roman"/>
                <w:b/>
                <w:sz w:val="18"/>
                <w:szCs w:val="18"/>
              </w:rPr>
            </w:pPr>
            <w:r w:rsidRPr="00BF5409">
              <w:rPr>
                <w:rFonts w:ascii="Times New Roman" w:hAnsi="Times New Roman" w:cs="Times New Roman"/>
                <w:b/>
                <w:sz w:val="18"/>
                <w:szCs w:val="18"/>
              </w:rPr>
              <w:t>Santa Terezinha</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sz w:val="18"/>
                <w:szCs w:val="18"/>
              </w:rPr>
              <w:t>pH</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6,0 a 9,0</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7,8</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6,7</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6,7</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6,8</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7,2</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6,3</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6,4</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7,5</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6,0</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6,2</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6,0</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7,5</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Turbidez</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uT</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5.0 uT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0,7</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0,5</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0,5</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0,5</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0,5</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0,5</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0,5</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4,0</w:t>
            </w:r>
          </w:p>
        </w:tc>
        <w:tc>
          <w:tcPr>
            <w:tcW w:w="284" w:type="pct"/>
            <w:vAlign w:val="center"/>
          </w:tcPr>
          <w:p w:rsidR="00E32574" w:rsidRPr="00202B64" w:rsidRDefault="00E32574" w:rsidP="00E05FF5">
            <w:pPr>
              <w:pStyle w:val="Default"/>
              <w:spacing w:before="60" w:after="60"/>
              <w:rPr>
                <w:rFonts w:ascii="Times New Roman" w:hAnsi="Times New Roman" w:cs="Times New Roman"/>
                <w:sz w:val="18"/>
                <w:szCs w:val="18"/>
              </w:rPr>
            </w:pPr>
            <w:r w:rsidRPr="00202B64">
              <w:rPr>
                <w:rFonts w:ascii="Times New Roman" w:hAnsi="Times New Roman" w:cs="Times New Roman"/>
                <w:sz w:val="18"/>
                <w:szCs w:val="18"/>
              </w:rPr>
              <w:t>0,5</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0,5</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0,5</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0,5</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Cor</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sz w:val="18"/>
                <w:szCs w:val="18"/>
              </w:rPr>
              <w:t>uH</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15 uH mg PtCo/L</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&lt;5</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&lt;5</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&lt;5</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&lt;5</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&lt;5</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&lt;5</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&lt;5</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&lt;5</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&lt;5</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&lt;5</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&lt;5</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&lt;5</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Sabor</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Não objetável</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Insípido</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Insípido</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Insípido</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Insípido</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Insípido</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Insípido</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Salobra</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Insípido</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Insípido</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Salobra</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Salobra</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Insípido</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Odor</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Não objetável</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Inodoro</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Inodoro</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Inodoro</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Inodoro</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Inodoro</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Inodoro</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Inodoro</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Inodoro</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Inodoro</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Inodoro</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Inodoro</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Inodoro</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Alcalinidade</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sz w:val="18"/>
                <w:szCs w:val="18"/>
                <w:vertAlign w:val="subscript"/>
              </w:rPr>
            </w:pPr>
            <w:r w:rsidRPr="00202B64">
              <w:rPr>
                <w:rFonts w:ascii="Times New Roman" w:hAnsi="Times New Roman" w:cs="Times New Roman"/>
                <w:sz w:val="18"/>
                <w:szCs w:val="18"/>
              </w:rPr>
              <w:t>mg/CaCO</w:t>
            </w:r>
            <w:r w:rsidRPr="00202B64">
              <w:rPr>
                <w:rFonts w:ascii="Times New Roman" w:hAnsi="Times New Roman" w:cs="Times New Roman"/>
                <w:sz w:val="18"/>
                <w:szCs w:val="18"/>
                <w:vertAlign w:val="subscript"/>
              </w:rPr>
              <w:t>3</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6,0</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6,0</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16,0</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5,0</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3,0</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2,0</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Alumínio</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0,2 mg/L Al</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0,03</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0,1</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ND</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0,06</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0,2</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0,01</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Amônia</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vertAlign w:val="subscript"/>
              </w:rPr>
            </w:pPr>
            <w:r w:rsidRPr="00202B64">
              <w:rPr>
                <w:rFonts w:ascii="Times New Roman" w:hAnsi="Times New Roman" w:cs="Times New Roman"/>
                <w:sz w:val="18"/>
                <w:szCs w:val="18"/>
              </w:rPr>
              <w:t xml:space="preserve">1,5 </w:t>
            </w:r>
            <w:r w:rsidRPr="00202B64">
              <w:rPr>
                <w:rFonts w:ascii="Times New Roman" w:hAnsi="Times New Roman" w:cs="Times New Roman"/>
                <w:color w:val="auto"/>
                <w:sz w:val="18"/>
                <w:szCs w:val="18"/>
              </w:rPr>
              <w:t>mg/L N-NH</w:t>
            </w:r>
            <w:r w:rsidRPr="00202B64">
              <w:rPr>
                <w:rFonts w:ascii="Times New Roman" w:hAnsi="Times New Roman" w:cs="Times New Roman"/>
                <w:color w:val="auto"/>
                <w:sz w:val="18"/>
                <w:szCs w:val="18"/>
                <w:vertAlign w:val="subscript"/>
              </w:rPr>
              <w:t>3</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0,02</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0,008</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ND</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0,04</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0,07</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0,1</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0,09</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0,09</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0,03</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ND</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ND</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0,09</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Cálcio</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Cloreto total</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250 </w:t>
            </w:r>
            <w:r w:rsidRPr="00202B64">
              <w:rPr>
                <w:rFonts w:ascii="Times New Roman" w:hAnsi="Times New Roman" w:cs="Times New Roman"/>
                <w:color w:val="auto"/>
                <w:sz w:val="18"/>
                <w:szCs w:val="18"/>
              </w:rPr>
              <w:t>mg/L</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26</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44</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43</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41</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41</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27</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210</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68</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16</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137</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58</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230</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vertAlign w:val="subscript"/>
              </w:rPr>
            </w:pPr>
            <w:r w:rsidRPr="00202B64">
              <w:rPr>
                <w:rFonts w:ascii="Times New Roman" w:hAnsi="Times New Roman" w:cs="Times New Roman"/>
                <w:sz w:val="18"/>
                <w:szCs w:val="18"/>
              </w:rPr>
              <w:t>CO</w:t>
            </w:r>
            <w:r w:rsidRPr="00202B64">
              <w:rPr>
                <w:rFonts w:ascii="Times New Roman" w:hAnsi="Times New Roman" w:cs="Times New Roman"/>
                <w:sz w:val="18"/>
                <w:szCs w:val="18"/>
                <w:vertAlign w:val="subscript"/>
              </w:rPr>
              <w:t>2</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2,5 </w:t>
            </w:r>
            <w:r w:rsidRPr="00202B64">
              <w:rPr>
                <w:rFonts w:ascii="Times New Roman" w:hAnsi="Times New Roman" w:cs="Times New Roman"/>
                <w:color w:val="auto"/>
                <w:sz w:val="18"/>
                <w:szCs w:val="18"/>
              </w:rPr>
              <w:t>mg/L</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2,0</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20</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2,0</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2,0</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2,0</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2,0</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2,5</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2,5</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Dureza total</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vertAlign w:val="subscript"/>
              </w:rPr>
            </w:pPr>
            <w:r w:rsidRPr="00202B64">
              <w:rPr>
                <w:rFonts w:ascii="Times New Roman" w:hAnsi="Times New Roman" w:cs="Times New Roman"/>
                <w:sz w:val="18"/>
                <w:szCs w:val="18"/>
              </w:rPr>
              <w:t xml:space="preserve">500 </w:t>
            </w:r>
            <w:r w:rsidRPr="00202B64">
              <w:rPr>
                <w:rFonts w:ascii="Times New Roman" w:hAnsi="Times New Roman" w:cs="Times New Roman"/>
                <w:color w:val="auto"/>
                <w:sz w:val="18"/>
                <w:szCs w:val="18"/>
              </w:rPr>
              <w:t>mg/L CaCO</w:t>
            </w:r>
            <w:r w:rsidRPr="00202B64">
              <w:rPr>
                <w:rFonts w:ascii="Times New Roman" w:hAnsi="Times New Roman" w:cs="Times New Roman"/>
                <w:color w:val="auto"/>
                <w:sz w:val="18"/>
                <w:szCs w:val="18"/>
                <w:vertAlign w:val="subscript"/>
              </w:rPr>
              <w:t>3</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32</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62</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59</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80</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45</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36</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134</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115</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51</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80</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55</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35</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Ferro Total</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0,3 </w:t>
            </w:r>
            <w:r w:rsidRPr="00202B64">
              <w:rPr>
                <w:rFonts w:ascii="Times New Roman" w:hAnsi="Times New Roman" w:cs="Times New Roman"/>
                <w:color w:val="auto"/>
                <w:sz w:val="18"/>
                <w:szCs w:val="18"/>
              </w:rPr>
              <w:t>mg/L Fe</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0,02</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0,05</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0,02</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0,01</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0,01</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0,5</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0,02</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0,01</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0,01</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0,03</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Fluoreto</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vertAlign w:val="superscript"/>
              </w:rPr>
            </w:pPr>
            <w:r w:rsidRPr="00202B64">
              <w:rPr>
                <w:rFonts w:ascii="Times New Roman" w:hAnsi="Times New Roman" w:cs="Times New Roman"/>
                <w:sz w:val="18"/>
                <w:szCs w:val="18"/>
              </w:rPr>
              <w:t xml:space="preserve">1,5 </w:t>
            </w:r>
            <w:r w:rsidRPr="00202B64">
              <w:rPr>
                <w:rFonts w:ascii="Times New Roman" w:hAnsi="Times New Roman" w:cs="Times New Roman"/>
                <w:color w:val="auto"/>
                <w:sz w:val="18"/>
                <w:szCs w:val="18"/>
              </w:rPr>
              <w:t>mg/L F</w:t>
            </w:r>
            <w:r w:rsidRPr="00202B64">
              <w:rPr>
                <w:rFonts w:ascii="Times New Roman" w:hAnsi="Times New Roman" w:cs="Times New Roman"/>
                <w:color w:val="auto"/>
                <w:sz w:val="18"/>
                <w:szCs w:val="18"/>
                <w:vertAlign w:val="superscript"/>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0,5</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0,7</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0,4</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0,65</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0,4</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0,6</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0,6</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1,1</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0,2</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0,2</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0,2</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0,3</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Manganês</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0,1 </w:t>
            </w:r>
            <w:r w:rsidRPr="00202B64">
              <w:rPr>
                <w:rFonts w:ascii="Times New Roman" w:hAnsi="Times New Roman" w:cs="Times New Roman"/>
                <w:color w:val="auto"/>
                <w:sz w:val="18"/>
                <w:szCs w:val="18"/>
              </w:rPr>
              <w:t>mg/L Mn</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0,05</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0,04</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0,04</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0,09</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0,03</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0,04</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0,04</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lastRenderedPageBreak/>
              <w:t xml:space="preserve">Magnésio </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Sulfato</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250 </w:t>
            </w:r>
            <w:r w:rsidRPr="00202B64">
              <w:rPr>
                <w:rFonts w:ascii="Times New Roman" w:hAnsi="Times New Roman" w:cs="Times New Roman"/>
                <w:color w:val="auto"/>
                <w:sz w:val="18"/>
                <w:szCs w:val="18"/>
              </w:rPr>
              <w:t>mg/L</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5</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8</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Sólidos Dissolvidos</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1000 </w:t>
            </w:r>
            <w:r w:rsidRPr="00202B64">
              <w:rPr>
                <w:rFonts w:ascii="Times New Roman" w:hAnsi="Times New Roman" w:cs="Times New Roman"/>
                <w:color w:val="auto"/>
                <w:sz w:val="18"/>
                <w:szCs w:val="18"/>
              </w:rPr>
              <w:t>mg/L</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36,4</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67,3</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67,5</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97,9</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28,2</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89,8</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160,7</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132,0</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26,5</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143,9</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51,7</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89,8</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Zinco</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5</w:t>
            </w:r>
            <w:r w:rsidRPr="00202B64">
              <w:rPr>
                <w:rFonts w:ascii="Times New Roman" w:hAnsi="Times New Roman" w:cs="Times New Roman"/>
                <w:color w:val="auto"/>
                <w:sz w:val="18"/>
                <w:szCs w:val="18"/>
              </w:rPr>
              <w:t xml:space="preserve"> mg/L Zn</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0,02</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0,02</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0,03</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0,03</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0,02</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0,02</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0,04</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0,01</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0,02</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Cloro Livre</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5 </w:t>
            </w:r>
            <w:r w:rsidRPr="00202B64">
              <w:rPr>
                <w:rFonts w:ascii="Times New Roman" w:hAnsi="Times New Roman" w:cs="Times New Roman"/>
                <w:color w:val="auto"/>
                <w:sz w:val="18"/>
                <w:szCs w:val="18"/>
              </w:rPr>
              <w:t>mg/L Cl</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1,0</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0,3</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0,3</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0,3</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0,3</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0,3</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0,3</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0,3</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0,2</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0,3</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0,2</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0,2</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Cromo Hexavalente</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0,05 </w:t>
            </w:r>
            <w:r w:rsidRPr="00202B64">
              <w:rPr>
                <w:rFonts w:ascii="Times New Roman" w:hAnsi="Times New Roman" w:cs="Times New Roman"/>
                <w:color w:val="auto"/>
                <w:sz w:val="18"/>
                <w:szCs w:val="18"/>
              </w:rPr>
              <w:t>mg/L Cr</w:t>
            </w:r>
            <w:r w:rsidRPr="00202B64">
              <w:rPr>
                <w:rFonts w:ascii="Times New Roman" w:hAnsi="Times New Roman" w:cs="Times New Roman"/>
                <w:color w:val="auto"/>
                <w:sz w:val="18"/>
                <w:szCs w:val="18"/>
                <w:vertAlign w:val="superscript"/>
              </w:rPr>
              <w:t>6+</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0,01</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0,01</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Cianeto</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 xml:space="preserve">0,07 </w:t>
            </w:r>
            <w:r w:rsidRPr="00202B64">
              <w:rPr>
                <w:rFonts w:ascii="Times New Roman" w:hAnsi="Times New Roman" w:cs="Times New Roman"/>
                <w:color w:val="auto"/>
                <w:sz w:val="18"/>
                <w:szCs w:val="18"/>
              </w:rPr>
              <w:t>mg/L CN</w:t>
            </w:r>
            <w:r w:rsidRPr="00202B64">
              <w:rPr>
                <w:rFonts w:ascii="Times New Roman" w:hAnsi="Times New Roman" w:cs="Times New Roman"/>
                <w:color w:val="auto"/>
                <w:sz w:val="18"/>
                <w:szCs w:val="18"/>
                <w:vertAlign w:val="superscript"/>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0,001</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0,002</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0,001</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Oxigênio Dissolvido</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ind w:left="360"/>
              <w:rPr>
                <w:rFonts w:ascii="Times New Roman" w:hAnsi="Times New Roman" w:cs="Times New Roman"/>
                <w:sz w:val="18"/>
                <w:szCs w:val="18"/>
              </w:rPr>
            </w:pPr>
            <w:r w:rsidRPr="00202B64">
              <w:rPr>
                <w:rFonts w:ascii="Times New Roman" w:hAnsi="Times New Roman" w:cs="Times New Roman"/>
                <w:sz w:val="18"/>
                <w:szCs w:val="18"/>
              </w:rPr>
              <w:t>&gt; 4</w:t>
            </w:r>
            <w:r w:rsidRPr="00202B64">
              <w:rPr>
                <w:rFonts w:ascii="Times New Roman" w:hAnsi="Times New Roman" w:cs="Times New Roman"/>
                <w:color w:val="auto"/>
                <w:sz w:val="18"/>
                <w:szCs w:val="18"/>
              </w:rPr>
              <w:t xml:space="preserve"> mg/L</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Nitrato</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mg/L</w:t>
            </w:r>
          </w:p>
        </w:tc>
        <w:tc>
          <w:tcPr>
            <w:tcW w:w="492" w:type="pct"/>
            <w:vAlign w:val="center"/>
          </w:tcPr>
          <w:p w:rsidR="00E32574" w:rsidRPr="00202B64" w:rsidRDefault="00E32574" w:rsidP="00E05FF5">
            <w:pPr>
              <w:pStyle w:val="Default"/>
              <w:spacing w:before="60" w:after="60"/>
              <w:ind w:left="360"/>
              <w:rPr>
                <w:rFonts w:ascii="Times New Roman" w:hAnsi="Times New Roman" w:cs="Times New Roman"/>
                <w:sz w:val="18"/>
                <w:szCs w:val="18"/>
              </w:rPr>
            </w:pPr>
            <w:r w:rsidRPr="00202B64">
              <w:rPr>
                <w:rFonts w:ascii="Times New Roman" w:hAnsi="Times New Roman" w:cs="Times New Roman"/>
                <w:sz w:val="18"/>
                <w:szCs w:val="18"/>
              </w:rPr>
              <w:t xml:space="preserve">10 </w:t>
            </w:r>
            <w:r w:rsidRPr="00202B64">
              <w:rPr>
                <w:rFonts w:ascii="Times New Roman" w:hAnsi="Times New Roman" w:cs="Times New Roman"/>
                <w:color w:val="auto"/>
                <w:sz w:val="18"/>
                <w:szCs w:val="18"/>
              </w:rPr>
              <w:t>mg/L N – NO</w:t>
            </w:r>
            <w:r w:rsidRPr="00202B64">
              <w:rPr>
                <w:rFonts w:ascii="Times New Roman" w:hAnsi="Times New Roman" w:cs="Times New Roman"/>
                <w:color w:val="auto"/>
                <w:sz w:val="18"/>
                <w:szCs w:val="18"/>
                <w:vertAlign w:val="subscript"/>
              </w:rPr>
              <w:t>3</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2,25</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2,96</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1,0</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2,10</w:t>
            </w:r>
          </w:p>
        </w:tc>
      </w:tr>
      <w:tr w:rsidR="00E32574" w:rsidRPr="00202B64" w:rsidTr="00E32574">
        <w:trPr>
          <w:trHeight w:val="374"/>
        </w:trPr>
        <w:tc>
          <w:tcPr>
            <w:tcW w:w="48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Nitrito</w:t>
            </w:r>
          </w:p>
        </w:tc>
        <w:tc>
          <w:tcPr>
            <w:tcW w:w="354" w:type="pct"/>
            <w:vAlign w:val="center"/>
          </w:tcPr>
          <w:p w:rsidR="00E32574" w:rsidRPr="00202B64" w:rsidRDefault="00E32574" w:rsidP="00E05FF5">
            <w:pPr>
              <w:pStyle w:val="Default"/>
              <w:spacing w:before="60" w:after="60"/>
              <w:jc w:val="center"/>
              <w:rPr>
                <w:rFonts w:ascii="Times New Roman" w:hAnsi="Times New Roman" w:cs="Times New Roman"/>
                <w:color w:val="auto"/>
                <w:sz w:val="18"/>
                <w:szCs w:val="18"/>
              </w:rPr>
            </w:pPr>
          </w:p>
        </w:tc>
        <w:tc>
          <w:tcPr>
            <w:tcW w:w="492" w:type="pct"/>
            <w:vAlign w:val="center"/>
          </w:tcPr>
          <w:p w:rsidR="00E32574" w:rsidRPr="00202B64" w:rsidRDefault="00E32574" w:rsidP="00E05FF5">
            <w:pPr>
              <w:pStyle w:val="Default"/>
              <w:spacing w:before="60" w:after="60"/>
              <w:ind w:left="360"/>
              <w:rPr>
                <w:rFonts w:ascii="Times New Roman" w:hAnsi="Times New Roman" w:cs="Times New Roman"/>
                <w:sz w:val="18"/>
                <w:szCs w:val="18"/>
              </w:rPr>
            </w:pPr>
            <w:r w:rsidRPr="00202B64">
              <w:rPr>
                <w:rFonts w:ascii="Times New Roman" w:hAnsi="Times New Roman" w:cs="Times New Roman"/>
                <w:sz w:val="18"/>
                <w:szCs w:val="18"/>
              </w:rPr>
              <w:t xml:space="preserve">1 </w:t>
            </w:r>
            <w:r w:rsidRPr="00202B64">
              <w:rPr>
                <w:rFonts w:ascii="Times New Roman" w:hAnsi="Times New Roman" w:cs="Times New Roman"/>
                <w:color w:val="auto"/>
                <w:sz w:val="18"/>
                <w:szCs w:val="18"/>
              </w:rPr>
              <w:t>mg/L N – NO</w:t>
            </w:r>
            <w:r w:rsidRPr="00202B64">
              <w:rPr>
                <w:rFonts w:ascii="Times New Roman" w:hAnsi="Times New Roman" w:cs="Times New Roman"/>
                <w:color w:val="auto"/>
                <w:sz w:val="18"/>
                <w:szCs w:val="18"/>
                <w:vertAlign w:val="subscript"/>
              </w:rPr>
              <w:t>2</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4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0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50"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0,009</w:t>
            </w:r>
          </w:p>
        </w:tc>
        <w:tc>
          <w:tcPr>
            <w:tcW w:w="29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19"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0,003</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0,003</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284"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0,006</w:t>
            </w:r>
          </w:p>
        </w:tc>
        <w:tc>
          <w:tcPr>
            <w:tcW w:w="276"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ND</w:t>
            </w:r>
          </w:p>
        </w:tc>
        <w:tc>
          <w:tcPr>
            <w:tcW w:w="312"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0,006</w:t>
            </w:r>
          </w:p>
        </w:tc>
        <w:tc>
          <w:tcPr>
            <w:tcW w:w="335" w:type="pct"/>
            <w:vAlign w:val="center"/>
          </w:tcPr>
          <w:p w:rsidR="00E32574" w:rsidRPr="00202B64" w:rsidRDefault="00E32574" w:rsidP="00E05FF5">
            <w:pPr>
              <w:pStyle w:val="Default"/>
              <w:spacing w:before="60" w:after="60"/>
              <w:jc w:val="center"/>
              <w:rPr>
                <w:rFonts w:ascii="Times New Roman" w:hAnsi="Times New Roman" w:cs="Times New Roman"/>
                <w:sz w:val="18"/>
                <w:szCs w:val="18"/>
              </w:rPr>
            </w:pPr>
            <w:r w:rsidRPr="00202B64">
              <w:rPr>
                <w:rFonts w:ascii="Times New Roman" w:hAnsi="Times New Roman" w:cs="Times New Roman"/>
                <w:sz w:val="18"/>
                <w:szCs w:val="18"/>
              </w:rPr>
              <w:t>0,003</w:t>
            </w:r>
          </w:p>
        </w:tc>
      </w:tr>
    </w:tbl>
    <w:p w:rsidR="00E32574" w:rsidRDefault="00E32574" w:rsidP="008C148B">
      <w:pPr>
        <w:pStyle w:val="Fonte"/>
        <w:rPr>
          <w:lang w:eastAsia="pt-BR"/>
        </w:rPr>
      </w:pPr>
      <w:r>
        <w:rPr>
          <w:lang w:eastAsia="pt-BR"/>
        </w:rPr>
        <w:t>Legenda: ND = Não Detectado</w:t>
      </w:r>
    </w:p>
    <w:p w:rsidR="00E32574" w:rsidRDefault="00E32574" w:rsidP="008C148B">
      <w:pPr>
        <w:pStyle w:val="Fonte"/>
        <w:rPr>
          <w:lang w:eastAsia="pt-BR"/>
        </w:rPr>
      </w:pPr>
      <w:r w:rsidRPr="00082391">
        <w:rPr>
          <w:lang w:eastAsia="pt-BR"/>
        </w:rPr>
        <w:t>Fonte: SAAE, 2013.</w:t>
      </w:r>
    </w:p>
    <w:p w:rsidR="008C148B" w:rsidRDefault="008C148B">
      <w:pPr>
        <w:spacing w:after="200" w:line="276" w:lineRule="auto"/>
        <w:rPr>
          <w:rFonts w:eastAsiaTheme="minorEastAsia" w:cs="Times New Roman"/>
          <w:bCs/>
          <w:szCs w:val="24"/>
          <w:lang w:eastAsia="pt-BR"/>
        </w:rPr>
      </w:pPr>
      <w:r>
        <w:br w:type="page"/>
      </w:r>
    </w:p>
    <w:p w:rsidR="008C148B" w:rsidRPr="008C148B" w:rsidRDefault="00A80257" w:rsidP="00A80257">
      <w:pPr>
        <w:pStyle w:val="Legenda"/>
        <w:rPr>
          <w:color w:val="000000"/>
        </w:rPr>
      </w:pPr>
      <w:bookmarkStart w:id="383" w:name="_Toc372740354"/>
      <w:r>
        <w:lastRenderedPageBreak/>
        <w:t xml:space="preserve">Tabela </w:t>
      </w:r>
      <w:fldSimple w:instr=" SEQ Tabela \* ARABIC ">
        <w:r w:rsidR="004F77E2">
          <w:rPr>
            <w:noProof/>
          </w:rPr>
          <w:t>6</w:t>
        </w:r>
      </w:fldSimple>
      <w:r>
        <w:t xml:space="preserve"> - </w:t>
      </w:r>
      <w:r w:rsidRPr="00653DFD">
        <w:rPr>
          <w:noProof/>
        </w:rPr>
        <w:t>Controle dos parâmetros bacteriológicos da água tratada realizadas no município de Aimorés</w:t>
      </w:r>
      <w:r w:rsidR="00E05FF5">
        <w:rPr>
          <w:b w:val="0"/>
        </w:rPr>
        <w:t>.</w:t>
      </w:r>
      <w:bookmarkEnd w:id="3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6"/>
        <w:gridCol w:w="826"/>
        <w:gridCol w:w="1078"/>
        <w:gridCol w:w="886"/>
        <w:gridCol w:w="976"/>
        <w:gridCol w:w="886"/>
        <w:gridCol w:w="906"/>
        <w:gridCol w:w="886"/>
        <w:gridCol w:w="886"/>
        <w:gridCol w:w="886"/>
        <w:gridCol w:w="886"/>
        <w:gridCol w:w="886"/>
        <w:gridCol w:w="886"/>
        <w:gridCol w:w="886"/>
        <w:gridCol w:w="936"/>
      </w:tblGrid>
      <w:tr w:rsidR="00E32574" w:rsidRPr="00202B64" w:rsidTr="00E32574">
        <w:trPr>
          <w:trHeight w:val="737"/>
        </w:trPr>
        <w:tc>
          <w:tcPr>
            <w:tcW w:w="456"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Parâmetro</w:t>
            </w:r>
          </w:p>
        </w:tc>
        <w:tc>
          <w:tcPr>
            <w:tcW w:w="299"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Unidade</w:t>
            </w:r>
          </w:p>
        </w:tc>
        <w:tc>
          <w:tcPr>
            <w:tcW w:w="450"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Portaria n° 2914 12/12/2011 do MS</w:t>
            </w:r>
          </w:p>
        </w:tc>
        <w:tc>
          <w:tcPr>
            <w:tcW w:w="312"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Sede</w:t>
            </w:r>
          </w:p>
        </w:tc>
        <w:tc>
          <w:tcPr>
            <w:tcW w:w="343"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Conceição do Capim</w:t>
            </w:r>
          </w:p>
        </w:tc>
        <w:tc>
          <w:tcPr>
            <w:tcW w:w="312"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Penha do Capim</w:t>
            </w:r>
          </w:p>
        </w:tc>
        <w:tc>
          <w:tcPr>
            <w:tcW w:w="319"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São Sebastião da Vala</w:t>
            </w:r>
          </w:p>
        </w:tc>
        <w:tc>
          <w:tcPr>
            <w:tcW w:w="312"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Tabaúna</w:t>
            </w:r>
          </w:p>
        </w:tc>
        <w:tc>
          <w:tcPr>
            <w:tcW w:w="312"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Sto. Antônio do Rio Doce</w:t>
            </w:r>
          </w:p>
        </w:tc>
        <w:tc>
          <w:tcPr>
            <w:tcW w:w="312"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Ex. Alicio</w:t>
            </w:r>
          </w:p>
        </w:tc>
        <w:tc>
          <w:tcPr>
            <w:tcW w:w="312"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Mundo Novo</w:t>
            </w:r>
          </w:p>
        </w:tc>
        <w:tc>
          <w:tcPr>
            <w:tcW w:w="312"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Alto Capim</w:t>
            </w:r>
          </w:p>
        </w:tc>
        <w:tc>
          <w:tcPr>
            <w:tcW w:w="312"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São João</w:t>
            </w:r>
          </w:p>
        </w:tc>
        <w:tc>
          <w:tcPr>
            <w:tcW w:w="312"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São José do Limoeiro</w:t>
            </w:r>
          </w:p>
        </w:tc>
        <w:tc>
          <w:tcPr>
            <w:tcW w:w="329" w:type="pct"/>
            <w:shd w:val="clear" w:color="auto" w:fill="BFBFBF"/>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Santa Terezinha</w:t>
            </w:r>
          </w:p>
        </w:tc>
      </w:tr>
      <w:tr w:rsidR="00E32574" w:rsidRPr="00202B64" w:rsidTr="00E32574">
        <w:trPr>
          <w:trHeight w:val="374"/>
        </w:trPr>
        <w:tc>
          <w:tcPr>
            <w:tcW w:w="456"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sz w:val="18"/>
                <w:szCs w:val="18"/>
              </w:rPr>
              <w:t>Coliformes Totais</w:t>
            </w:r>
          </w:p>
        </w:tc>
        <w:tc>
          <w:tcPr>
            <w:tcW w:w="299"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 xml:space="preserve">col/100 mL </w:t>
            </w:r>
          </w:p>
        </w:tc>
        <w:tc>
          <w:tcPr>
            <w:tcW w:w="450"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 em 100 mL</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43"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9"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29"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r>
      <w:tr w:rsidR="00E32574" w:rsidRPr="00202B64" w:rsidTr="00E32574">
        <w:trPr>
          <w:trHeight w:val="374"/>
        </w:trPr>
        <w:tc>
          <w:tcPr>
            <w:tcW w:w="456"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Coliformes Fecais</w:t>
            </w:r>
          </w:p>
        </w:tc>
        <w:tc>
          <w:tcPr>
            <w:tcW w:w="299"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 xml:space="preserve">col/100 ml </w:t>
            </w:r>
          </w:p>
        </w:tc>
        <w:tc>
          <w:tcPr>
            <w:tcW w:w="450"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 xml:space="preserve">Ausência em 100 ml </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Ausência</w:t>
            </w:r>
          </w:p>
        </w:tc>
        <w:tc>
          <w:tcPr>
            <w:tcW w:w="343"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9"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c>
          <w:tcPr>
            <w:tcW w:w="329"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Ausência</w:t>
            </w:r>
          </w:p>
        </w:tc>
      </w:tr>
      <w:tr w:rsidR="00E32574" w:rsidRPr="00202B64" w:rsidTr="00E32574">
        <w:trPr>
          <w:trHeight w:val="374"/>
        </w:trPr>
        <w:tc>
          <w:tcPr>
            <w:tcW w:w="456"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Bactérias Heterotróficas</w:t>
            </w:r>
          </w:p>
        </w:tc>
        <w:tc>
          <w:tcPr>
            <w:tcW w:w="299"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 xml:space="preserve">UFC/ml </w:t>
            </w:r>
          </w:p>
        </w:tc>
        <w:tc>
          <w:tcPr>
            <w:tcW w:w="450"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 xml:space="preserve">Máximo de 500 UFC/mL </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 1 (UFC) mL</w:t>
            </w:r>
          </w:p>
        </w:tc>
        <w:tc>
          <w:tcPr>
            <w:tcW w:w="343"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 1 (UFC) mL</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 1 (UFC) mL</w:t>
            </w:r>
          </w:p>
        </w:tc>
        <w:tc>
          <w:tcPr>
            <w:tcW w:w="319"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 1 (UFC) mL</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 1 (UFC) mL</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 1 (UFC) mL</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 1 (UFC) mL</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 1 (UFC) mL</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 1 (UFC) mL</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 1 (UFC) mL</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 1 (UFC) mL</w:t>
            </w:r>
          </w:p>
        </w:tc>
        <w:tc>
          <w:tcPr>
            <w:tcW w:w="329" w:type="pct"/>
            <w:vAlign w:val="center"/>
          </w:tcPr>
          <w:p w:rsidR="00E32574" w:rsidRPr="00202B64" w:rsidRDefault="00E32574" w:rsidP="00E05FF5">
            <w:pPr>
              <w:pStyle w:val="Default"/>
              <w:spacing w:before="120" w:after="120"/>
              <w:jc w:val="center"/>
              <w:rPr>
                <w:rFonts w:ascii="Times New Roman" w:hAnsi="Times New Roman" w:cs="Times New Roman"/>
                <w:color w:val="auto"/>
                <w:sz w:val="18"/>
                <w:szCs w:val="18"/>
              </w:rPr>
            </w:pPr>
            <w:r w:rsidRPr="00202B64">
              <w:rPr>
                <w:rFonts w:ascii="Times New Roman" w:hAnsi="Times New Roman" w:cs="Times New Roman"/>
                <w:color w:val="auto"/>
                <w:sz w:val="18"/>
                <w:szCs w:val="18"/>
              </w:rPr>
              <w:t>&lt; 1 (UFC) mL</w:t>
            </w:r>
          </w:p>
        </w:tc>
      </w:tr>
      <w:tr w:rsidR="00E32574" w:rsidRPr="00202B64" w:rsidTr="00E32574">
        <w:trPr>
          <w:trHeight w:val="374"/>
        </w:trPr>
        <w:tc>
          <w:tcPr>
            <w:tcW w:w="456"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Cianobactérias (microcistinas)</w:t>
            </w:r>
          </w:p>
        </w:tc>
        <w:tc>
          <w:tcPr>
            <w:tcW w:w="299"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450"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Normal</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43"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9"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Normal</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12"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w:t>
            </w:r>
          </w:p>
        </w:tc>
        <w:tc>
          <w:tcPr>
            <w:tcW w:w="329" w:type="pct"/>
            <w:vAlign w:val="center"/>
          </w:tcPr>
          <w:p w:rsidR="00E32574" w:rsidRPr="00202B64" w:rsidRDefault="00E32574" w:rsidP="00E05FF5">
            <w:pPr>
              <w:pStyle w:val="Default"/>
              <w:spacing w:before="120" w:after="120"/>
              <w:jc w:val="center"/>
              <w:rPr>
                <w:rFonts w:ascii="Times New Roman" w:hAnsi="Times New Roman" w:cs="Times New Roman"/>
                <w:sz w:val="18"/>
                <w:szCs w:val="18"/>
              </w:rPr>
            </w:pPr>
            <w:r w:rsidRPr="00202B64">
              <w:rPr>
                <w:rFonts w:ascii="Times New Roman" w:hAnsi="Times New Roman" w:cs="Times New Roman"/>
                <w:sz w:val="18"/>
                <w:szCs w:val="18"/>
              </w:rPr>
              <w:t>-</w:t>
            </w:r>
          </w:p>
        </w:tc>
      </w:tr>
    </w:tbl>
    <w:p w:rsidR="00E32574" w:rsidRDefault="00E32574" w:rsidP="008C148B">
      <w:pPr>
        <w:pStyle w:val="Fonte"/>
        <w:rPr>
          <w:lang w:eastAsia="pt-BR"/>
        </w:rPr>
      </w:pPr>
      <w:r>
        <w:rPr>
          <w:lang w:eastAsia="pt-BR"/>
        </w:rPr>
        <w:t xml:space="preserve">Resultado em número de Colônias – Volume/100 ml. Método Utilizado – Membrana Filtrante </w:t>
      </w:r>
    </w:p>
    <w:p w:rsidR="00E32574" w:rsidRPr="00082391" w:rsidRDefault="00E32574" w:rsidP="008C148B">
      <w:pPr>
        <w:pStyle w:val="Fonte"/>
        <w:rPr>
          <w:lang w:eastAsia="pt-BR"/>
        </w:rPr>
      </w:pPr>
      <w:r w:rsidRPr="00082391">
        <w:rPr>
          <w:lang w:eastAsia="pt-BR"/>
        </w:rPr>
        <w:t>Fonte: SAAE, 2013.</w:t>
      </w:r>
    </w:p>
    <w:p w:rsidR="00E32574" w:rsidRPr="00816FAA" w:rsidRDefault="00E32574" w:rsidP="00E32574">
      <w:pPr>
        <w:rPr>
          <w:lang w:eastAsia="pt-BR"/>
        </w:rPr>
        <w:sectPr w:rsidR="00E32574" w:rsidRPr="00816FAA" w:rsidSect="00E32574">
          <w:pgSz w:w="16838" w:h="11906" w:orient="landscape"/>
          <w:pgMar w:top="1701" w:right="1418" w:bottom="1701" w:left="1418" w:header="709" w:footer="709" w:gutter="0"/>
          <w:cols w:space="708"/>
          <w:docGrid w:linePitch="360"/>
        </w:sectPr>
      </w:pPr>
    </w:p>
    <w:p w:rsidR="00E32574" w:rsidRPr="00A829C7" w:rsidRDefault="00E32574" w:rsidP="00E32574">
      <w:pPr>
        <w:pStyle w:val="CM73"/>
        <w:spacing w:line="360" w:lineRule="auto"/>
        <w:ind w:firstLine="708"/>
        <w:jc w:val="both"/>
        <w:rPr>
          <w:rFonts w:ascii="Times New Roman" w:hAnsi="Times New Roman" w:cs="Times New Roman"/>
        </w:rPr>
      </w:pPr>
      <w:r w:rsidRPr="00A829C7">
        <w:rPr>
          <w:rFonts w:ascii="Times New Roman" w:hAnsi="Times New Roman" w:cs="Times New Roman"/>
        </w:rPr>
        <w:lastRenderedPageBreak/>
        <w:t>Denot</w:t>
      </w:r>
      <w:r w:rsidR="00E05FF5">
        <w:rPr>
          <w:rFonts w:ascii="Times New Roman" w:hAnsi="Times New Roman" w:cs="Times New Roman"/>
        </w:rPr>
        <w:t>a</w:t>
      </w:r>
      <w:r w:rsidRPr="00A829C7">
        <w:rPr>
          <w:rFonts w:ascii="Times New Roman" w:hAnsi="Times New Roman" w:cs="Times New Roman"/>
        </w:rPr>
        <w:t>-se que em todos os sistemas de tratamento e distribuição de água citados n</w:t>
      </w:r>
      <w:r w:rsidR="00E05FF5">
        <w:rPr>
          <w:rFonts w:ascii="Times New Roman" w:hAnsi="Times New Roman" w:cs="Times New Roman"/>
        </w:rPr>
        <w:t>o</w:t>
      </w:r>
      <w:r w:rsidRPr="00A829C7">
        <w:rPr>
          <w:rFonts w:ascii="Times New Roman" w:hAnsi="Times New Roman" w:cs="Times New Roman"/>
        </w:rPr>
        <w:t xml:space="preserve">s </w:t>
      </w:r>
      <w:r w:rsidR="00E05FF5">
        <w:rPr>
          <w:rFonts w:ascii="Times New Roman" w:hAnsi="Times New Roman" w:cs="Times New Roman"/>
        </w:rPr>
        <w:t>Quadros e T</w:t>
      </w:r>
      <w:r w:rsidRPr="00A829C7">
        <w:rPr>
          <w:rFonts w:ascii="Times New Roman" w:hAnsi="Times New Roman" w:cs="Times New Roman"/>
        </w:rPr>
        <w:t xml:space="preserve">abela acima, os parâmetros exigidos pela Portaria </w:t>
      </w:r>
      <w:r>
        <w:rPr>
          <w:rFonts w:ascii="Times New Roman" w:hAnsi="Times New Roman" w:cs="Times New Roman"/>
        </w:rPr>
        <w:t xml:space="preserve">n° </w:t>
      </w:r>
      <w:r w:rsidRPr="00A829C7">
        <w:rPr>
          <w:rFonts w:ascii="Times New Roman" w:hAnsi="Times New Roman" w:cs="Times New Roman"/>
        </w:rPr>
        <w:t>2.914 de 2011 do Ministério da Saúde são atendidos</w:t>
      </w:r>
      <w:r w:rsidR="00E05FF5">
        <w:rPr>
          <w:rFonts w:ascii="Times New Roman" w:hAnsi="Times New Roman" w:cs="Times New Roman"/>
        </w:rPr>
        <w:t>, na sua grande maioria</w:t>
      </w:r>
      <w:r w:rsidRPr="00A829C7">
        <w:rPr>
          <w:rFonts w:ascii="Times New Roman" w:hAnsi="Times New Roman" w:cs="Times New Roman"/>
        </w:rPr>
        <w:t xml:space="preserve">. </w:t>
      </w:r>
    </w:p>
    <w:p w:rsidR="00E32574" w:rsidRDefault="00E32574" w:rsidP="00E32574">
      <w:pPr>
        <w:pStyle w:val="CM73"/>
        <w:spacing w:line="360" w:lineRule="auto"/>
        <w:ind w:firstLine="708"/>
        <w:jc w:val="both"/>
        <w:rPr>
          <w:rFonts w:ascii="Times New Roman" w:hAnsi="Times New Roman" w:cs="Times New Roman"/>
        </w:rPr>
      </w:pPr>
      <w:r w:rsidRPr="00A829C7">
        <w:rPr>
          <w:rFonts w:ascii="Times New Roman" w:hAnsi="Times New Roman" w:cs="Times New Roman"/>
        </w:rPr>
        <w:t>O número mínimo de análises bacteriológicas que o município Aimorés deve realizar, segundo a portaria 2.914/2011 d</w:t>
      </w:r>
      <w:r>
        <w:rPr>
          <w:rFonts w:ascii="Times New Roman" w:hAnsi="Times New Roman" w:cs="Times New Roman"/>
        </w:rPr>
        <w:t xml:space="preserve">o Ministério da Saúde (Tabela </w:t>
      </w:r>
      <w:r w:rsidR="00E05FF5">
        <w:rPr>
          <w:rFonts w:ascii="Times New Roman" w:hAnsi="Times New Roman" w:cs="Times New Roman"/>
        </w:rPr>
        <w:t>7</w:t>
      </w:r>
      <w:r>
        <w:rPr>
          <w:rFonts w:ascii="Times New Roman" w:hAnsi="Times New Roman" w:cs="Times New Roman"/>
        </w:rPr>
        <w:t>), mensalmente é de</w:t>
      </w:r>
      <w:r w:rsidRPr="00F02A31">
        <w:rPr>
          <w:rFonts w:ascii="Times New Roman" w:hAnsi="Times New Roman" w:cs="Times New Roman"/>
        </w:rPr>
        <w:t xml:space="preserve"> </w:t>
      </w:r>
      <w:r>
        <w:rPr>
          <w:rFonts w:ascii="Times New Roman" w:hAnsi="Times New Roman" w:cs="Times New Roman"/>
        </w:rPr>
        <w:t xml:space="preserve">12 </w:t>
      </w:r>
      <w:r w:rsidRPr="00F02A31">
        <w:rPr>
          <w:rFonts w:ascii="Times New Roman" w:hAnsi="Times New Roman" w:cs="Times New Roman"/>
        </w:rPr>
        <w:t>análises</w:t>
      </w:r>
      <w:r>
        <w:rPr>
          <w:rFonts w:ascii="Times New Roman" w:hAnsi="Times New Roman" w:cs="Times New Roman"/>
        </w:rPr>
        <w:t xml:space="preserve"> em cada ETA</w:t>
      </w:r>
      <w:r w:rsidRPr="00F02A31">
        <w:rPr>
          <w:rFonts w:ascii="Times New Roman" w:hAnsi="Times New Roman" w:cs="Times New Roman"/>
        </w:rPr>
        <w:t>,</w:t>
      </w:r>
      <w:r>
        <w:rPr>
          <w:rFonts w:ascii="Times New Roman" w:hAnsi="Times New Roman" w:cs="Times New Roman"/>
        </w:rPr>
        <w:t xml:space="preserve"> e semestralmente nos 9 pontos de captação de água bruta</w:t>
      </w:r>
      <w:r w:rsidRPr="00A829C7">
        <w:rPr>
          <w:rFonts w:ascii="Times New Roman" w:hAnsi="Times New Roman" w:cs="Times New Roman"/>
        </w:rPr>
        <w:t xml:space="preserve"> perfazendo um total de no mínimo de </w:t>
      </w:r>
      <w:r>
        <w:rPr>
          <w:rFonts w:ascii="Times New Roman" w:hAnsi="Times New Roman" w:cs="Times New Roman"/>
        </w:rPr>
        <w:t>21</w:t>
      </w:r>
      <w:r w:rsidRPr="00A829C7">
        <w:rPr>
          <w:rFonts w:ascii="Times New Roman" w:hAnsi="Times New Roman" w:cs="Times New Roman"/>
        </w:rPr>
        <w:t xml:space="preserve"> análises, que devem ser coletadas em todos os sistema da sede e dos distritos. Como comentado anteriormente, os pontos de coleta que o SAAE utiliza em Aimo</w:t>
      </w:r>
      <w:r>
        <w:rPr>
          <w:rFonts w:ascii="Times New Roman" w:hAnsi="Times New Roman" w:cs="Times New Roman"/>
        </w:rPr>
        <w:t xml:space="preserve">rés estão descritos na </w:t>
      </w:r>
      <w:r w:rsidR="00E05FF5">
        <w:rPr>
          <w:rFonts w:ascii="Times New Roman" w:hAnsi="Times New Roman" w:cs="Times New Roman"/>
        </w:rPr>
        <w:t>Tabela 8</w:t>
      </w:r>
      <w:r w:rsidRPr="00E05FF5">
        <w:rPr>
          <w:rFonts w:ascii="Times New Roman" w:hAnsi="Times New Roman" w:cs="Times New Roman"/>
        </w:rPr>
        <w:t>.</w:t>
      </w:r>
    </w:p>
    <w:p w:rsidR="00E32574" w:rsidRDefault="00A80257" w:rsidP="00A80257">
      <w:pPr>
        <w:pStyle w:val="Legenda"/>
        <w:rPr>
          <w:rFonts w:ascii="Arial" w:hAnsi="Arial" w:cs="Arial"/>
          <w:color w:val="000000"/>
          <w:sz w:val="20"/>
        </w:rPr>
      </w:pPr>
      <w:bookmarkStart w:id="384" w:name="_Toc372740355"/>
      <w:r>
        <w:t xml:space="preserve">Tabela </w:t>
      </w:r>
      <w:fldSimple w:instr=" SEQ Tabela \* ARABIC ">
        <w:r w:rsidR="004F77E2">
          <w:rPr>
            <w:noProof/>
          </w:rPr>
          <w:t>7</w:t>
        </w:r>
      </w:fldSimple>
      <w:r>
        <w:t xml:space="preserve"> - </w:t>
      </w:r>
      <w:r w:rsidRPr="002046B8">
        <w:rPr>
          <w:noProof/>
        </w:rPr>
        <w:t>Anexo XIII da portaria 2.914/2011 do Ministério da Saúde.</w:t>
      </w:r>
      <w:bookmarkEnd w:id="384"/>
    </w:p>
    <w:tbl>
      <w:tblPr>
        <w:tblW w:w="8505" w:type="dxa"/>
        <w:tblInd w:w="108" w:type="dxa"/>
        <w:tblLayout w:type="fixed"/>
        <w:tblLook w:val="0000" w:firstRow="0" w:lastRow="0" w:firstColumn="0" w:lastColumn="0" w:noHBand="0" w:noVBand="0"/>
      </w:tblPr>
      <w:tblGrid>
        <w:gridCol w:w="1276"/>
        <w:gridCol w:w="1276"/>
        <w:gridCol w:w="847"/>
        <w:gridCol w:w="1279"/>
        <w:gridCol w:w="1985"/>
        <w:gridCol w:w="1842"/>
      </w:tblGrid>
      <w:tr w:rsidR="00E32574" w:rsidRPr="00202B64" w:rsidTr="00E32574">
        <w:trPr>
          <w:trHeight w:val="802"/>
        </w:trPr>
        <w:tc>
          <w:tcPr>
            <w:tcW w:w="1276" w:type="dxa"/>
            <w:vMerge w:val="restart"/>
            <w:tcBorders>
              <w:top w:val="single" w:sz="6" w:space="0" w:color="000000"/>
              <w:left w:val="single" w:sz="2" w:space="0" w:color="000000"/>
              <w:bottom w:val="single" w:sz="6" w:space="0" w:color="000000"/>
              <w:right w:val="single" w:sz="6" w:space="0" w:color="000000"/>
            </w:tcBorders>
            <w:shd w:val="clear" w:color="auto" w:fill="D9D9D9"/>
            <w:vAlign w:val="center"/>
          </w:tcPr>
          <w:p w:rsidR="00E32574" w:rsidRPr="00E05FF5" w:rsidRDefault="00E32574" w:rsidP="00E05FF5">
            <w:pPr>
              <w:pStyle w:val="Default"/>
              <w:spacing w:before="120" w:after="120"/>
              <w:rPr>
                <w:rFonts w:ascii="Times New Roman" w:hAnsi="Times New Roman" w:cs="Times New Roman"/>
                <w:b/>
                <w:sz w:val="20"/>
                <w:szCs w:val="20"/>
              </w:rPr>
            </w:pPr>
            <w:r w:rsidRPr="00E05FF5">
              <w:rPr>
                <w:rFonts w:ascii="Times New Roman" w:hAnsi="Times New Roman" w:cs="Times New Roman"/>
                <w:b/>
                <w:sz w:val="20"/>
                <w:szCs w:val="20"/>
              </w:rPr>
              <w:t xml:space="preserve">Parâmetro </w:t>
            </w:r>
          </w:p>
        </w:tc>
        <w:tc>
          <w:tcPr>
            <w:tcW w:w="1276" w:type="dxa"/>
            <w:vMerge w:val="restart"/>
            <w:tcBorders>
              <w:top w:val="single" w:sz="6" w:space="0" w:color="000000"/>
              <w:left w:val="single" w:sz="6" w:space="0" w:color="000000"/>
              <w:bottom w:val="single" w:sz="6" w:space="0" w:color="000000"/>
              <w:right w:val="single" w:sz="6" w:space="0" w:color="000000"/>
            </w:tcBorders>
            <w:shd w:val="clear" w:color="auto" w:fill="D9D9D9"/>
            <w:vAlign w:val="center"/>
          </w:tcPr>
          <w:p w:rsidR="00E32574" w:rsidRPr="00E05FF5" w:rsidRDefault="00E32574" w:rsidP="00E05FF5">
            <w:pPr>
              <w:pStyle w:val="Default"/>
              <w:spacing w:before="120" w:after="120"/>
              <w:rPr>
                <w:rFonts w:ascii="Times New Roman" w:hAnsi="Times New Roman" w:cs="Times New Roman"/>
                <w:b/>
                <w:sz w:val="19"/>
                <w:szCs w:val="19"/>
              </w:rPr>
            </w:pPr>
            <w:r w:rsidRPr="00E05FF5">
              <w:rPr>
                <w:rFonts w:ascii="Times New Roman" w:hAnsi="Times New Roman" w:cs="Times New Roman"/>
                <w:b/>
                <w:sz w:val="19"/>
                <w:szCs w:val="19"/>
              </w:rPr>
              <w:t xml:space="preserve">Saída do Tratamento (Número de amostras por unidade de tratamento) </w:t>
            </w:r>
          </w:p>
        </w:tc>
        <w:tc>
          <w:tcPr>
            <w:tcW w:w="5953" w:type="dxa"/>
            <w:gridSpan w:val="4"/>
            <w:tcBorders>
              <w:top w:val="single" w:sz="6" w:space="0" w:color="000000"/>
              <w:left w:val="single" w:sz="6" w:space="0" w:color="000000"/>
              <w:bottom w:val="single" w:sz="6" w:space="0" w:color="000000"/>
              <w:right w:val="single" w:sz="2" w:space="0" w:color="000000"/>
            </w:tcBorders>
            <w:shd w:val="clear" w:color="auto" w:fill="D9D9D9"/>
            <w:vAlign w:val="center"/>
          </w:tcPr>
          <w:p w:rsidR="00E32574" w:rsidRPr="00E05FF5" w:rsidRDefault="00E32574" w:rsidP="00E05FF5">
            <w:pPr>
              <w:pStyle w:val="Default"/>
              <w:spacing w:before="120" w:after="120"/>
              <w:jc w:val="center"/>
              <w:rPr>
                <w:rFonts w:ascii="Times New Roman" w:hAnsi="Times New Roman" w:cs="Times New Roman"/>
                <w:b/>
                <w:sz w:val="22"/>
                <w:szCs w:val="22"/>
              </w:rPr>
            </w:pPr>
            <w:r w:rsidRPr="00E05FF5">
              <w:rPr>
                <w:rFonts w:ascii="Times New Roman" w:hAnsi="Times New Roman" w:cs="Times New Roman"/>
                <w:b/>
                <w:sz w:val="22"/>
                <w:szCs w:val="22"/>
              </w:rPr>
              <w:t>Sistema de distribuição (reservatórios e rede) População Abastecida</w:t>
            </w:r>
          </w:p>
        </w:tc>
      </w:tr>
      <w:tr w:rsidR="00E32574" w:rsidRPr="00202B64" w:rsidTr="00E32574">
        <w:trPr>
          <w:trHeight w:val="980"/>
        </w:trPr>
        <w:tc>
          <w:tcPr>
            <w:tcW w:w="1276" w:type="dxa"/>
            <w:vMerge/>
            <w:tcBorders>
              <w:top w:val="single" w:sz="6" w:space="0" w:color="000000"/>
              <w:left w:val="single" w:sz="2" w:space="0" w:color="000000"/>
              <w:bottom w:val="single" w:sz="6" w:space="0" w:color="000000"/>
              <w:right w:val="single" w:sz="6" w:space="0" w:color="000000"/>
            </w:tcBorders>
            <w:shd w:val="clear" w:color="auto" w:fill="D9D9D9"/>
            <w:vAlign w:val="center"/>
          </w:tcPr>
          <w:p w:rsidR="00E32574" w:rsidRPr="00E05FF5" w:rsidRDefault="00E32574" w:rsidP="00E05FF5">
            <w:pPr>
              <w:pStyle w:val="Default"/>
              <w:spacing w:before="120" w:after="120"/>
              <w:rPr>
                <w:rFonts w:ascii="Times New Roman" w:hAnsi="Times New Roman" w:cs="Times New Roman"/>
                <w:b/>
                <w:color w:val="auto"/>
              </w:rPr>
            </w:pPr>
          </w:p>
        </w:tc>
        <w:tc>
          <w:tcPr>
            <w:tcW w:w="1276" w:type="dxa"/>
            <w:vMerge/>
            <w:tcBorders>
              <w:top w:val="single" w:sz="6" w:space="0" w:color="000000"/>
              <w:left w:val="single" w:sz="6" w:space="0" w:color="000000"/>
              <w:bottom w:val="single" w:sz="6" w:space="0" w:color="000000"/>
              <w:right w:val="single" w:sz="6" w:space="0" w:color="000000"/>
            </w:tcBorders>
            <w:shd w:val="clear" w:color="auto" w:fill="D9D9D9"/>
          </w:tcPr>
          <w:p w:rsidR="00E32574" w:rsidRPr="00E05FF5" w:rsidRDefault="00E32574" w:rsidP="00E05FF5">
            <w:pPr>
              <w:pStyle w:val="Default"/>
              <w:spacing w:before="120" w:after="120"/>
              <w:rPr>
                <w:rFonts w:ascii="Times New Roman" w:hAnsi="Times New Roman" w:cs="Times New Roman"/>
                <w:b/>
                <w:color w:val="auto"/>
              </w:rPr>
            </w:pPr>
          </w:p>
        </w:tc>
        <w:tc>
          <w:tcPr>
            <w:tcW w:w="847" w:type="dxa"/>
            <w:tcBorders>
              <w:top w:val="single" w:sz="6" w:space="0" w:color="000000"/>
              <w:left w:val="single" w:sz="6" w:space="0" w:color="000000"/>
              <w:bottom w:val="single" w:sz="6" w:space="0" w:color="000000"/>
              <w:right w:val="single" w:sz="6" w:space="0" w:color="000000"/>
            </w:tcBorders>
            <w:shd w:val="clear" w:color="auto" w:fill="D9D9D9"/>
            <w:vAlign w:val="center"/>
          </w:tcPr>
          <w:p w:rsidR="00E32574" w:rsidRPr="00E05FF5" w:rsidRDefault="00E32574" w:rsidP="00E05FF5">
            <w:pPr>
              <w:pStyle w:val="Default"/>
              <w:spacing w:before="120" w:after="120"/>
              <w:jc w:val="center"/>
              <w:rPr>
                <w:rFonts w:ascii="Times New Roman" w:hAnsi="Times New Roman" w:cs="Times New Roman"/>
                <w:b/>
                <w:sz w:val="19"/>
                <w:szCs w:val="19"/>
              </w:rPr>
            </w:pPr>
            <w:r w:rsidRPr="00E05FF5">
              <w:rPr>
                <w:rFonts w:ascii="Times New Roman" w:hAnsi="Times New Roman" w:cs="Times New Roman"/>
                <w:b/>
                <w:sz w:val="19"/>
                <w:szCs w:val="19"/>
              </w:rPr>
              <w:t>&lt; 5.000 hab.</w:t>
            </w:r>
          </w:p>
        </w:tc>
        <w:tc>
          <w:tcPr>
            <w:tcW w:w="1279" w:type="dxa"/>
            <w:tcBorders>
              <w:top w:val="single" w:sz="6" w:space="0" w:color="000000"/>
              <w:left w:val="single" w:sz="6" w:space="0" w:color="000000"/>
              <w:bottom w:val="single" w:sz="6" w:space="0" w:color="000000"/>
              <w:right w:val="single" w:sz="6" w:space="0" w:color="000000"/>
            </w:tcBorders>
            <w:shd w:val="clear" w:color="auto" w:fill="D9D9D9"/>
            <w:vAlign w:val="center"/>
          </w:tcPr>
          <w:p w:rsidR="00E32574" w:rsidRPr="00E05FF5" w:rsidRDefault="00E32574" w:rsidP="00E05FF5">
            <w:pPr>
              <w:pStyle w:val="Default"/>
              <w:spacing w:before="120" w:after="120"/>
              <w:jc w:val="center"/>
              <w:rPr>
                <w:rFonts w:ascii="Times New Roman" w:hAnsi="Times New Roman" w:cs="Times New Roman"/>
                <w:b/>
                <w:sz w:val="19"/>
                <w:szCs w:val="19"/>
              </w:rPr>
            </w:pPr>
            <w:r w:rsidRPr="00E05FF5">
              <w:rPr>
                <w:rFonts w:ascii="Times New Roman" w:hAnsi="Times New Roman" w:cs="Times New Roman"/>
                <w:b/>
                <w:sz w:val="19"/>
                <w:szCs w:val="19"/>
              </w:rPr>
              <w:t>5.000 a 20.000 hab.</w:t>
            </w:r>
          </w:p>
        </w:tc>
        <w:tc>
          <w:tcPr>
            <w:tcW w:w="1985" w:type="dxa"/>
            <w:tcBorders>
              <w:top w:val="single" w:sz="6" w:space="0" w:color="000000"/>
              <w:left w:val="single" w:sz="6" w:space="0" w:color="000000"/>
              <w:bottom w:val="single" w:sz="6" w:space="0" w:color="000000"/>
              <w:right w:val="single" w:sz="6" w:space="0" w:color="000000"/>
            </w:tcBorders>
            <w:shd w:val="clear" w:color="auto" w:fill="D9D9D9"/>
            <w:vAlign w:val="center"/>
          </w:tcPr>
          <w:p w:rsidR="00E32574" w:rsidRPr="00E05FF5" w:rsidRDefault="00E32574" w:rsidP="00E05FF5">
            <w:pPr>
              <w:pStyle w:val="Default"/>
              <w:spacing w:before="120" w:after="120"/>
              <w:jc w:val="center"/>
              <w:rPr>
                <w:rFonts w:ascii="Times New Roman" w:hAnsi="Times New Roman" w:cs="Times New Roman"/>
                <w:b/>
                <w:sz w:val="19"/>
                <w:szCs w:val="19"/>
              </w:rPr>
            </w:pPr>
            <w:r w:rsidRPr="00E05FF5">
              <w:rPr>
                <w:rFonts w:ascii="Times New Roman" w:hAnsi="Times New Roman" w:cs="Times New Roman"/>
                <w:b/>
                <w:sz w:val="19"/>
                <w:szCs w:val="19"/>
              </w:rPr>
              <w:t>20.000 a 250.000 hab.</w:t>
            </w:r>
          </w:p>
        </w:tc>
        <w:tc>
          <w:tcPr>
            <w:tcW w:w="1842" w:type="dxa"/>
            <w:tcBorders>
              <w:top w:val="single" w:sz="6" w:space="0" w:color="000000"/>
              <w:left w:val="single" w:sz="6" w:space="0" w:color="000000"/>
              <w:bottom w:val="single" w:sz="6" w:space="0" w:color="000000"/>
              <w:right w:val="single" w:sz="2" w:space="0" w:color="000000"/>
            </w:tcBorders>
            <w:shd w:val="clear" w:color="auto" w:fill="D9D9D9"/>
            <w:vAlign w:val="center"/>
          </w:tcPr>
          <w:p w:rsidR="00E32574" w:rsidRPr="00E05FF5" w:rsidRDefault="00E32574" w:rsidP="00E05FF5">
            <w:pPr>
              <w:pStyle w:val="Default"/>
              <w:spacing w:before="120" w:after="120"/>
              <w:jc w:val="center"/>
              <w:rPr>
                <w:rFonts w:ascii="Times New Roman" w:hAnsi="Times New Roman" w:cs="Times New Roman"/>
                <w:b/>
                <w:sz w:val="19"/>
                <w:szCs w:val="19"/>
              </w:rPr>
            </w:pPr>
            <w:r w:rsidRPr="00E05FF5">
              <w:rPr>
                <w:rFonts w:ascii="Times New Roman" w:hAnsi="Times New Roman" w:cs="Times New Roman"/>
                <w:b/>
                <w:sz w:val="19"/>
                <w:szCs w:val="19"/>
              </w:rPr>
              <w:t>&gt; 250.000 hab.</w:t>
            </w:r>
          </w:p>
        </w:tc>
      </w:tr>
      <w:tr w:rsidR="00E32574" w:rsidRPr="00202B64" w:rsidTr="00E32574">
        <w:trPr>
          <w:trHeight w:val="1002"/>
        </w:trPr>
        <w:tc>
          <w:tcPr>
            <w:tcW w:w="1276" w:type="dxa"/>
            <w:tcBorders>
              <w:top w:val="single" w:sz="6" w:space="0" w:color="000000"/>
              <w:left w:val="single" w:sz="2" w:space="0" w:color="000000"/>
              <w:bottom w:val="single" w:sz="6" w:space="0" w:color="000000"/>
              <w:right w:val="single" w:sz="6" w:space="0" w:color="000000"/>
            </w:tcBorders>
          </w:tcPr>
          <w:p w:rsidR="00E32574" w:rsidRPr="00202B64" w:rsidRDefault="00E32574" w:rsidP="00E05FF5">
            <w:pPr>
              <w:pStyle w:val="Default"/>
              <w:spacing w:before="120" w:after="120"/>
              <w:rPr>
                <w:rFonts w:ascii="Times New Roman" w:hAnsi="Times New Roman" w:cs="Times New Roman"/>
                <w:sz w:val="22"/>
                <w:szCs w:val="22"/>
              </w:rPr>
            </w:pPr>
            <w:r w:rsidRPr="00202B64">
              <w:rPr>
                <w:rFonts w:ascii="Times New Roman" w:hAnsi="Times New Roman" w:cs="Times New Roman"/>
                <w:sz w:val="20"/>
                <w:szCs w:val="20"/>
              </w:rPr>
              <w:t xml:space="preserve">Coliformes Totais </w:t>
            </w:r>
            <w:r w:rsidRPr="00202B64">
              <w:rPr>
                <w:rFonts w:ascii="Times New Roman" w:hAnsi="Times New Roman" w:cs="Times New Roman"/>
                <w:i/>
                <w:sz w:val="22"/>
                <w:szCs w:val="22"/>
              </w:rPr>
              <w:t>Escherichia coli</w:t>
            </w:r>
            <w:r w:rsidRPr="00202B64">
              <w:rPr>
                <w:rFonts w:ascii="Times New Roman" w:hAnsi="Times New Roman" w:cs="Times New Roman"/>
                <w:sz w:val="22"/>
                <w:szCs w:val="22"/>
              </w:rPr>
              <w:t xml:space="preserve"> </w:t>
            </w:r>
          </w:p>
        </w:tc>
        <w:tc>
          <w:tcPr>
            <w:tcW w:w="1276" w:type="dxa"/>
            <w:tcBorders>
              <w:top w:val="single" w:sz="6" w:space="0" w:color="000000"/>
              <w:left w:val="single" w:sz="6" w:space="0" w:color="000000"/>
              <w:bottom w:val="single" w:sz="6" w:space="0" w:color="000000"/>
              <w:right w:val="single" w:sz="6" w:space="0" w:color="000000"/>
            </w:tcBorders>
            <w:vAlign w:val="center"/>
          </w:tcPr>
          <w:p w:rsidR="00E32574" w:rsidRPr="00202B64" w:rsidRDefault="00E32574" w:rsidP="00E05FF5">
            <w:pPr>
              <w:pStyle w:val="Default"/>
              <w:spacing w:before="120" w:after="120"/>
              <w:rPr>
                <w:rFonts w:ascii="Times New Roman" w:hAnsi="Times New Roman" w:cs="Times New Roman"/>
                <w:sz w:val="22"/>
                <w:szCs w:val="22"/>
              </w:rPr>
            </w:pPr>
            <w:r w:rsidRPr="00202B64">
              <w:rPr>
                <w:rFonts w:ascii="Times New Roman" w:hAnsi="Times New Roman" w:cs="Times New Roman"/>
                <w:sz w:val="22"/>
                <w:szCs w:val="22"/>
              </w:rPr>
              <w:t xml:space="preserve">Duas amostras semanais </w:t>
            </w:r>
          </w:p>
        </w:tc>
        <w:tc>
          <w:tcPr>
            <w:tcW w:w="847" w:type="dxa"/>
            <w:tcBorders>
              <w:top w:val="single" w:sz="6" w:space="0" w:color="000000"/>
              <w:left w:val="single" w:sz="6" w:space="0" w:color="000000"/>
              <w:bottom w:val="single" w:sz="6" w:space="0" w:color="000000"/>
              <w:right w:val="single" w:sz="6" w:space="0" w:color="000000"/>
            </w:tcBorders>
            <w:vAlign w:val="center"/>
          </w:tcPr>
          <w:p w:rsidR="00E32574" w:rsidRPr="00202B64" w:rsidRDefault="00E32574" w:rsidP="00E05FF5">
            <w:pPr>
              <w:pStyle w:val="Default"/>
              <w:spacing w:before="120" w:after="120"/>
              <w:rPr>
                <w:rFonts w:ascii="Times New Roman" w:hAnsi="Times New Roman" w:cs="Times New Roman"/>
                <w:sz w:val="20"/>
                <w:szCs w:val="20"/>
              </w:rPr>
            </w:pPr>
            <w:r w:rsidRPr="00202B64">
              <w:rPr>
                <w:rFonts w:ascii="Times New Roman" w:hAnsi="Times New Roman" w:cs="Times New Roman"/>
                <w:sz w:val="20"/>
                <w:szCs w:val="20"/>
              </w:rPr>
              <w:t xml:space="preserve">110 </w:t>
            </w:r>
          </w:p>
        </w:tc>
        <w:tc>
          <w:tcPr>
            <w:tcW w:w="1279" w:type="dxa"/>
            <w:tcBorders>
              <w:top w:val="single" w:sz="6" w:space="0" w:color="000000"/>
              <w:left w:val="single" w:sz="6" w:space="0" w:color="000000"/>
              <w:bottom w:val="single" w:sz="6" w:space="0" w:color="000000"/>
              <w:right w:val="single" w:sz="6" w:space="0" w:color="000000"/>
            </w:tcBorders>
            <w:vAlign w:val="center"/>
          </w:tcPr>
          <w:p w:rsidR="00E32574" w:rsidRPr="00202B64" w:rsidRDefault="00E32574" w:rsidP="00E05FF5">
            <w:pPr>
              <w:pStyle w:val="Default"/>
              <w:spacing w:before="120" w:after="120"/>
              <w:jc w:val="center"/>
              <w:rPr>
                <w:rFonts w:ascii="Times New Roman" w:hAnsi="Times New Roman" w:cs="Times New Roman"/>
                <w:sz w:val="22"/>
                <w:szCs w:val="22"/>
              </w:rPr>
            </w:pPr>
            <w:r w:rsidRPr="00202B64">
              <w:rPr>
                <w:rFonts w:ascii="Times New Roman" w:hAnsi="Times New Roman" w:cs="Times New Roman"/>
                <w:sz w:val="22"/>
                <w:szCs w:val="22"/>
              </w:rPr>
              <w:t>1 para cada 500 hab.</w:t>
            </w:r>
          </w:p>
        </w:tc>
        <w:tc>
          <w:tcPr>
            <w:tcW w:w="1985" w:type="dxa"/>
            <w:tcBorders>
              <w:top w:val="single" w:sz="6" w:space="0" w:color="000000"/>
              <w:left w:val="single" w:sz="6" w:space="0" w:color="000000"/>
              <w:bottom w:val="single" w:sz="6" w:space="0" w:color="000000"/>
              <w:right w:val="single" w:sz="6" w:space="0" w:color="000000"/>
            </w:tcBorders>
            <w:vAlign w:val="center"/>
          </w:tcPr>
          <w:p w:rsidR="00E32574" w:rsidRPr="00202B64" w:rsidRDefault="00E32574" w:rsidP="00E05FF5">
            <w:pPr>
              <w:pStyle w:val="Default"/>
              <w:spacing w:before="120" w:after="120"/>
              <w:jc w:val="center"/>
              <w:rPr>
                <w:rFonts w:ascii="Times New Roman" w:hAnsi="Times New Roman" w:cs="Times New Roman"/>
                <w:sz w:val="22"/>
                <w:szCs w:val="22"/>
              </w:rPr>
            </w:pPr>
            <w:r w:rsidRPr="00202B64">
              <w:rPr>
                <w:rFonts w:ascii="Times New Roman" w:hAnsi="Times New Roman" w:cs="Times New Roman"/>
                <w:sz w:val="22"/>
                <w:szCs w:val="22"/>
              </w:rPr>
              <w:t>30 + (1 para cada 2.000 hab.)</w:t>
            </w:r>
          </w:p>
        </w:tc>
        <w:tc>
          <w:tcPr>
            <w:tcW w:w="1842" w:type="dxa"/>
            <w:tcBorders>
              <w:top w:val="single" w:sz="6" w:space="0" w:color="000000"/>
              <w:left w:val="single" w:sz="6" w:space="0" w:color="000000"/>
              <w:bottom w:val="single" w:sz="6" w:space="0" w:color="000000"/>
              <w:right w:val="single" w:sz="2" w:space="0" w:color="000000"/>
            </w:tcBorders>
            <w:vAlign w:val="center"/>
          </w:tcPr>
          <w:p w:rsidR="00E32574" w:rsidRPr="00202B64" w:rsidRDefault="00E32574" w:rsidP="00E05FF5">
            <w:pPr>
              <w:pStyle w:val="Default"/>
              <w:spacing w:before="120" w:after="120"/>
              <w:jc w:val="center"/>
              <w:rPr>
                <w:rFonts w:ascii="Times New Roman" w:hAnsi="Times New Roman" w:cs="Times New Roman"/>
                <w:sz w:val="19"/>
                <w:szCs w:val="19"/>
              </w:rPr>
            </w:pPr>
            <w:r w:rsidRPr="00202B64">
              <w:rPr>
                <w:rFonts w:ascii="Times New Roman" w:hAnsi="Times New Roman" w:cs="Times New Roman"/>
                <w:sz w:val="19"/>
                <w:szCs w:val="19"/>
              </w:rPr>
              <w:t>105 + (1 para cada 5.000 hab.) Máximo de 1.000</w:t>
            </w:r>
          </w:p>
        </w:tc>
      </w:tr>
    </w:tbl>
    <w:p w:rsidR="00E32574" w:rsidRPr="005E7DAD" w:rsidRDefault="00E32574" w:rsidP="008C148B">
      <w:pPr>
        <w:pStyle w:val="Fonte"/>
      </w:pPr>
      <w:r w:rsidRPr="005E7DAD">
        <w:t>Fonte: Portaria 2.914/11 do Ministério da Saúde (</w:t>
      </w:r>
      <w:r>
        <w:t>BRASIL,</w:t>
      </w:r>
      <w:r w:rsidRPr="005E7DAD">
        <w:t>2011).</w:t>
      </w:r>
    </w:p>
    <w:p w:rsidR="00E32574" w:rsidRPr="005E7DAD" w:rsidRDefault="00E32574" w:rsidP="00E32574">
      <w:pPr>
        <w:pStyle w:val="CM73"/>
        <w:spacing w:line="360" w:lineRule="auto"/>
        <w:ind w:firstLine="708"/>
        <w:jc w:val="both"/>
        <w:rPr>
          <w:rFonts w:ascii="Times New Roman" w:hAnsi="Times New Roman" w:cs="Times New Roman"/>
        </w:rPr>
      </w:pPr>
      <w:r w:rsidRPr="005E7DAD">
        <w:rPr>
          <w:rFonts w:ascii="Times New Roman" w:hAnsi="Times New Roman" w:cs="Times New Roman"/>
        </w:rPr>
        <w:t xml:space="preserve">A Portaria também especifica diversas atribuições dos responsáveis pela operação do sistema de abastecimento de água. </w:t>
      </w:r>
    </w:p>
    <w:p w:rsidR="00E32574" w:rsidRPr="005E7DAD" w:rsidRDefault="00E32574" w:rsidP="00E32574">
      <w:pPr>
        <w:pStyle w:val="CM73"/>
        <w:spacing w:line="360" w:lineRule="auto"/>
        <w:ind w:firstLine="708"/>
        <w:jc w:val="both"/>
        <w:rPr>
          <w:rFonts w:ascii="Times New Roman" w:hAnsi="Times New Roman" w:cs="Times New Roman"/>
        </w:rPr>
      </w:pPr>
      <w:r w:rsidRPr="005E7DAD">
        <w:rPr>
          <w:rFonts w:ascii="Times New Roman" w:hAnsi="Times New Roman" w:cs="Times New Roman"/>
        </w:rPr>
        <w:t xml:space="preserve">A água deve ter um teor mínimo de cloro residual livre de 0,4 mg/L após </w:t>
      </w:r>
      <w:r>
        <w:rPr>
          <w:rFonts w:ascii="Times New Roman" w:hAnsi="Times New Roman" w:cs="Times New Roman"/>
        </w:rPr>
        <w:t xml:space="preserve">a </w:t>
      </w:r>
      <w:r w:rsidRPr="005E7DAD">
        <w:rPr>
          <w:rFonts w:ascii="Times New Roman" w:hAnsi="Times New Roman" w:cs="Times New Roman"/>
        </w:rPr>
        <w:t xml:space="preserve">desinfecção, mantendo no mínimo 0,2 mg/L em qualquer ponto da rede de distribuição, sendo recomendado que a cloração seja realizada em pH entre 6,0 e 9,0 e o tempo de contato mínimo seja de 30 minutos. </w:t>
      </w:r>
    </w:p>
    <w:p w:rsidR="00E32574" w:rsidRPr="005E7DAD" w:rsidRDefault="00E32574" w:rsidP="00E32574">
      <w:pPr>
        <w:pStyle w:val="CM73"/>
        <w:spacing w:line="360" w:lineRule="auto"/>
        <w:ind w:firstLine="708"/>
        <w:jc w:val="both"/>
        <w:rPr>
          <w:rFonts w:ascii="Times New Roman" w:hAnsi="Times New Roman" w:cs="Times New Roman"/>
        </w:rPr>
      </w:pPr>
      <w:r w:rsidRPr="005E7DAD">
        <w:rPr>
          <w:rFonts w:ascii="Times New Roman" w:hAnsi="Times New Roman" w:cs="Times New Roman"/>
        </w:rPr>
        <w:t xml:space="preserve">A água potável também deve atender o padrão de potabilidade para substâncias químicas que representam risco à saúde, conforme relação apresentada na Portaria nº. 2.914 de 2011 do Ministério da Saúde em seu anexo VII. </w:t>
      </w:r>
    </w:p>
    <w:p w:rsidR="00E32574" w:rsidRPr="005E7DAD" w:rsidRDefault="00E32574" w:rsidP="00E32574">
      <w:pPr>
        <w:pStyle w:val="CM73"/>
        <w:spacing w:line="360" w:lineRule="auto"/>
        <w:ind w:firstLine="708"/>
        <w:jc w:val="both"/>
        <w:rPr>
          <w:rFonts w:ascii="Times New Roman" w:hAnsi="Times New Roman" w:cs="Times New Roman"/>
        </w:rPr>
      </w:pPr>
      <w:r w:rsidRPr="005E7DAD">
        <w:rPr>
          <w:rFonts w:ascii="Times New Roman" w:hAnsi="Times New Roman" w:cs="Times New Roman"/>
        </w:rPr>
        <w:t>Parâmetros radioativos devem estar dentro do padrão estabelecido, porém a investigação destes apenas é obrigatória quando existir evidência de causas de radiação natural ou artificial.</w:t>
      </w:r>
    </w:p>
    <w:p w:rsidR="00E32574" w:rsidRPr="005E7DAD" w:rsidRDefault="00E32574" w:rsidP="00E32574">
      <w:pPr>
        <w:pStyle w:val="CM73"/>
        <w:spacing w:line="360" w:lineRule="auto"/>
        <w:ind w:firstLine="708"/>
        <w:jc w:val="both"/>
        <w:rPr>
          <w:rFonts w:ascii="Times New Roman" w:hAnsi="Times New Roman" w:cs="Times New Roman"/>
        </w:rPr>
      </w:pPr>
      <w:r>
        <w:rPr>
          <w:rFonts w:ascii="Times New Roman" w:hAnsi="Times New Roman" w:cs="Times New Roman"/>
        </w:rPr>
        <w:lastRenderedPageBreak/>
        <w:t xml:space="preserve">A </w:t>
      </w:r>
      <w:r w:rsidR="004037C8">
        <w:rPr>
          <w:rFonts w:ascii="Times New Roman" w:hAnsi="Times New Roman" w:cs="Times New Roman"/>
        </w:rPr>
        <w:t>Tabela 8</w:t>
      </w:r>
      <w:r w:rsidRPr="005E7DAD">
        <w:rPr>
          <w:rFonts w:ascii="Times New Roman" w:hAnsi="Times New Roman" w:cs="Times New Roman"/>
        </w:rPr>
        <w:t xml:space="preserve">, representa o número mínimo de amostras e frequência para o controle da qualidade da água do sistema de abastecimento, para fins de análises físicas, químicas e de radioatividade, em função do ponto de amostragem, da população abastecida e do tipo de manancial. </w:t>
      </w:r>
    </w:p>
    <w:p w:rsidR="00E32574" w:rsidRDefault="00A80257" w:rsidP="00A80257">
      <w:pPr>
        <w:pStyle w:val="Legenda"/>
      </w:pPr>
      <w:bookmarkStart w:id="385" w:name="_Toc372740356"/>
      <w:r>
        <w:t xml:space="preserve">Tabela </w:t>
      </w:r>
      <w:fldSimple w:instr=" SEQ Tabela \* ARABIC ">
        <w:r w:rsidR="004F77E2">
          <w:rPr>
            <w:noProof/>
          </w:rPr>
          <w:t>8</w:t>
        </w:r>
      </w:fldSimple>
      <w:r>
        <w:t xml:space="preserve"> - </w:t>
      </w:r>
      <w:r w:rsidRPr="00301821">
        <w:rPr>
          <w:noProof/>
        </w:rPr>
        <w:t>Número e frequência para controle de qualidade da água.</w:t>
      </w:r>
      <w:bookmarkEnd w:id="385"/>
    </w:p>
    <w:p w:rsidR="00E32574" w:rsidRPr="00A829C7" w:rsidRDefault="00E32574" w:rsidP="00E32574">
      <w:pPr>
        <w:pStyle w:val="Default"/>
      </w:pPr>
      <w:r>
        <w:rPr>
          <w:noProof/>
          <w:color w:val="auto"/>
          <w:sz w:val="20"/>
          <w:szCs w:val="20"/>
          <w:bdr w:val="single" w:sz="4" w:space="0" w:color="auto"/>
        </w:rPr>
        <w:drawing>
          <wp:inline distT="0" distB="0" distL="0" distR="0" wp14:anchorId="3E950E59" wp14:editId="7754457E">
            <wp:extent cx="5351145" cy="2528570"/>
            <wp:effectExtent l="0" t="0" r="0"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6"/>
                    <pic:cNvPicPr>
                      <a:picLocks noChangeAspect="1" noChangeArrowheads="1"/>
                    </pic:cNvPicPr>
                  </pic:nvPicPr>
                  <pic:blipFill>
                    <a:blip r:embed="rId167" cstate="print">
                      <a:extLst>
                        <a:ext uri="{28A0092B-C50C-407E-A947-70E740481C1C}">
                          <a14:useLocalDpi xmlns:a14="http://schemas.microsoft.com/office/drawing/2010/main" val="0"/>
                        </a:ext>
                      </a:extLst>
                    </a:blip>
                    <a:srcRect t="6667" b="658"/>
                    <a:stretch>
                      <a:fillRect/>
                    </a:stretch>
                  </pic:blipFill>
                  <pic:spPr bwMode="auto">
                    <a:xfrm>
                      <a:off x="0" y="0"/>
                      <a:ext cx="5351145" cy="2528570"/>
                    </a:xfrm>
                    <a:prstGeom prst="rect">
                      <a:avLst/>
                    </a:prstGeom>
                    <a:noFill/>
                    <a:ln>
                      <a:noFill/>
                    </a:ln>
                  </pic:spPr>
                </pic:pic>
              </a:graphicData>
            </a:graphic>
          </wp:inline>
        </w:drawing>
      </w:r>
    </w:p>
    <w:p w:rsidR="00E32574" w:rsidRPr="005E7DAD" w:rsidRDefault="00E32574" w:rsidP="008C148B">
      <w:pPr>
        <w:pStyle w:val="Fonte"/>
      </w:pPr>
      <w:r w:rsidRPr="005E7DAD">
        <w:t>Fonte: Portaria 2.914/11 do Ministério da Saúde (</w:t>
      </w:r>
      <w:r>
        <w:t>BRASIL,</w:t>
      </w:r>
      <w:r w:rsidRPr="005E7DAD">
        <w:t>2011).</w:t>
      </w:r>
    </w:p>
    <w:p w:rsidR="00E32574" w:rsidRPr="00A67FA4" w:rsidRDefault="00E32574" w:rsidP="00E32574">
      <w:pPr>
        <w:pStyle w:val="CM73"/>
        <w:spacing w:line="360" w:lineRule="auto"/>
        <w:ind w:firstLine="708"/>
        <w:jc w:val="both"/>
        <w:rPr>
          <w:rFonts w:ascii="Times New Roman" w:hAnsi="Times New Roman" w:cs="Times New Roman"/>
        </w:rPr>
      </w:pPr>
      <w:r w:rsidRPr="00A67FA4">
        <w:rPr>
          <w:rFonts w:ascii="Times New Roman" w:hAnsi="Times New Roman" w:cs="Times New Roman"/>
        </w:rPr>
        <w:t xml:space="preserve">Segundo o SAAE, </w:t>
      </w:r>
      <w:r>
        <w:rPr>
          <w:rFonts w:ascii="Times New Roman" w:hAnsi="Times New Roman" w:cs="Times New Roman"/>
        </w:rPr>
        <w:t>os reservatórios de água necessitam de limpeza e no mês de agosto de 2013, estavam trabalhando para a troca de areia e manutenção dos leitos filtrantes com a troca de areia selecionada nas ETA’s do município. Em análise, o programa de alívio nas pontes de rede (limpeza), para eliminação dos possíveis problemas de acúmulo de sólidos e gases que se acumulam ao longo do tempo, em alguns pontos isto já teria sido realizado e demonstrando a necessidade dessa manutenção. No período de 21 a 26/08/2013, o Sistema Aimorés ficou com água sem adição de flúor por motivo de manutenção no moto</w:t>
      </w:r>
      <w:r w:rsidR="007001D0">
        <w:rPr>
          <w:rFonts w:ascii="Times New Roman" w:hAnsi="Times New Roman" w:cs="Times New Roman"/>
        </w:rPr>
        <w:t>r</w:t>
      </w:r>
      <w:r>
        <w:rPr>
          <w:rFonts w:ascii="Times New Roman" w:hAnsi="Times New Roman" w:cs="Times New Roman"/>
        </w:rPr>
        <w:t xml:space="preserve"> que faz a mistura da solução, também houve a falta de fornecimento de água para a sede por motivo de rompimento da adutora de abastecimento no dia 14/08/2013 das 11</w:t>
      </w:r>
      <w:r w:rsidR="007001D0">
        <w:rPr>
          <w:rFonts w:ascii="Times New Roman" w:hAnsi="Times New Roman" w:cs="Times New Roman"/>
        </w:rPr>
        <w:t xml:space="preserve"> </w:t>
      </w:r>
      <w:r>
        <w:rPr>
          <w:rFonts w:ascii="Times New Roman" w:hAnsi="Times New Roman" w:cs="Times New Roman"/>
        </w:rPr>
        <w:t>h</w:t>
      </w:r>
      <w:r w:rsidR="007001D0">
        <w:rPr>
          <w:rFonts w:ascii="Times New Roman" w:hAnsi="Times New Roman" w:cs="Times New Roman"/>
        </w:rPr>
        <w:t xml:space="preserve">oras e </w:t>
      </w:r>
      <w:r>
        <w:rPr>
          <w:rFonts w:ascii="Times New Roman" w:hAnsi="Times New Roman" w:cs="Times New Roman"/>
        </w:rPr>
        <w:t>30</w:t>
      </w:r>
      <w:r w:rsidR="007001D0">
        <w:rPr>
          <w:rFonts w:ascii="Times New Roman" w:hAnsi="Times New Roman" w:cs="Times New Roman"/>
        </w:rPr>
        <w:t xml:space="preserve"> </w:t>
      </w:r>
      <w:r>
        <w:rPr>
          <w:rFonts w:ascii="Times New Roman" w:hAnsi="Times New Roman" w:cs="Times New Roman"/>
        </w:rPr>
        <w:t>min</w:t>
      </w:r>
      <w:r w:rsidR="007001D0">
        <w:rPr>
          <w:rFonts w:ascii="Times New Roman" w:hAnsi="Times New Roman" w:cs="Times New Roman"/>
        </w:rPr>
        <w:t>utos</w:t>
      </w:r>
      <w:r>
        <w:rPr>
          <w:rFonts w:ascii="Times New Roman" w:hAnsi="Times New Roman" w:cs="Times New Roman"/>
        </w:rPr>
        <w:t xml:space="preserve"> às 19</w:t>
      </w:r>
      <w:r w:rsidR="007001D0">
        <w:rPr>
          <w:rFonts w:ascii="Times New Roman" w:hAnsi="Times New Roman" w:cs="Times New Roman"/>
        </w:rPr>
        <w:t xml:space="preserve"> </w:t>
      </w:r>
      <w:r>
        <w:rPr>
          <w:rFonts w:ascii="Times New Roman" w:hAnsi="Times New Roman" w:cs="Times New Roman"/>
        </w:rPr>
        <w:t>h</w:t>
      </w:r>
      <w:r w:rsidR="007001D0">
        <w:rPr>
          <w:rFonts w:ascii="Times New Roman" w:hAnsi="Times New Roman" w:cs="Times New Roman"/>
        </w:rPr>
        <w:t xml:space="preserve">oras </w:t>
      </w:r>
      <w:r>
        <w:rPr>
          <w:rFonts w:ascii="Times New Roman" w:hAnsi="Times New Roman" w:cs="Times New Roman"/>
        </w:rPr>
        <w:t>30</w:t>
      </w:r>
      <w:r w:rsidR="007001D0">
        <w:rPr>
          <w:rFonts w:ascii="Times New Roman" w:hAnsi="Times New Roman" w:cs="Times New Roman"/>
        </w:rPr>
        <w:t xml:space="preserve"> </w:t>
      </w:r>
      <w:r>
        <w:rPr>
          <w:rFonts w:ascii="Times New Roman" w:hAnsi="Times New Roman" w:cs="Times New Roman"/>
        </w:rPr>
        <w:t>min</w:t>
      </w:r>
      <w:r w:rsidR="007001D0">
        <w:rPr>
          <w:rFonts w:ascii="Times New Roman" w:hAnsi="Times New Roman" w:cs="Times New Roman"/>
        </w:rPr>
        <w:t>utos</w:t>
      </w:r>
      <w:r>
        <w:rPr>
          <w:rFonts w:ascii="Times New Roman" w:hAnsi="Times New Roman" w:cs="Times New Roman"/>
        </w:rPr>
        <w:t>.</w:t>
      </w:r>
    </w:p>
    <w:p w:rsidR="00E32574" w:rsidRPr="000C5DD6" w:rsidRDefault="000C5DD6" w:rsidP="00971B37">
      <w:pPr>
        <w:pStyle w:val="Titulo"/>
      </w:pPr>
      <w:bookmarkStart w:id="386" w:name="_Toc372559120"/>
      <w:bookmarkStart w:id="387" w:name="_Toc372789552"/>
      <w:r>
        <w:t>11.</w:t>
      </w:r>
      <w:r w:rsidR="00E64A13">
        <w:t>9</w:t>
      </w:r>
      <w:r>
        <w:t xml:space="preserve">.7 </w:t>
      </w:r>
      <w:r w:rsidR="00E32574" w:rsidRPr="000C5DD6">
        <w:t>Índices de Abastecimento</w:t>
      </w:r>
      <w:bookmarkEnd w:id="386"/>
      <w:bookmarkEnd w:id="387"/>
      <w:r w:rsidR="00E32574" w:rsidRPr="000C5DD6">
        <w:t xml:space="preserve"> </w:t>
      </w:r>
    </w:p>
    <w:p w:rsidR="00E32574" w:rsidRPr="006C03F7" w:rsidRDefault="00E32574" w:rsidP="00E32574">
      <w:pPr>
        <w:pStyle w:val="CM73"/>
        <w:spacing w:line="360" w:lineRule="auto"/>
        <w:ind w:firstLine="708"/>
        <w:jc w:val="both"/>
        <w:rPr>
          <w:rFonts w:ascii="Times New Roman" w:hAnsi="Times New Roman" w:cs="Times New Roman"/>
        </w:rPr>
      </w:pPr>
      <w:r w:rsidRPr="006C03F7">
        <w:rPr>
          <w:rFonts w:ascii="Times New Roman" w:hAnsi="Times New Roman" w:cs="Times New Roman"/>
        </w:rPr>
        <w:t>Conforme dados do Sistema Nacional de Informações sobre Saneamento -</w:t>
      </w:r>
      <w:r>
        <w:rPr>
          <w:rFonts w:ascii="Times New Roman" w:hAnsi="Times New Roman" w:cs="Times New Roman"/>
        </w:rPr>
        <w:t xml:space="preserve"> </w:t>
      </w:r>
      <w:r w:rsidRPr="006C03F7">
        <w:rPr>
          <w:rFonts w:ascii="Times New Roman" w:hAnsi="Times New Roman" w:cs="Times New Roman"/>
        </w:rPr>
        <w:t>S</w:t>
      </w:r>
      <w:r>
        <w:rPr>
          <w:rFonts w:ascii="Times New Roman" w:hAnsi="Times New Roman" w:cs="Times New Roman"/>
        </w:rPr>
        <w:t>NIS (201</w:t>
      </w:r>
      <w:r w:rsidR="0047626B">
        <w:rPr>
          <w:rFonts w:ascii="Times New Roman" w:hAnsi="Times New Roman" w:cs="Times New Roman"/>
        </w:rPr>
        <w:t>1</w:t>
      </w:r>
      <w:r w:rsidRPr="006C03F7">
        <w:rPr>
          <w:rFonts w:ascii="Times New Roman" w:hAnsi="Times New Roman" w:cs="Times New Roman"/>
        </w:rPr>
        <w:t>)</w:t>
      </w:r>
      <w:r w:rsidR="0047626B">
        <w:rPr>
          <w:rFonts w:ascii="Times New Roman" w:hAnsi="Times New Roman" w:cs="Times New Roman"/>
        </w:rPr>
        <w:t xml:space="preserve"> e SAAE/AIMORÉS (2013)</w:t>
      </w:r>
      <w:r w:rsidRPr="006C03F7">
        <w:rPr>
          <w:rFonts w:ascii="Times New Roman" w:hAnsi="Times New Roman" w:cs="Times New Roman"/>
        </w:rPr>
        <w:t>, a população do município de Aimorés abastecida por água tratada é de</w:t>
      </w:r>
      <w:r w:rsidR="00C21828">
        <w:rPr>
          <w:rFonts w:ascii="Times New Roman" w:hAnsi="Times New Roman" w:cs="Times New Roman"/>
        </w:rPr>
        <w:t>,</w:t>
      </w:r>
      <w:r w:rsidRPr="006C03F7">
        <w:rPr>
          <w:rFonts w:ascii="Times New Roman" w:hAnsi="Times New Roman" w:cs="Times New Roman"/>
        </w:rPr>
        <w:t xml:space="preserve"> aproximadamente</w:t>
      </w:r>
      <w:r w:rsidR="00C21828">
        <w:rPr>
          <w:rFonts w:ascii="Times New Roman" w:hAnsi="Times New Roman" w:cs="Times New Roman"/>
        </w:rPr>
        <w:t>,</w:t>
      </w:r>
      <w:r w:rsidRPr="006C03F7">
        <w:rPr>
          <w:rFonts w:ascii="Times New Roman" w:hAnsi="Times New Roman" w:cs="Times New Roman"/>
        </w:rPr>
        <w:t xml:space="preserve"> 19.</w:t>
      </w:r>
      <w:r w:rsidR="0047626B">
        <w:rPr>
          <w:rFonts w:ascii="Times New Roman" w:hAnsi="Times New Roman" w:cs="Times New Roman"/>
        </w:rPr>
        <w:t>700</w:t>
      </w:r>
      <w:r w:rsidRPr="006C03F7">
        <w:rPr>
          <w:rFonts w:ascii="Times New Roman" w:hAnsi="Times New Roman" w:cs="Times New Roman"/>
        </w:rPr>
        <w:t xml:space="preserve"> habitantes. O índice de atendimento com </w:t>
      </w:r>
      <w:r w:rsidRPr="006C03F7">
        <w:rPr>
          <w:rFonts w:ascii="Times New Roman" w:hAnsi="Times New Roman" w:cs="Times New Roman"/>
        </w:rPr>
        <w:lastRenderedPageBreak/>
        <w:t>abastecimento de água é de 72,75%, para o município como um todo</w:t>
      </w:r>
      <w:r>
        <w:rPr>
          <w:rFonts w:ascii="Times New Roman" w:hAnsi="Times New Roman" w:cs="Times New Roman"/>
        </w:rPr>
        <w:t xml:space="preserve">, mas para a área urbana este índice é de 96,70 %, segundo levantamento </w:t>
      </w:r>
      <w:r w:rsidR="007001D0">
        <w:rPr>
          <w:rFonts w:ascii="Times New Roman" w:hAnsi="Times New Roman" w:cs="Times New Roman"/>
        </w:rPr>
        <w:t>“</w:t>
      </w:r>
      <w:r>
        <w:rPr>
          <w:rFonts w:ascii="Times New Roman" w:hAnsi="Times New Roman" w:cs="Times New Roman"/>
        </w:rPr>
        <w:t>in loco</w:t>
      </w:r>
      <w:r w:rsidR="007001D0">
        <w:rPr>
          <w:rFonts w:ascii="Times New Roman" w:hAnsi="Times New Roman" w:cs="Times New Roman"/>
        </w:rPr>
        <w:t>”</w:t>
      </w:r>
      <w:r>
        <w:rPr>
          <w:rFonts w:ascii="Times New Roman" w:hAnsi="Times New Roman" w:cs="Times New Roman"/>
        </w:rPr>
        <w:t xml:space="preserve"> no mês de setembro de 2013</w:t>
      </w:r>
      <w:r w:rsidRPr="006C03F7">
        <w:rPr>
          <w:rFonts w:ascii="Times New Roman" w:hAnsi="Times New Roman" w:cs="Times New Roman"/>
        </w:rPr>
        <w:t xml:space="preserve">. </w:t>
      </w:r>
    </w:p>
    <w:p w:rsidR="00E32574" w:rsidRPr="006C03F7" w:rsidRDefault="007001D0" w:rsidP="00E32574">
      <w:pPr>
        <w:pStyle w:val="CM73"/>
        <w:spacing w:line="360" w:lineRule="auto"/>
        <w:ind w:firstLine="708"/>
        <w:jc w:val="both"/>
        <w:rPr>
          <w:rFonts w:ascii="Times New Roman" w:hAnsi="Times New Roman" w:cs="Times New Roman"/>
        </w:rPr>
      </w:pPr>
      <w:r>
        <w:rPr>
          <w:rFonts w:ascii="Times New Roman" w:hAnsi="Times New Roman" w:cs="Times New Roman"/>
        </w:rPr>
        <w:t>O Quadro 4</w:t>
      </w:r>
      <w:r w:rsidR="004037C8">
        <w:rPr>
          <w:rFonts w:ascii="Times New Roman" w:hAnsi="Times New Roman" w:cs="Times New Roman"/>
        </w:rPr>
        <w:t>0</w:t>
      </w:r>
      <w:r w:rsidR="00E32574" w:rsidRPr="006C03F7">
        <w:rPr>
          <w:rFonts w:ascii="Times New Roman" w:hAnsi="Times New Roman" w:cs="Times New Roman"/>
        </w:rPr>
        <w:t xml:space="preserve"> apresenta os valores médios dos índices de atendimento para o município de Aimorés, assim como para a capital do estado Belo Horizonte, o estado de Minas Gerais, a região Sudeste e os valores nacionais segundo o SNIS em 2010 e 2011. </w:t>
      </w:r>
    </w:p>
    <w:p w:rsidR="00E32574" w:rsidRDefault="0075744C" w:rsidP="0075744C">
      <w:pPr>
        <w:pStyle w:val="Legenda"/>
        <w:rPr>
          <w:rFonts w:ascii="Arial" w:hAnsi="Arial" w:cs="Arial"/>
          <w:color w:val="000000"/>
          <w:sz w:val="20"/>
        </w:rPr>
      </w:pPr>
      <w:bookmarkStart w:id="388" w:name="_Toc372740546"/>
      <w:r>
        <w:t xml:space="preserve">Quadro </w:t>
      </w:r>
      <w:fldSimple w:instr=" SEQ Quadro \* ARABIC ">
        <w:r w:rsidR="004F77E2">
          <w:rPr>
            <w:noProof/>
          </w:rPr>
          <w:t>40</w:t>
        </w:r>
      </w:fldSimple>
      <w:r>
        <w:t xml:space="preserve"> - </w:t>
      </w:r>
      <w:r w:rsidRPr="004258A6">
        <w:rPr>
          <w:noProof/>
        </w:rPr>
        <w:t>Valores médios dos índices de atendimento para o Município de AIMORÉS, Belo Horizonte, Minas Gerais, Região Sudeste e Brasil em 2010 e 2011.</w:t>
      </w:r>
      <w:bookmarkEnd w:id="388"/>
    </w:p>
    <w:tbl>
      <w:tblPr>
        <w:tblW w:w="8588" w:type="dxa"/>
        <w:jc w:val="center"/>
        <w:tblLayout w:type="fixed"/>
        <w:tblLook w:val="0000" w:firstRow="0" w:lastRow="0" w:firstColumn="0" w:lastColumn="0" w:noHBand="0" w:noVBand="0"/>
      </w:tblPr>
      <w:tblGrid>
        <w:gridCol w:w="1318"/>
        <w:gridCol w:w="1559"/>
        <w:gridCol w:w="2268"/>
        <w:gridCol w:w="1600"/>
        <w:gridCol w:w="1843"/>
      </w:tblGrid>
      <w:tr w:rsidR="00E32574" w:rsidRPr="00202B64" w:rsidTr="00E32574">
        <w:trPr>
          <w:trHeight w:val="522"/>
          <w:jc w:val="center"/>
        </w:trPr>
        <w:tc>
          <w:tcPr>
            <w:tcW w:w="1318" w:type="dxa"/>
            <w:vMerge w:val="restart"/>
            <w:tcBorders>
              <w:top w:val="single" w:sz="6" w:space="0" w:color="000000"/>
              <w:left w:val="single" w:sz="2" w:space="0" w:color="000000"/>
              <w:right w:val="single" w:sz="4" w:space="0" w:color="000000"/>
            </w:tcBorders>
            <w:shd w:val="clear" w:color="auto" w:fill="D9D9D9"/>
            <w:vAlign w:val="center"/>
          </w:tcPr>
          <w:p w:rsidR="00E32574" w:rsidRPr="007001D0" w:rsidRDefault="00E32574" w:rsidP="007001D0">
            <w:pPr>
              <w:pStyle w:val="Default"/>
              <w:spacing w:before="120" w:after="120"/>
              <w:rPr>
                <w:rFonts w:ascii="Times New Roman" w:hAnsi="Times New Roman" w:cs="Times New Roman"/>
                <w:b/>
              </w:rPr>
            </w:pPr>
            <w:r w:rsidRPr="007001D0">
              <w:rPr>
                <w:rFonts w:ascii="Times New Roman" w:hAnsi="Times New Roman" w:cs="Times New Roman"/>
                <w:b/>
              </w:rPr>
              <w:t xml:space="preserve">Localidade </w:t>
            </w:r>
          </w:p>
        </w:tc>
        <w:tc>
          <w:tcPr>
            <w:tcW w:w="3827" w:type="dxa"/>
            <w:gridSpan w:val="2"/>
            <w:tcBorders>
              <w:top w:val="single" w:sz="6" w:space="0" w:color="000000"/>
              <w:left w:val="single" w:sz="4" w:space="0" w:color="000000"/>
              <w:bottom w:val="single" w:sz="6" w:space="0" w:color="000000"/>
              <w:right w:val="single" w:sz="2" w:space="0" w:color="000000"/>
            </w:tcBorders>
            <w:shd w:val="clear" w:color="auto" w:fill="D9D9D9"/>
            <w:vAlign w:val="center"/>
          </w:tcPr>
          <w:p w:rsidR="00E32574" w:rsidRPr="007001D0" w:rsidRDefault="00E32574" w:rsidP="007001D0">
            <w:pPr>
              <w:pStyle w:val="Default"/>
              <w:spacing w:before="120" w:after="120"/>
              <w:jc w:val="center"/>
              <w:rPr>
                <w:rFonts w:ascii="Times New Roman" w:hAnsi="Times New Roman" w:cs="Times New Roman"/>
                <w:b/>
              </w:rPr>
            </w:pPr>
            <w:r w:rsidRPr="007001D0">
              <w:rPr>
                <w:rFonts w:ascii="Times New Roman" w:hAnsi="Times New Roman" w:cs="Times New Roman"/>
                <w:b/>
              </w:rPr>
              <w:t xml:space="preserve">Índice de atendimento com rede de água (%) (2010) </w:t>
            </w:r>
          </w:p>
        </w:tc>
        <w:tc>
          <w:tcPr>
            <w:tcW w:w="3443" w:type="dxa"/>
            <w:gridSpan w:val="2"/>
            <w:tcBorders>
              <w:top w:val="single" w:sz="6" w:space="0" w:color="000000"/>
              <w:left w:val="single" w:sz="4" w:space="0" w:color="000000"/>
              <w:bottom w:val="single" w:sz="6" w:space="0" w:color="000000"/>
              <w:right w:val="single" w:sz="2" w:space="0" w:color="000000"/>
            </w:tcBorders>
            <w:shd w:val="clear" w:color="auto" w:fill="D9D9D9"/>
          </w:tcPr>
          <w:p w:rsidR="00E32574" w:rsidRPr="007001D0" w:rsidRDefault="00E32574" w:rsidP="007001D0">
            <w:pPr>
              <w:pStyle w:val="Default"/>
              <w:spacing w:before="120" w:after="120"/>
              <w:jc w:val="center"/>
              <w:rPr>
                <w:rFonts w:ascii="Times New Roman" w:hAnsi="Times New Roman" w:cs="Times New Roman"/>
                <w:b/>
              </w:rPr>
            </w:pPr>
            <w:r w:rsidRPr="007001D0">
              <w:rPr>
                <w:rFonts w:ascii="Times New Roman" w:hAnsi="Times New Roman" w:cs="Times New Roman"/>
                <w:b/>
              </w:rPr>
              <w:t xml:space="preserve">Índice de atendimento com rede de água (%) (2011) </w:t>
            </w:r>
          </w:p>
        </w:tc>
      </w:tr>
      <w:tr w:rsidR="00E32574" w:rsidRPr="00202B64" w:rsidTr="00E32574">
        <w:trPr>
          <w:trHeight w:val="510"/>
          <w:jc w:val="center"/>
        </w:trPr>
        <w:tc>
          <w:tcPr>
            <w:tcW w:w="1318" w:type="dxa"/>
            <w:vMerge/>
            <w:tcBorders>
              <w:left w:val="single" w:sz="2" w:space="0" w:color="000000"/>
              <w:bottom w:val="single" w:sz="6" w:space="0" w:color="000000"/>
              <w:right w:val="single" w:sz="4" w:space="0" w:color="000000"/>
            </w:tcBorders>
            <w:shd w:val="clear" w:color="auto" w:fill="D9D9D9"/>
          </w:tcPr>
          <w:p w:rsidR="00E32574" w:rsidRPr="007001D0" w:rsidRDefault="00E32574" w:rsidP="007001D0">
            <w:pPr>
              <w:pStyle w:val="Default"/>
              <w:spacing w:before="120" w:after="120"/>
              <w:rPr>
                <w:rFonts w:ascii="Times New Roman" w:hAnsi="Times New Roman" w:cs="Times New Roman"/>
                <w:b/>
                <w:color w:val="auto"/>
              </w:rPr>
            </w:pPr>
          </w:p>
        </w:tc>
        <w:tc>
          <w:tcPr>
            <w:tcW w:w="1559"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7001D0" w:rsidRDefault="00E32574" w:rsidP="007001D0">
            <w:pPr>
              <w:pStyle w:val="Default"/>
              <w:spacing w:before="120" w:after="120"/>
              <w:jc w:val="center"/>
              <w:rPr>
                <w:rFonts w:ascii="Times New Roman" w:hAnsi="Times New Roman" w:cs="Times New Roman"/>
                <w:b/>
              </w:rPr>
            </w:pPr>
            <w:r w:rsidRPr="007001D0">
              <w:rPr>
                <w:rFonts w:ascii="Times New Roman" w:hAnsi="Times New Roman" w:cs="Times New Roman"/>
                <w:b/>
              </w:rPr>
              <w:t xml:space="preserve">Total (IN055) </w:t>
            </w:r>
          </w:p>
        </w:tc>
        <w:tc>
          <w:tcPr>
            <w:tcW w:w="2268"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7001D0" w:rsidRDefault="00E32574" w:rsidP="007001D0">
            <w:pPr>
              <w:pStyle w:val="Default"/>
              <w:spacing w:before="120" w:after="120"/>
              <w:jc w:val="center"/>
              <w:rPr>
                <w:rFonts w:ascii="Times New Roman" w:hAnsi="Times New Roman" w:cs="Times New Roman"/>
                <w:b/>
              </w:rPr>
            </w:pPr>
            <w:r w:rsidRPr="007001D0">
              <w:rPr>
                <w:rFonts w:ascii="Times New Roman" w:hAnsi="Times New Roman" w:cs="Times New Roman"/>
                <w:b/>
              </w:rPr>
              <w:t xml:space="preserve">Urbano (IN023) </w:t>
            </w:r>
          </w:p>
        </w:tc>
        <w:tc>
          <w:tcPr>
            <w:tcW w:w="1600" w:type="dxa"/>
            <w:tcBorders>
              <w:top w:val="single" w:sz="6" w:space="0" w:color="000000"/>
              <w:left w:val="single" w:sz="4" w:space="0" w:color="000000"/>
              <w:bottom w:val="single" w:sz="6" w:space="0" w:color="000000"/>
              <w:right w:val="single" w:sz="2" w:space="0" w:color="000000"/>
            </w:tcBorders>
            <w:shd w:val="clear" w:color="auto" w:fill="D9D9D9"/>
            <w:vAlign w:val="center"/>
          </w:tcPr>
          <w:p w:rsidR="00E32574" w:rsidRPr="007001D0" w:rsidRDefault="00E32574" w:rsidP="007001D0">
            <w:pPr>
              <w:pStyle w:val="Default"/>
              <w:spacing w:before="120" w:after="120"/>
              <w:jc w:val="center"/>
              <w:rPr>
                <w:rFonts w:ascii="Times New Roman" w:hAnsi="Times New Roman" w:cs="Times New Roman"/>
                <w:b/>
              </w:rPr>
            </w:pPr>
            <w:r w:rsidRPr="007001D0">
              <w:rPr>
                <w:rFonts w:ascii="Times New Roman" w:hAnsi="Times New Roman" w:cs="Times New Roman"/>
                <w:b/>
              </w:rPr>
              <w:t>Total (IN055)</w:t>
            </w:r>
          </w:p>
        </w:tc>
        <w:tc>
          <w:tcPr>
            <w:tcW w:w="1843" w:type="dxa"/>
            <w:tcBorders>
              <w:top w:val="single" w:sz="6" w:space="0" w:color="000000"/>
              <w:left w:val="single" w:sz="4" w:space="0" w:color="000000"/>
              <w:bottom w:val="single" w:sz="6" w:space="0" w:color="000000"/>
              <w:right w:val="single" w:sz="2" w:space="0" w:color="000000"/>
            </w:tcBorders>
            <w:shd w:val="clear" w:color="auto" w:fill="D9D9D9"/>
            <w:vAlign w:val="center"/>
          </w:tcPr>
          <w:p w:rsidR="00E32574" w:rsidRPr="007001D0" w:rsidRDefault="00E32574" w:rsidP="007001D0">
            <w:pPr>
              <w:pStyle w:val="Default"/>
              <w:spacing w:before="120" w:after="120"/>
              <w:jc w:val="center"/>
              <w:rPr>
                <w:rFonts w:ascii="Times New Roman" w:hAnsi="Times New Roman" w:cs="Times New Roman"/>
                <w:b/>
              </w:rPr>
            </w:pPr>
            <w:r w:rsidRPr="007001D0">
              <w:rPr>
                <w:rFonts w:ascii="Times New Roman" w:hAnsi="Times New Roman" w:cs="Times New Roman"/>
                <w:b/>
              </w:rPr>
              <w:t xml:space="preserve">Urbano (IN023) </w:t>
            </w:r>
          </w:p>
        </w:tc>
      </w:tr>
      <w:tr w:rsidR="00E32574" w:rsidRPr="00202B64" w:rsidTr="00E32574">
        <w:trPr>
          <w:trHeight w:val="240"/>
          <w:jc w:val="center"/>
        </w:trPr>
        <w:tc>
          <w:tcPr>
            <w:tcW w:w="1318"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7001D0">
            <w:pPr>
              <w:pStyle w:val="Default"/>
              <w:spacing w:before="120" w:after="120"/>
              <w:rPr>
                <w:rFonts w:ascii="Times New Roman" w:hAnsi="Times New Roman" w:cs="Times New Roman"/>
              </w:rPr>
            </w:pPr>
            <w:r w:rsidRPr="00202B64">
              <w:rPr>
                <w:rFonts w:ascii="Times New Roman" w:hAnsi="Times New Roman" w:cs="Times New Roman"/>
              </w:rPr>
              <w:t>Aimorés</w:t>
            </w:r>
          </w:p>
        </w:tc>
        <w:tc>
          <w:tcPr>
            <w:tcW w:w="1559"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72,8</w:t>
            </w:r>
          </w:p>
        </w:tc>
        <w:tc>
          <w:tcPr>
            <w:tcW w:w="2268"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92,1</w:t>
            </w:r>
          </w:p>
        </w:tc>
        <w:tc>
          <w:tcPr>
            <w:tcW w:w="1600"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C43AE1">
              <w:rPr>
                <w:rFonts w:ascii="Times New Roman" w:hAnsi="Times New Roman" w:cs="Times New Roman"/>
              </w:rPr>
              <w:t>97,1</w:t>
            </w:r>
          </w:p>
        </w:tc>
        <w:tc>
          <w:tcPr>
            <w:tcW w:w="1843"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96,8</w:t>
            </w:r>
          </w:p>
        </w:tc>
      </w:tr>
      <w:tr w:rsidR="00E32574" w:rsidRPr="00202B64" w:rsidTr="00E32574">
        <w:trPr>
          <w:trHeight w:val="240"/>
          <w:jc w:val="center"/>
        </w:trPr>
        <w:tc>
          <w:tcPr>
            <w:tcW w:w="1318"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7001D0">
            <w:pPr>
              <w:pStyle w:val="Default"/>
              <w:spacing w:before="120" w:after="120"/>
              <w:rPr>
                <w:rFonts w:ascii="Times New Roman" w:hAnsi="Times New Roman" w:cs="Times New Roman"/>
              </w:rPr>
            </w:pPr>
            <w:r w:rsidRPr="00202B64">
              <w:rPr>
                <w:rFonts w:ascii="Times New Roman" w:hAnsi="Times New Roman" w:cs="Times New Roman"/>
              </w:rPr>
              <w:t xml:space="preserve">Belo Horizonte </w:t>
            </w:r>
          </w:p>
        </w:tc>
        <w:tc>
          <w:tcPr>
            <w:tcW w:w="1559"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100</w:t>
            </w:r>
          </w:p>
        </w:tc>
        <w:tc>
          <w:tcPr>
            <w:tcW w:w="2268"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100</w:t>
            </w:r>
          </w:p>
        </w:tc>
        <w:tc>
          <w:tcPr>
            <w:tcW w:w="1600"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100</w:t>
            </w:r>
          </w:p>
        </w:tc>
        <w:tc>
          <w:tcPr>
            <w:tcW w:w="1843"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100</w:t>
            </w:r>
          </w:p>
        </w:tc>
      </w:tr>
      <w:tr w:rsidR="00E32574" w:rsidRPr="00202B64" w:rsidTr="00E32574">
        <w:trPr>
          <w:trHeight w:val="240"/>
          <w:jc w:val="center"/>
        </w:trPr>
        <w:tc>
          <w:tcPr>
            <w:tcW w:w="1318"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7001D0">
            <w:pPr>
              <w:pStyle w:val="Default"/>
              <w:spacing w:before="120" w:after="120"/>
              <w:rPr>
                <w:rFonts w:ascii="Times New Roman" w:hAnsi="Times New Roman" w:cs="Times New Roman"/>
              </w:rPr>
            </w:pPr>
            <w:r w:rsidRPr="00202B64">
              <w:rPr>
                <w:rFonts w:ascii="Times New Roman" w:hAnsi="Times New Roman" w:cs="Times New Roman"/>
              </w:rPr>
              <w:t xml:space="preserve">Minas Gerais </w:t>
            </w:r>
          </w:p>
        </w:tc>
        <w:tc>
          <w:tcPr>
            <w:tcW w:w="1559"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86,3</w:t>
            </w:r>
          </w:p>
        </w:tc>
        <w:tc>
          <w:tcPr>
            <w:tcW w:w="2268"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99,1</w:t>
            </w:r>
          </w:p>
        </w:tc>
        <w:tc>
          <w:tcPr>
            <w:tcW w:w="1600"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86,6</w:t>
            </w:r>
          </w:p>
        </w:tc>
        <w:tc>
          <w:tcPr>
            <w:tcW w:w="1843"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99,4</w:t>
            </w:r>
          </w:p>
        </w:tc>
      </w:tr>
      <w:tr w:rsidR="00E32574" w:rsidRPr="00202B64" w:rsidTr="00E32574">
        <w:trPr>
          <w:trHeight w:val="240"/>
          <w:jc w:val="center"/>
        </w:trPr>
        <w:tc>
          <w:tcPr>
            <w:tcW w:w="1318"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7001D0">
            <w:pPr>
              <w:pStyle w:val="Default"/>
              <w:spacing w:before="120" w:after="120"/>
              <w:rPr>
                <w:rFonts w:ascii="Times New Roman" w:hAnsi="Times New Roman" w:cs="Times New Roman"/>
              </w:rPr>
            </w:pPr>
            <w:r w:rsidRPr="00202B64">
              <w:rPr>
                <w:rFonts w:ascii="Times New Roman" w:hAnsi="Times New Roman" w:cs="Times New Roman"/>
              </w:rPr>
              <w:t xml:space="preserve">Sudeste </w:t>
            </w:r>
          </w:p>
        </w:tc>
        <w:tc>
          <w:tcPr>
            <w:tcW w:w="1559"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89,4</w:t>
            </w:r>
          </w:p>
        </w:tc>
        <w:tc>
          <w:tcPr>
            <w:tcW w:w="2268"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95,1</w:t>
            </w:r>
          </w:p>
        </w:tc>
        <w:tc>
          <w:tcPr>
            <w:tcW w:w="1600"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94,4</w:t>
            </w:r>
          </w:p>
        </w:tc>
        <w:tc>
          <w:tcPr>
            <w:tcW w:w="1843"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98,4</w:t>
            </w:r>
          </w:p>
        </w:tc>
      </w:tr>
      <w:tr w:rsidR="00E32574" w:rsidRPr="00202B64" w:rsidTr="00E32574">
        <w:trPr>
          <w:trHeight w:val="240"/>
          <w:jc w:val="center"/>
        </w:trPr>
        <w:tc>
          <w:tcPr>
            <w:tcW w:w="1318"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7001D0">
            <w:pPr>
              <w:pStyle w:val="Default"/>
              <w:spacing w:before="120" w:after="120"/>
              <w:rPr>
                <w:rFonts w:ascii="Times New Roman" w:hAnsi="Times New Roman" w:cs="Times New Roman"/>
              </w:rPr>
            </w:pPr>
            <w:r w:rsidRPr="00202B64">
              <w:rPr>
                <w:rFonts w:ascii="Times New Roman" w:hAnsi="Times New Roman" w:cs="Times New Roman"/>
              </w:rPr>
              <w:t xml:space="preserve">Brasil </w:t>
            </w:r>
          </w:p>
        </w:tc>
        <w:tc>
          <w:tcPr>
            <w:tcW w:w="1559"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81,1</w:t>
            </w:r>
          </w:p>
        </w:tc>
        <w:tc>
          <w:tcPr>
            <w:tcW w:w="2268"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92,5</w:t>
            </w:r>
          </w:p>
        </w:tc>
        <w:tc>
          <w:tcPr>
            <w:tcW w:w="1600"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82,4</w:t>
            </w:r>
          </w:p>
        </w:tc>
        <w:tc>
          <w:tcPr>
            <w:tcW w:w="1843"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7001D0">
            <w:pPr>
              <w:pStyle w:val="Default"/>
              <w:spacing w:before="120" w:after="120"/>
              <w:jc w:val="center"/>
              <w:rPr>
                <w:rFonts w:ascii="Times New Roman" w:hAnsi="Times New Roman" w:cs="Times New Roman"/>
              </w:rPr>
            </w:pPr>
            <w:r w:rsidRPr="00202B64">
              <w:rPr>
                <w:rFonts w:ascii="Times New Roman" w:hAnsi="Times New Roman" w:cs="Times New Roman"/>
              </w:rPr>
              <w:t>93,0</w:t>
            </w:r>
          </w:p>
        </w:tc>
      </w:tr>
    </w:tbl>
    <w:p w:rsidR="00E32574" w:rsidRPr="005E7DAD" w:rsidRDefault="00E32574" w:rsidP="008C148B">
      <w:pPr>
        <w:pStyle w:val="Fonte"/>
      </w:pPr>
      <w:r w:rsidRPr="005E7DAD">
        <w:t xml:space="preserve">Fonte: </w:t>
      </w:r>
      <w:r>
        <w:t>SNIS</w:t>
      </w:r>
      <w:r w:rsidRPr="005E7DAD">
        <w:t xml:space="preserve"> (</w:t>
      </w:r>
      <w:r>
        <w:t>2010,</w:t>
      </w:r>
      <w:r w:rsidRPr="005E7DAD">
        <w:t>2011).</w:t>
      </w:r>
    </w:p>
    <w:p w:rsidR="00E32574" w:rsidRPr="008C148B" w:rsidRDefault="00E32574" w:rsidP="00E32574">
      <w:pPr>
        <w:pStyle w:val="CM73"/>
        <w:spacing w:line="360" w:lineRule="auto"/>
        <w:ind w:firstLine="708"/>
        <w:jc w:val="both"/>
        <w:rPr>
          <w:rFonts w:ascii="Times New Roman" w:hAnsi="Times New Roman" w:cs="Times New Roman"/>
          <w:spacing w:val="-4"/>
        </w:rPr>
      </w:pPr>
      <w:r w:rsidRPr="008C148B">
        <w:rPr>
          <w:rFonts w:ascii="Times New Roman" w:hAnsi="Times New Roman" w:cs="Times New Roman"/>
          <w:spacing w:val="-4"/>
        </w:rPr>
        <w:t>Para o IBGE, a forma de abastecimento de água dá-se por rede geral de distribuição, poço ou nascente na propriedade ou outras maneiras. Em Aimorés a forma de abastecimento de água por número de domicílios particulares permanentes e por moradores em domicílios particulares se dá da seguinte forma, apresentada n</w:t>
      </w:r>
      <w:r w:rsidR="007001D0">
        <w:rPr>
          <w:rFonts w:ascii="Times New Roman" w:hAnsi="Times New Roman" w:cs="Times New Roman"/>
          <w:spacing w:val="-4"/>
        </w:rPr>
        <w:t>os Quadros 4</w:t>
      </w:r>
      <w:r w:rsidR="00D52152">
        <w:rPr>
          <w:rFonts w:ascii="Times New Roman" w:hAnsi="Times New Roman" w:cs="Times New Roman"/>
          <w:spacing w:val="-4"/>
        </w:rPr>
        <w:t>1</w:t>
      </w:r>
      <w:r w:rsidR="00C930AA">
        <w:rPr>
          <w:rFonts w:ascii="Times New Roman" w:hAnsi="Times New Roman" w:cs="Times New Roman"/>
          <w:spacing w:val="-4"/>
        </w:rPr>
        <w:t xml:space="preserve"> e</w:t>
      </w:r>
      <w:r w:rsidR="007001D0">
        <w:rPr>
          <w:rFonts w:ascii="Times New Roman" w:hAnsi="Times New Roman" w:cs="Times New Roman"/>
          <w:spacing w:val="-4"/>
        </w:rPr>
        <w:t xml:space="preserve"> 4</w:t>
      </w:r>
      <w:r w:rsidR="00D52152">
        <w:rPr>
          <w:rFonts w:ascii="Times New Roman" w:hAnsi="Times New Roman" w:cs="Times New Roman"/>
          <w:spacing w:val="-4"/>
        </w:rPr>
        <w:t>2</w:t>
      </w:r>
      <w:r w:rsidRPr="008C148B">
        <w:rPr>
          <w:rFonts w:ascii="Times New Roman" w:hAnsi="Times New Roman" w:cs="Times New Roman"/>
          <w:spacing w:val="-4"/>
        </w:rPr>
        <w:t>.</w:t>
      </w:r>
    </w:p>
    <w:p w:rsidR="007001D0" w:rsidRDefault="007001D0">
      <w:pPr>
        <w:spacing w:after="200" w:line="276" w:lineRule="auto"/>
        <w:rPr>
          <w:rFonts w:eastAsiaTheme="minorEastAsia" w:cs="Times New Roman"/>
          <w:b/>
          <w:bCs/>
          <w:szCs w:val="24"/>
          <w:lang w:eastAsia="pt-BR"/>
        </w:rPr>
      </w:pPr>
      <w:bookmarkStart w:id="389" w:name="_Toc372117290"/>
      <w:r>
        <w:rPr>
          <w:b/>
        </w:rPr>
        <w:br w:type="page"/>
      </w:r>
    </w:p>
    <w:p w:rsidR="00E32574" w:rsidRDefault="0075744C" w:rsidP="0075744C">
      <w:pPr>
        <w:pStyle w:val="Legenda"/>
        <w:rPr>
          <w:rFonts w:ascii="Arial" w:hAnsi="Arial" w:cs="Arial"/>
          <w:color w:val="000000"/>
          <w:sz w:val="20"/>
        </w:rPr>
      </w:pPr>
      <w:bookmarkStart w:id="390" w:name="_Toc372740547"/>
      <w:bookmarkEnd w:id="389"/>
      <w:r>
        <w:lastRenderedPageBreak/>
        <w:t xml:space="preserve">Quadro </w:t>
      </w:r>
      <w:fldSimple w:instr=" SEQ Quadro \* ARABIC ">
        <w:r w:rsidR="004F77E2">
          <w:rPr>
            <w:noProof/>
          </w:rPr>
          <w:t>41</w:t>
        </w:r>
      </w:fldSimple>
      <w:r>
        <w:t xml:space="preserve"> - </w:t>
      </w:r>
      <w:r w:rsidRPr="009F2EFE">
        <w:rPr>
          <w:noProof/>
        </w:rPr>
        <w:t>Domicílios particulares permanentes por forma de abastecimento de água em Aimorés (2010).</w:t>
      </w:r>
      <w:bookmarkEnd w:id="390"/>
    </w:p>
    <w:tbl>
      <w:tblPr>
        <w:tblW w:w="8505" w:type="dxa"/>
        <w:tblInd w:w="108" w:type="dxa"/>
        <w:tblLayout w:type="fixed"/>
        <w:tblLook w:val="0000" w:firstRow="0" w:lastRow="0" w:firstColumn="0" w:lastColumn="0" w:noHBand="0" w:noVBand="0"/>
      </w:tblPr>
      <w:tblGrid>
        <w:gridCol w:w="740"/>
        <w:gridCol w:w="1245"/>
        <w:gridCol w:w="1276"/>
        <w:gridCol w:w="1275"/>
        <w:gridCol w:w="709"/>
        <w:gridCol w:w="1276"/>
        <w:gridCol w:w="969"/>
        <w:gridCol w:w="1015"/>
      </w:tblGrid>
      <w:tr w:rsidR="007001D0" w:rsidRPr="00202B64" w:rsidTr="002C2D6F">
        <w:trPr>
          <w:trHeight w:val="282"/>
        </w:trPr>
        <w:tc>
          <w:tcPr>
            <w:tcW w:w="740" w:type="dxa"/>
            <w:vMerge w:val="restart"/>
            <w:tcBorders>
              <w:top w:val="single" w:sz="6" w:space="0" w:color="000000"/>
              <w:left w:val="single" w:sz="2" w:space="0" w:color="000000"/>
              <w:right w:val="single" w:sz="4" w:space="0" w:color="000000"/>
            </w:tcBorders>
            <w:shd w:val="clear" w:color="auto" w:fill="D9D9D9"/>
            <w:vAlign w:val="center"/>
          </w:tcPr>
          <w:p w:rsidR="007001D0" w:rsidRPr="007001D0" w:rsidRDefault="007001D0" w:rsidP="007001D0">
            <w:pPr>
              <w:pStyle w:val="Default"/>
              <w:spacing w:before="120" w:after="120"/>
              <w:rPr>
                <w:rFonts w:ascii="Times New Roman" w:hAnsi="Times New Roman" w:cs="Times New Roman"/>
                <w:b/>
                <w:sz w:val="20"/>
                <w:szCs w:val="20"/>
              </w:rPr>
            </w:pPr>
            <w:r w:rsidRPr="007001D0">
              <w:rPr>
                <w:rFonts w:ascii="Times New Roman" w:hAnsi="Times New Roman" w:cs="Times New Roman"/>
                <w:b/>
                <w:sz w:val="20"/>
                <w:szCs w:val="20"/>
              </w:rPr>
              <w:t>Total</w:t>
            </w:r>
          </w:p>
        </w:tc>
        <w:tc>
          <w:tcPr>
            <w:tcW w:w="7765" w:type="dxa"/>
            <w:gridSpan w:val="7"/>
            <w:tcBorders>
              <w:top w:val="single" w:sz="6" w:space="0" w:color="000000"/>
              <w:left w:val="single" w:sz="2" w:space="0" w:color="000000"/>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Domicílios particulares permanentes</w:t>
            </w:r>
          </w:p>
        </w:tc>
      </w:tr>
      <w:tr w:rsidR="007001D0" w:rsidRPr="00202B64" w:rsidTr="002C2D6F">
        <w:trPr>
          <w:trHeight w:val="265"/>
        </w:trPr>
        <w:tc>
          <w:tcPr>
            <w:tcW w:w="740" w:type="dxa"/>
            <w:vMerge/>
            <w:tcBorders>
              <w:left w:val="single" w:sz="2" w:space="0" w:color="000000"/>
              <w:right w:val="single" w:sz="4" w:space="0" w:color="000000"/>
            </w:tcBorders>
            <w:shd w:val="clear" w:color="auto" w:fill="D9D9D9"/>
            <w:vAlign w:val="center"/>
          </w:tcPr>
          <w:p w:rsidR="007001D0" w:rsidRPr="007001D0" w:rsidRDefault="007001D0" w:rsidP="007001D0">
            <w:pPr>
              <w:pStyle w:val="Default"/>
              <w:spacing w:before="120" w:after="120"/>
              <w:rPr>
                <w:rFonts w:ascii="Times New Roman" w:hAnsi="Times New Roman" w:cs="Times New Roman"/>
                <w:b/>
                <w:color w:val="auto"/>
              </w:rPr>
            </w:pPr>
          </w:p>
        </w:tc>
        <w:tc>
          <w:tcPr>
            <w:tcW w:w="7765" w:type="dxa"/>
            <w:gridSpan w:val="7"/>
            <w:tcBorders>
              <w:top w:val="single" w:sz="6" w:space="0" w:color="000000"/>
              <w:left w:val="single" w:sz="4" w:space="0" w:color="000000"/>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Forma de abastecimento de água</w:t>
            </w:r>
          </w:p>
        </w:tc>
      </w:tr>
      <w:tr w:rsidR="007001D0" w:rsidRPr="00202B64" w:rsidTr="007001D0">
        <w:trPr>
          <w:trHeight w:val="700"/>
        </w:trPr>
        <w:tc>
          <w:tcPr>
            <w:tcW w:w="740" w:type="dxa"/>
            <w:vMerge/>
            <w:tcBorders>
              <w:left w:val="single" w:sz="2" w:space="0" w:color="000000"/>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p>
        </w:tc>
        <w:tc>
          <w:tcPr>
            <w:tcW w:w="1245"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Rede geral de distribuição</w:t>
            </w:r>
          </w:p>
        </w:tc>
        <w:tc>
          <w:tcPr>
            <w:tcW w:w="1276"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Poço ou nascente na propriedade</w:t>
            </w:r>
          </w:p>
        </w:tc>
        <w:tc>
          <w:tcPr>
            <w:tcW w:w="1275"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Poço ou nascente fora propriedade</w:t>
            </w:r>
          </w:p>
        </w:tc>
        <w:tc>
          <w:tcPr>
            <w:tcW w:w="709" w:type="dxa"/>
            <w:tcBorders>
              <w:top w:val="single" w:sz="6" w:space="0" w:color="000000"/>
              <w:left w:val="single" w:sz="4" w:space="0" w:color="000000"/>
              <w:bottom w:val="single" w:sz="6" w:space="0" w:color="000000"/>
              <w:right w:val="single" w:sz="4" w:space="0" w:color="auto"/>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Carro-pipa</w:t>
            </w:r>
          </w:p>
        </w:tc>
        <w:tc>
          <w:tcPr>
            <w:tcW w:w="1276" w:type="dxa"/>
            <w:tcBorders>
              <w:top w:val="single" w:sz="6" w:space="0" w:color="000000"/>
              <w:left w:val="single" w:sz="4" w:space="0" w:color="auto"/>
              <w:bottom w:val="single" w:sz="6" w:space="0" w:color="000000"/>
              <w:right w:val="single" w:sz="4" w:space="0" w:color="auto"/>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Água de chuva armazenado de outra forma</w:t>
            </w:r>
          </w:p>
        </w:tc>
        <w:tc>
          <w:tcPr>
            <w:tcW w:w="969" w:type="dxa"/>
            <w:tcBorders>
              <w:top w:val="single" w:sz="6" w:space="0" w:color="000000"/>
              <w:left w:val="single" w:sz="4" w:space="0" w:color="auto"/>
              <w:bottom w:val="single" w:sz="6" w:space="0" w:color="000000"/>
              <w:right w:val="single" w:sz="4" w:space="0" w:color="auto"/>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Rio, açude, lago ou igarapé</w:t>
            </w:r>
          </w:p>
        </w:tc>
        <w:tc>
          <w:tcPr>
            <w:tcW w:w="1015" w:type="dxa"/>
            <w:tcBorders>
              <w:top w:val="single" w:sz="6" w:space="0" w:color="000000"/>
              <w:left w:val="single" w:sz="4" w:space="0" w:color="auto"/>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Outra</w:t>
            </w:r>
          </w:p>
        </w:tc>
      </w:tr>
      <w:tr w:rsidR="00E32574" w:rsidRPr="00202B64" w:rsidTr="007001D0">
        <w:trPr>
          <w:trHeight w:val="455"/>
        </w:trPr>
        <w:tc>
          <w:tcPr>
            <w:tcW w:w="740"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8.232</w:t>
            </w:r>
          </w:p>
        </w:tc>
        <w:tc>
          <w:tcPr>
            <w:tcW w:w="1245"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6.600</w:t>
            </w:r>
          </w:p>
        </w:tc>
        <w:tc>
          <w:tcPr>
            <w:tcW w:w="1276"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1.263</w:t>
            </w:r>
          </w:p>
        </w:tc>
        <w:tc>
          <w:tcPr>
            <w:tcW w:w="1275"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252</w:t>
            </w:r>
          </w:p>
        </w:tc>
        <w:tc>
          <w:tcPr>
            <w:tcW w:w="709" w:type="dxa"/>
            <w:tcBorders>
              <w:top w:val="single" w:sz="6" w:space="0" w:color="000000"/>
              <w:left w:val="single" w:sz="4" w:space="0" w:color="000000"/>
              <w:bottom w:val="single" w:sz="6" w:space="0" w:color="000000"/>
              <w:right w:val="single" w:sz="4" w:space="0" w:color="auto"/>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2</w:t>
            </w:r>
          </w:p>
        </w:tc>
        <w:tc>
          <w:tcPr>
            <w:tcW w:w="1276" w:type="dxa"/>
            <w:tcBorders>
              <w:top w:val="single" w:sz="6" w:space="0" w:color="000000"/>
              <w:left w:val="single" w:sz="4" w:space="0" w:color="auto"/>
              <w:bottom w:val="single" w:sz="6" w:space="0" w:color="000000"/>
              <w:right w:val="single" w:sz="4" w:space="0" w:color="auto"/>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1</w:t>
            </w:r>
          </w:p>
        </w:tc>
        <w:tc>
          <w:tcPr>
            <w:tcW w:w="969" w:type="dxa"/>
            <w:tcBorders>
              <w:top w:val="single" w:sz="6" w:space="0" w:color="000000"/>
              <w:left w:val="single" w:sz="4" w:space="0" w:color="auto"/>
              <w:bottom w:val="single" w:sz="6" w:space="0" w:color="000000"/>
              <w:right w:val="single" w:sz="4" w:space="0" w:color="auto"/>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99</w:t>
            </w:r>
          </w:p>
        </w:tc>
        <w:tc>
          <w:tcPr>
            <w:tcW w:w="1015" w:type="dxa"/>
            <w:tcBorders>
              <w:top w:val="single" w:sz="6" w:space="0" w:color="000000"/>
              <w:left w:val="single" w:sz="4" w:space="0" w:color="auto"/>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15</w:t>
            </w:r>
          </w:p>
        </w:tc>
      </w:tr>
    </w:tbl>
    <w:p w:rsidR="00E32574" w:rsidRPr="00036952" w:rsidRDefault="00E32574" w:rsidP="008C148B">
      <w:pPr>
        <w:pStyle w:val="Fonte"/>
      </w:pPr>
      <w:r w:rsidRPr="00036952">
        <w:t>Fonte: IBGE, 2010.</w:t>
      </w:r>
    </w:p>
    <w:p w:rsidR="008C148B" w:rsidRPr="004216F9" w:rsidRDefault="0075744C" w:rsidP="0075744C">
      <w:pPr>
        <w:pStyle w:val="Legenda"/>
      </w:pPr>
      <w:bookmarkStart w:id="391" w:name="_Toc372740548"/>
      <w:r>
        <w:t xml:space="preserve">Quadro </w:t>
      </w:r>
      <w:fldSimple w:instr=" SEQ Quadro \* ARABIC ">
        <w:r w:rsidR="004F77E2">
          <w:rPr>
            <w:noProof/>
          </w:rPr>
          <w:t>42</w:t>
        </w:r>
      </w:fldSimple>
      <w:r>
        <w:t xml:space="preserve"> - </w:t>
      </w:r>
      <w:r w:rsidRPr="00C02273">
        <w:rPr>
          <w:noProof/>
        </w:rPr>
        <w:t>Moradores em domicílios particulares permanentes por forma de abastecimento de água em Aimorés (2010).</w:t>
      </w:r>
      <w:bookmarkEnd w:id="391"/>
    </w:p>
    <w:tbl>
      <w:tblPr>
        <w:tblW w:w="8616" w:type="dxa"/>
        <w:tblInd w:w="-3" w:type="dxa"/>
        <w:tblLayout w:type="fixed"/>
        <w:tblLook w:val="0000" w:firstRow="0" w:lastRow="0" w:firstColumn="0" w:lastColumn="0" w:noHBand="0" w:noVBand="0"/>
      </w:tblPr>
      <w:tblGrid>
        <w:gridCol w:w="851"/>
        <w:gridCol w:w="1387"/>
        <w:gridCol w:w="1275"/>
        <w:gridCol w:w="1276"/>
        <w:gridCol w:w="740"/>
        <w:gridCol w:w="1275"/>
        <w:gridCol w:w="993"/>
        <w:gridCol w:w="819"/>
      </w:tblGrid>
      <w:tr w:rsidR="007001D0" w:rsidRPr="00202B64" w:rsidTr="00C930AA">
        <w:trPr>
          <w:trHeight w:val="282"/>
        </w:trPr>
        <w:tc>
          <w:tcPr>
            <w:tcW w:w="851" w:type="dxa"/>
            <w:vMerge w:val="restart"/>
            <w:tcBorders>
              <w:top w:val="single" w:sz="6" w:space="0" w:color="000000"/>
              <w:left w:val="single" w:sz="2"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Total</w:t>
            </w:r>
          </w:p>
        </w:tc>
        <w:tc>
          <w:tcPr>
            <w:tcW w:w="7765" w:type="dxa"/>
            <w:gridSpan w:val="7"/>
            <w:tcBorders>
              <w:top w:val="single" w:sz="6" w:space="0" w:color="000000"/>
              <w:left w:val="single" w:sz="2" w:space="0" w:color="000000"/>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Domicílios particulares permanentes</w:t>
            </w:r>
          </w:p>
        </w:tc>
      </w:tr>
      <w:tr w:rsidR="007001D0" w:rsidRPr="00202B64" w:rsidTr="00C930AA">
        <w:trPr>
          <w:trHeight w:val="265"/>
        </w:trPr>
        <w:tc>
          <w:tcPr>
            <w:tcW w:w="851" w:type="dxa"/>
            <w:vMerge/>
            <w:tcBorders>
              <w:left w:val="single" w:sz="2" w:space="0" w:color="000000"/>
              <w:right w:val="single" w:sz="4" w:space="0" w:color="000000"/>
            </w:tcBorders>
            <w:shd w:val="clear" w:color="auto" w:fill="D9D9D9"/>
          </w:tcPr>
          <w:p w:rsidR="007001D0" w:rsidRPr="007001D0" w:rsidRDefault="007001D0" w:rsidP="007001D0">
            <w:pPr>
              <w:pStyle w:val="Default"/>
              <w:spacing w:before="120" w:after="120"/>
              <w:jc w:val="center"/>
              <w:rPr>
                <w:rFonts w:ascii="Times New Roman" w:hAnsi="Times New Roman" w:cs="Times New Roman"/>
                <w:b/>
                <w:color w:val="auto"/>
              </w:rPr>
            </w:pPr>
          </w:p>
        </w:tc>
        <w:tc>
          <w:tcPr>
            <w:tcW w:w="7765" w:type="dxa"/>
            <w:gridSpan w:val="7"/>
            <w:tcBorders>
              <w:top w:val="single" w:sz="6" w:space="0" w:color="000000"/>
              <w:left w:val="single" w:sz="4" w:space="0" w:color="000000"/>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Forma de abastecimento de água</w:t>
            </w:r>
          </w:p>
        </w:tc>
      </w:tr>
      <w:tr w:rsidR="007001D0" w:rsidRPr="00202B64" w:rsidTr="00C930AA">
        <w:trPr>
          <w:trHeight w:val="700"/>
        </w:trPr>
        <w:tc>
          <w:tcPr>
            <w:tcW w:w="851" w:type="dxa"/>
            <w:vMerge/>
            <w:tcBorders>
              <w:left w:val="single" w:sz="2" w:space="0" w:color="000000"/>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p>
        </w:tc>
        <w:tc>
          <w:tcPr>
            <w:tcW w:w="1387"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Rede geral de distribuição</w:t>
            </w:r>
          </w:p>
        </w:tc>
        <w:tc>
          <w:tcPr>
            <w:tcW w:w="1275"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Poço ou nascente na propriedade</w:t>
            </w:r>
          </w:p>
        </w:tc>
        <w:tc>
          <w:tcPr>
            <w:tcW w:w="1276"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Poço ou nascente fora propriedade</w:t>
            </w:r>
          </w:p>
        </w:tc>
        <w:tc>
          <w:tcPr>
            <w:tcW w:w="740" w:type="dxa"/>
            <w:tcBorders>
              <w:top w:val="single" w:sz="6" w:space="0" w:color="000000"/>
              <w:left w:val="single" w:sz="4" w:space="0" w:color="000000"/>
              <w:bottom w:val="single" w:sz="6" w:space="0" w:color="000000"/>
              <w:right w:val="single" w:sz="4" w:space="0" w:color="auto"/>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Carro-pipa</w:t>
            </w:r>
          </w:p>
        </w:tc>
        <w:tc>
          <w:tcPr>
            <w:tcW w:w="1275" w:type="dxa"/>
            <w:tcBorders>
              <w:top w:val="single" w:sz="6" w:space="0" w:color="000000"/>
              <w:left w:val="single" w:sz="4" w:space="0" w:color="auto"/>
              <w:bottom w:val="single" w:sz="6" w:space="0" w:color="000000"/>
              <w:right w:val="single" w:sz="4" w:space="0" w:color="auto"/>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Água de chuva armazenado de outra forma</w:t>
            </w:r>
          </w:p>
        </w:tc>
        <w:tc>
          <w:tcPr>
            <w:tcW w:w="993" w:type="dxa"/>
            <w:tcBorders>
              <w:top w:val="single" w:sz="6" w:space="0" w:color="000000"/>
              <w:left w:val="single" w:sz="4" w:space="0" w:color="auto"/>
              <w:bottom w:val="single" w:sz="6" w:space="0" w:color="000000"/>
              <w:right w:val="single" w:sz="4" w:space="0" w:color="auto"/>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Rio, açude, lago ou igarapé</w:t>
            </w:r>
          </w:p>
        </w:tc>
        <w:tc>
          <w:tcPr>
            <w:tcW w:w="819" w:type="dxa"/>
            <w:tcBorders>
              <w:top w:val="single" w:sz="6" w:space="0" w:color="000000"/>
              <w:left w:val="single" w:sz="4" w:space="0" w:color="auto"/>
              <w:bottom w:val="single" w:sz="6" w:space="0" w:color="000000"/>
              <w:right w:val="single" w:sz="4" w:space="0" w:color="000000"/>
            </w:tcBorders>
            <w:shd w:val="clear" w:color="auto" w:fill="D9D9D9"/>
            <w:vAlign w:val="center"/>
          </w:tcPr>
          <w:p w:rsidR="007001D0" w:rsidRPr="007001D0" w:rsidRDefault="007001D0" w:rsidP="007001D0">
            <w:pPr>
              <w:pStyle w:val="Default"/>
              <w:spacing w:before="120" w:after="120"/>
              <w:jc w:val="center"/>
              <w:rPr>
                <w:rFonts w:ascii="Times New Roman" w:hAnsi="Times New Roman" w:cs="Times New Roman"/>
                <w:b/>
                <w:sz w:val="20"/>
                <w:szCs w:val="20"/>
              </w:rPr>
            </w:pPr>
            <w:r w:rsidRPr="007001D0">
              <w:rPr>
                <w:rFonts w:ascii="Times New Roman" w:hAnsi="Times New Roman" w:cs="Times New Roman"/>
                <w:b/>
                <w:sz w:val="20"/>
                <w:szCs w:val="20"/>
              </w:rPr>
              <w:t>Outra</w:t>
            </w:r>
          </w:p>
        </w:tc>
      </w:tr>
      <w:tr w:rsidR="00E32574" w:rsidRPr="00202B64" w:rsidTr="00C930AA">
        <w:trPr>
          <w:trHeight w:val="455"/>
        </w:trPr>
        <w:tc>
          <w:tcPr>
            <w:tcW w:w="851" w:type="dxa"/>
            <w:tcBorders>
              <w:top w:val="single" w:sz="6" w:space="0" w:color="000000"/>
              <w:left w:val="single" w:sz="2"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18.939</w:t>
            </w:r>
          </w:p>
        </w:tc>
        <w:tc>
          <w:tcPr>
            <w:tcW w:w="1387"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15.184</w:t>
            </w:r>
          </w:p>
        </w:tc>
        <w:tc>
          <w:tcPr>
            <w:tcW w:w="1275"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2.906</w:t>
            </w:r>
          </w:p>
        </w:tc>
        <w:tc>
          <w:tcPr>
            <w:tcW w:w="1276"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580</w:t>
            </w:r>
          </w:p>
        </w:tc>
        <w:tc>
          <w:tcPr>
            <w:tcW w:w="740" w:type="dxa"/>
            <w:tcBorders>
              <w:top w:val="single" w:sz="6" w:space="0" w:color="000000"/>
              <w:left w:val="single" w:sz="4" w:space="0" w:color="000000"/>
              <w:bottom w:val="single" w:sz="6" w:space="0" w:color="000000"/>
              <w:right w:val="single" w:sz="4" w:space="0" w:color="auto"/>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5</w:t>
            </w:r>
          </w:p>
        </w:tc>
        <w:tc>
          <w:tcPr>
            <w:tcW w:w="1275" w:type="dxa"/>
            <w:tcBorders>
              <w:top w:val="single" w:sz="6" w:space="0" w:color="000000"/>
              <w:left w:val="single" w:sz="4" w:space="0" w:color="auto"/>
              <w:bottom w:val="single" w:sz="6" w:space="0" w:color="000000"/>
              <w:right w:val="single" w:sz="4" w:space="0" w:color="auto"/>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2</w:t>
            </w:r>
          </w:p>
        </w:tc>
        <w:tc>
          <w:tcPr>
            <w:tcW w:w="993" w:type="dxa"/>
            <w:tcBorders>
              <w:top w:val="single" w:sz="6" w:space="0" w:color="000000"/>
              <w:left w:val="single" w:sz="4" w:space="0" w:color="auto"/>
              <w:bottom w:val="single" w:sz="6" w:space="0" w:color="000000"/>
              <w:right w:val="single" w:sz="4" w:space="0" w:color="auto"/>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228</w:t>
            </w:r>
          </w:p>
        </w:tc>
        <w:tc>
          <w:tcPr>
            <w:tcW w:w="819" w:type="dxa"/>
            <w:tcBorders>
              <w:top w:val="single" w:sz="6" w:space="0" w:color="000000"/>
              <w:left w:val="single" w:sz="4" w:space="0" w:color="auto"/>
              <w:bottom w:val="single" w:sz="6" w:space="0" w:color="000000"/>
              <w:right w:val="single" w:sz="4" w:space="0" w:color="000000"/>
            </w:tcBorders>
            <w:vAlign w:val="center"/>
          </w:tcPr>
          <w:p w:rsidR="00E32574" w:rsidRPr="00202B64" w:rsidRDefault="00E32574" w:rsidP="007001D0">
            <w:pPr>
              <w:pStyle w:val="Default"/>
              <w:spacing w:before="120" w:after="120"/>
              <w:jc w:val="center"/>
              <w:rPr>
                <w:rFonts w:ascii="Times New Roman" w:hAnsi="Times New Roman" w:cs="Times New Roman"/>
                <w:sz w:val="20"/>
                <w:szCs w:val="20"/>
              </w:rPr>
            </w:pPr>
            <w:r w:rsidRPr="00202B64">
              <w:rPr>
                <w:rFonts w:ascii="Times New Roman" w:hAnsi="Times New Roman" w:cs="Times New Roman"/>
                <w:sz w:val="20"/>
                <w:szCs w:val="20"/>
              </w:rPr>
              <w:t>35</w:t>
            </w:r>
          </w:p>
        </w:tc>
      </w:tr>
    </w:tbl>
    <w:p w:rsidR="00E32574" w:rsidRPr="00036952" w:rsidRDefault="00E32574" w:rsidP="008C148B">
      <w:pPr>
        <w:pStyle w:val="Fonte"/>
      </w:pPr>
      <w:r w:rsidRPr="00036952">
        <w:t>Fonte: IBGE, 2010.</w:t>
      </w:r>
    </w:p>
    <w:p w:rsidR="00E32574" w:rsidRPr="00036952" w:rsidRDefault="00E32574" w:rsidP="00E32574">
      <w:pPr>
        <w:pStyle w:val="CM73"/>
        <w:spacing w:line="360" w:lineRule="auto"/>
        <w:ind w:firstLine="708"/>
        <w:jc w:val="both"/>
        <w:rPr>
          <w:rFonts w:ascii="Times New Roman" w:hAnsi="Times New Roman" w:cs="Times New Roman"/>
        </w:rPr>
      </w:pPr>
      <w:r w:rsidRPr="00036952">
        <w:rPr>
          <w:rFonts w:ascii="Times New Roman" w:hAnsi="Times New Roman" w:cs="Times New Roman"/>
        </w:rPr>
        <w:t xml:space="preserve">No município de Aimorés a porcentagem de atendimento gira em torno de </w:t>
      </w:r>
      <w:r>
        <w:rPr>
          <w:rFonts w:ascii="Times New Roman" w:hAnsi="Times New Roman" w:cs="Times New Roman"/>
        </w:rPr>
        <w:t xml:space="preserve">72,75 </w:t>
      </w:r>
      <w:r w:rsidRPr="00036952">
        <w:rPr>
          <w:rFonts w:ascii="Times New Roman" w:hAnsi="Times New Roman" w:cs="Times New Roman"/>
        </w:rPr>
        <w:t xml:space="preserve">% dos domicílios levando em consideração àqueles localizados no meio rural e urbano. </w:t>
      </w:r>
    </w:p>
    <w:p w:rsidR="00E32574" w:rsidRPr="000C5DD6" w:rsidRDefault="000C5DD6" w:rsidP="00971B37">
      <w:pPr>
        <w:pStyle w:val="Titulo"/>
      </w:pPr>
      <w:bookmarkStart w:id="392" w:name="_Toc372559121"/>
      <w:bookmarkStart w:id="393" w:name="_Toc372789553"/>
      <w:r>
        <w:t>11.</w:t>
      </w:r>
      <w:r w:rsidR="00E64A13">
        <w:t>9</w:t>
      </w:r>
      <w:r>
        <w:t>.</w:t>
      </w:r>
      <w:r w:rsidR="005445E2">
        <w:t>8</w:t>
      </w:r>
      <w:r w:rsidR="00951ADD" w:rsidRPr="000C5DD6">
        <w:t xml:space="preserve"> </w:t>
      </w:r>
      <w:r w:rsidR="00E32574" w:rsidRPr="000C5DD6">
        <w:t>Indicadores do Sistema de Abastecimento de Água</w:t>
      </w:r>
      <w:bookmarkEnd w:id="392"/>
      <w:bookmarkEnd w:id="393"/>
    </w:p>
    <w:p w:rsidR="00E32574" w:rsidRPr="00036952" w:rsidRDefault="00E32574" w:rsidP="00E32574">
      <w:pPr>
        <w:pStyle w:val="CM73"/>
        <w:spacing w:line="360" w:lineRule="auto"/>
        <w:ind w:firstLine="708"/>
        <w:jc w:val="both"/>
        <w:rPr>
          <w:rFonts w:ascii="Times New Roman" w:hAnsi="Times New Roman" w:cs="Times New Roman"/>
        </w:rPr>
      </w:pPr>
      <w:r w:rsidRPr="00036952">
        <w:rPr>
          <w:rFonts w:ascii="Times New Roman" w:hAnsi="Times New Roman" w:cs="Times New Roman"/>
        </w:rPr>
        <w:t xml:space="preserve">Uma avaliação da situação do serviço de abastecimento de água, quanto à abrangência e qualidade, pode ser realizada através dos indicadores deste setor (Tabela </w:t>
      </w:r>
      <w:r w:rsidR="00E723BE">
        <w:rPr>
          <w:rFonts w:ascii="Times New Roman" w:hAnsi="Times New Roman" w:cs="Times New Roman"/>
        </w:rPr>
        <w:t>9</w:t>
      </w:r>
      <w:r w:rsidRPr="00036952">
        <w:rPr>
          <w:rFonts w:ascii="Times New Roman" w:hAnsi="Times New Roman" w:cs="Times New Roman"/>
        </w:rPr>
        <w:t xml:space="preserve">). O monitoramento permite a identificação de anormalidades e ocorrência de eventualidades no sistema, indicando a necessidade de verificação quanto à existência de falhas operacionais e de adoção de medidas gerenciais e administrativas para solucionar os problemas. De maneira semelhante, indicadores de perdas, do consumo de água e energia, proporcionam uma avaliação da carência por medidas de uso racional e de </w:t>
      </w:r>
      <w:r w:rsidRPr="00036952">
        <w:rPr>
          <w:rFonts w:ascii="Times New Roman" w:hAnsi="Times New Roman" w:cs="Times New Roman"/>
        </w:rPr>
        <w:lastRenderedPageBreak/>
        <w:t xml:space="preserve">readequação do sistema, para redução do consumo, desperdício de fontes de energia e recurso natural. </w:t>
      </w:r>
    </w:p>
    <w:p w:rsidR="00E32574" w:rsidRPr="00363FAD" w:rsidRDefault="00E32574" w:rsidP="00E32574">
      <w:pPr>
        <w:pStyle w:val="CM73"/>
        <w:spacing w:line="360" w:lineRule="auto"/>
        <w:ind w:firstLine="708"/>
        <w:jc w:val="both"/>
        <w:rPr>
          <w:rFonts w:ascii="Times New Roman" w:hAnsi="Times New Roman" w:cs="Times New Roman"/>
        </w:rPr>
      </w:pPr>
      <w:r w:rsidRPr="00363FAD">
        <w:rPr>
          <w:rFonts w:ascii="Times New Roman" w:hAnsi="Times New Roman" w:cs="Times New Roman"/>
        </w:rPr>
        <w:t>Em Aimorés o índice de perda no sistema não é possível determinar com exatidão pois o sistema não informa dados com relação ao volume produzido, volume medido e volume tratado, da mesma forma o índice de perda de faturamento</w:t>
      </w:r>
      <w:r w:rsidR="00E723BE">
        <w:rPr>
          <w:rFonts w:ascii="Times New Roman" w:hAnsi="Times New Roman" w:cs="Times New Roman"/>
        </w:rPr>
        <w:t>; Tampouco foi possível</w:t>
      </w:r>
      <w:r w:rsidRPr="00363FAD">
        <w:rPr>
          <w:rFonts w:ascii="Times New Roman" w:hAnsi="Times New Roman" w:cs="Times New Roman"/>
        </w:rPr>
        <w:t xml:space="preserve"> obter o índice de volume médio per capita e volume médio disponibilizado por economia. </w:t>
      </w:r>
    </w:p>
    <w:p w:rsidR="00E32574" w:rsidRDefault="00E32574" w:rsidP="00E32574">
      <w:pPr>
        <w:pStyle w:val="CM73"/>
        <w:spacing w:line="360" w:lineRule="auto"/>
        <w:ind w:firstLine="708"/>
        <w:jc w:val="both"/>
        <w:rPr>
          <w:rFonts w:ascii="Times New Roman" w:hAnsi="Times New Roman" w:cs="Times New Roman"/>
        </w:rPr>
      </w:pPr>
      <w:r w:rsidRPr="00363FAD">
        <w:rPr>
          <w:rFonts w:ascii="Times New Roman" w:hAnsi="Times New Roman" w:cs="Times New Roman"/>
        </w:rPr>
        <w:t>Seria possível di</w:t>
      </w:r>
      <w:r>
        <w:rPr>
          <w:rFonts w:ascii="Times New Roman" w:hAnsi="Times New Roman" w:cs="Times New Roman"/>
        </w:rPr>
        <w:t xml:space="preserve">sponibilizar esses índices se a concessionária </w:t>
      </w:r>
      <w:r w:rsidRPr="00363FAD">
        <w:rPr>
          <w:rFonts w:ascii="Times New Roman" w:hAnsi="Times New Roman" w:cs="Times New Roman"/>
        </w:rPr>
        <w:t>tivesse instalado os equipamentos de medição na adução, na saída do tratamento e nas ligações de água, ou seja, instalação de macro e micro medidores no sistema</w:t>
      </w:r>
      <w:r w:rsidR="00E723BE">
        <w:rPr>
          <w:rFonts w:ascii="Times New Roman" w:hAnsi="Times New Roman" w:cs="Times New Roman"/>
        </w:rPr>
        <w:t xml:space="preserve">. Contudo, foi realizado </w:t>
      </w:r>
      <w:r w:rsidR="00E723BE" w:rsidRPr="00E723BE">
        <w:rPr>
          <w:rFonts w:ascii="Times New Roman" w:hAnsi="Times New Roman" w:cs="Times New Roman"/>
        </w:rPr>
        <w:t>“</w:t>
      </w:r>
      <w:r w:rsidRPr="00E723BE">
        <w:rPr>
          <w:rFonts w:ascii="Times New Roman" w:hAnsi="Times New Roman" w:cs="Times New Roman"/>
        </w:rPr>
        <w:t>in loco</w:t>
      </w:r>
      <w:r w:rsidR="00E723BE" w:rsidRPr="00E723BE">
        <w:rPr>
          <w:rFonts w:ascii="Times New Roman" w:hAnsi="Times New Roman" w:cs="Times New Roman"/>
        </w:rPr>
        <w:t>”,</w:t>
      </w:r>
      <w:r w:rsidRPr="00E723BE">
        <w:rPr>
          <w:rFonts w:ascii="Times New Roman" w:hAnsi="Times New Roman" w:cs="Times New Roman"/>
        </w:rPr>
        <w:t xml:space="preserve"> durante o mês de agosto</w:t>
      </w:r>
      <w:r w:rsidR="00E723BE" w:rsidRPr="00E723BE">
        <w:rPr>
          <w:rFonts w:ascii="Times New Roman" w:hAnsi="Times New Roman" w:cs="Times New Roman"/>
        </w:rPr>
        <w:t>, o</w:t>
      </w:r>
      <w:r w:rsidRPr="00E723BE">
        <w:rPr>
          <w:rFonts w:ascii="Times New Roman" w:hAnsi="Times New Roman" w:cs="Times New Roman"/>
        </w:rPr>
        <w:t xml:space="preserve"> levantamento que subsidiou </w:t>
      </w:r>
      <w:r w:rsidR="00E723BE" w:rsidRPr="00E723BE">
        <w:rPr>
          <w:rFonts w:ascii="Times New Roman" w:hAnsi="Times New Roman" w:cs="Times New Roman"/>
        </w:rPr>
        <w:t>na estimativa d</w:t>
      </w:r>
      <w:r w:rsidRPr="00E723BE">
        <w:rPr>
          <w:rFonts w:ascii="Times New Roman" w:hAnsi="Times New Roman" w:cs="Times New Roman"/>
        </w:rPr>
        <w:t>os índices encontrados.</w:t>
      </w:r>
      <w:r w:rsidRPr="00036952">
        <w:rPr>
          <w:rFonts w:ascii="Times New Roman" w:hAnsi="Times New Roman" w:cs="Times New Roman"/>
        </w:rPr>
        <w:t xml:space="preserve"> </w:t>
      </w:r>
    </w:p>
    <w:p w:rsidR="00E32574" w:rsidRDefault="00A80257" w:rsidP="00A80257">
      <w:pPr>
        <w:pStyle w:val="Legenda"/>
        <w:rPr>
          <w:rFonts w:ascii="Arial" w:hAnsi="Arial" w:cs="Arial"/>
          <w:color w:val="000000"/>
          <w:sz w:val="20"/>
        </w:rPr>
      </w:pPr>
      <w:bookmarkStart w:id="394" w:name="_Toc372740357"/>
      <w:r>
        <w:t xml:space="preserve">Tabela </w:t>
      </w:r>
      <w:fldSimple w:instr=" SEQ Tabela \* ARABIC ">
        <w:r w:rsidR="004F77E2">
          <w:rPr>
            <w:noProof/>
          </w:rPr>
          <w:t>9</w:t>
        </w:r>
      </w:fldSimple>
      <w:r>
        <w:t xml:space="preserve"> - </w:t>
      </w:r>
      <w:r w:rsidRPr="00041012">
        <w:rPr>
          <w:noProof/>
        </w:rPr>
        <w:t>Indicadores do sistema de abastecimento de água de Aimorés.</w:t>
      </w:r>
      <w:bookmarkEnd w:id="394"/>
    </w:p>
    <w:tbl>
      <w:tblPr>
        <w:tblW w:w="9277" w:type="dxa"/>
        <w:tblLayout w:type="fixed"/>
        <w:tblLook w:val="0000" w:firstRow="0" w:lastRow="0" w:firstColumn="0" w:lastColumn="0" w:noHBand="0" w:noVBand="0"/>
      </w:tblPr>
      <w:tblGrid>
        <w:gridCol w:w="955"/>
        <w:gridCol w:w="3720"/>
        <w:gridCol w:w="2633"/>
        <w:gridCol w:w="1969"/>
      </w:tblGrid>
      <w:tr w:rsidR="00E32574" w:rsidRPr="00E723BE" w:rsidTr="008C148B">
        <w:trPr>
          <w:trHeight w:val="385"/>
        </w:trPr>
        <w:tc>
          <w:tcPr>
            <w:tcW w:w="955" w:type="dxa"/>
            <w:tcBorders>
              <w:top w:val="single" w:sz="6" w:space="0" w:color="000000"/>
              <w:left w:val="single" w:sz="2" w:space="0" w:color="000000"/>
              <w:bottom w:val="single" w:sz="6" w:space="0" w:color="000000"/>
              <w:right w:val="single" w:sz="4" w:space="0" w:color="000000"/>
            </w:tcBorders>
            <w:shd w:val="clear" w:color="auto" w:fill="BFBFBF"/>
            <w:vAlign w:val="center"/>
          </w:tcPr>
          <w:p w:rsidR="00E32574" w:rsidRPr="00E723BE" w:rsidRDefault="00E32574" w:rsidP="00BC4359">
            <w:pPr>
              <w:pStyle w:val="Default"/>
              <w:jc w:val="center"/>
              <w:rPr>
                <w:rFonts w:ascii="Times New Roman" w:hAnsi="Times New Roman" w:cs="Times New Roman"/>
                <w:b/>
                <w:sz w:val="20"/>
                <w:szCs w:val="20"/>
              </w:rPr>
            </w:pPr>
            <w:r w:rsidRPr="00E723BE">
              <w:rPr>
                <w:rFonts w:ascii="Times New Roman" w:hAnsi="Times New Roman" w:cs="Times New Roman"/>
                <w:b/>
                <w:sz w:val="20"/>
                <w:szCs w:val="20"/>
              </w:rPr>
              <w:t>SIGLA</w:t>
            </w:r>
          </w:p>
        </w:tc>
        <w:tc>
          <w:tcPr>
            <w:tcW w:w="3720" w:type="dxa"/>
            <w:tcBorders>
              <w:top w:val="single" w:sz="6" w:space="0" w:color="000000"/>
              <w:left w:val="single" w:sz="4" w:space="0" w:color="000000"/>
              <w:bottom w:val="single" w:sz="6" w:space="0" w:color="000000"/>
              <w:right w:val="single" w:sz="4" w:space="0" w:color="000000"/>
            </w:tcBorders>
            <w:shd w:val="clear" w:color="auto" w:fill="BFBFBF"/>
            <w:vAlign w:val="center"/>
          </w:tcPr>
          <w:p w:rsidR="00E32574" w:rsidRPr="00E723BE" w:rsidRDefault="00E32574" w:rsidP="00BC4359">
            <w:pPr>
              <w:pStyle w:val="Default"/>
              <w:jc w:val="center"/>
              <w:rPr>
                <w:rFonts w:ascii="Times New Roman" w:hAnsi="Times New Roman" w:cs="Times New Roman"/>
                <w:b/>
                <w:sz w:val="20"/>
                <w:szCs w:val="20"/>
              </w:rPr>
            </w:pPr>
            <w:r w:rsidRPr="00E723BE">
              <w:rPr>
                <w:rFonts w:ascii="Times New Roman" w:hAnsi="Times New Roman" w:cs="Times New Roman"/>
                <w:b/>
                <w:sz w:val="20"/>
                <w:szCs w:val="20"/>
              </w:rPr>
              <w:t>NOME DO INDICADOR</w:t>
            </w:r>
          </w:p>
        </w:tc>
        <w:tc>
          <w:tcPr>
            <w:tcW w:w="2633" w:type="dxa"/>
            <w:tcBorders>
              <w:top w:val="single" w:sz="6" w:space="0" w:color="000000"/>
              <w:left w:val="single" w:sz="4" w:space="0" w:color="000000"/>
              <w:bottom w:val="single" w:sz="6" w:space="0" w:color="000000"/>
              <w:right w:val="single" w:sz="4" w:space="0" w:color="000000"/>
            </w:tcBorders>
            <w:shd w:val="clear" w:color="auto" w:fill="BFBFBF"/>
            <w:vAlign w:val="center"/>
          </w:tcPr>
          <w:p w:rsidR="00E32574" w:rsidRPr="00E723BE" w:rsidRDefault="00E32574" w:rsidP="00BC4359">
            <w:pPr>
              <w:pStyle w:val="Default"/>
              <w:jc w:val="center"/>
              <w:rPr>
                <w:rFonts w:ascii="Times New Roman" w:hAnsi="Times New Roman" w:cs="Times New Roman"/>
                <w:b/>
                <w:sz w:val="20"/>
                <w:szCs w:val="20"/>
              </w:rPr>
            </w:pPr>
            <w:r w:rsidRPr="00E723BE">
              <w:rPr>
                <w:rFonts w:ascii="Times New Roman" w:hAnsi="Times New Roman" w:cs="Times New Roman"/>
                <w:b/>
                <w:sz w:val="20"/>
                <w:szCs w:val="20"/>
              </w:rPr>
              <w:t>FÓRMULA</w:t>
            </w:r>
          </w:p>
        </w:tc>
        <w:tc>
          <w:tcPr>
            <w:tcW w:w="1969" w:type="dxa"/>
            <w:tcBorders>
              <w:top w:val="single" w:sz="6" w:space="0" w:color="000000"/>
              <w:left w:val="single" w:sz="4" w:space="0" w:color="000000"/>
              <w:bottom w:val="single" w:sz="6" w:space="0" w:color="000000"/>
              <w:right w:val="single" w:sz="2" w:space="0" w:color="000000"/>
            </w:tcBorders>
            <w:shd w:val="clear" w:color="auto" w:fill="BFBFBF"/>
            <w:vAlign w:val="center"/>
          </w:tcPr>
          <w:p w:rsidR="00E32574" w:rsidRPr="00E723BE" w:rsidRDefault="00E32574" w:rsidP="00BC4359">
            <w:pPr>
              <w:pStyle w:val="Default"/>
              <w:jc w:val="center"/>
              <w:rPr>
                <w:rFonts w:ascii="Times New Roman" w:hAnsi="Times New Roman" w:cs="Times New Roman"/>
                <w:b/>
                <w:sz w:val="20"/>
                <w:szCs w:val="20"/>
              </w:rPr>
            </w:pPr>
            <w:r w:rsidRPr="00E723BE">
              <w:rPr>
                <w:rFonts w:ascii="Times New Roman" w:hAnsi="Times New Roman" w:cs="Times New Roman"/>
                <w:b/>
                <w:sz w:val="20"/>
                <w:szCs w:val="20"/>
              </w:rPr>
              <w:t>VALORES</w:t>
            </w:r>
          </w:p>
        </w:tc>
      </w:tr>
      <w:tr w:rsidR="00E32574" w:rsidRPr="00202B64" w:rsidTr="008C148B">
        <w:trPr>
          <w:trHeight w:val="464"/>
        </w:trPr>
        <w:tc>
          <w:tcPr>
            <w:tcW w:w="7308" w:type="dxa"/>
            <w:gridSpan w:val="3"/>
            <w:tcBorders>
              <w:top w:val="single" w:sz="6" w:space="0" w:color="000000"/>
              <w:left w:val="single" w:sz="2" w:space="0" w:color="000000"/>
              <w:bottom w:val="single" w:sz="6" w:space="0" w:color="000000"/>
              <w:right w:val="single" w:sz="4" w:space="0" w:color="000000"/>
            </w:tcBorders>
            <w:vAlign w:val="center"/>
          </w:tcPr>
          <w:p w:rsidR="00E32574" w:rsidRPr="007739A2" w:rsidRDefault="00E32574" w:rsidP="00BC4359">
            <w:pPr>
              <w:spacing w:after="0" w:line="240" w:lineRule="auto"/>
              <w:jc w:val="center"/>
              <w:rPr>
                <w:b/>
                <w:sz w:val="20"/>
                <w:szCs w:val="20"/>
                <w:u w:val="single"/>
              </w:rPr>
            </w:pPr>
            <w:r>
              <w:rPr>
                <w:b/>
                <w:sz w:val="20"/>
                <w:szCs w:val="20"/>
                <w:u w:val="single"/>
              </w:rPr>
              <w:t>INDICADOR RELATIVO A PROCESSOS OPERACIONAIS - IRPO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7739A2" w:rsidRDefault="00E32574" w:rsidP="00BC4359">
            <w:pPr>
              <w:spacing w:after="0" w:line="240" w:lineRule="auto"/>
              <w:jc w:val="center"/>
              <w:rPr>
                <w:b/>
                <w:sz w:val="20"/>
                <w:szCs w:val="20"/>
              </w:rPr>
            </w:pPr>
            <w:r w:rsidRPr="007739A2">
              <w:rPr>
                <w:b/>
                <w:sz w:val="20"/>
                <w:szCs w:val="20"/>
              </w:rPr>
              <w:t>Unidade</w:t>
            </w:r>
          </w:p>
        </w:tc>
      </w:tr>
      <w:tr w:rsidR="00E32574" w:rsidRPr="00202B64" w:rsidTr="00BC4359">
        <w:trPr>
          <w:trHeight w:val="102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7739A2" w:rsidRDefault="00E32574" w:rsidP="00BC4359">
            <w:pPr>
              <w:pStyle w:val="Default"/>
              <w:jc w:val="center"/>
              <w:rPr>
                <w:rFonts w:ascii="Times New Roman" w:hAnsi="Times New Roman" w:cs="Times New Roman"/>
                <w:b/>
                <w:sz w:val="20"/>
                <w:szCs w:val="20"/>
              </w:rPr>
            </w:pPr>
            <w:r w:rsidRPr="007739A2">
              <w:rPr>
                <w:rFonts w:ascii="Times New Roman" w:hAnsi="Times New Roman" w:cs="Times New Roman"/>
                <w:b/>
                <w:sz w:val="20"/>
                <w:szCs w:val="20"/>
              </w:rPr>
              <w:t>A1</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pStyle w:val="Default"/>
              <w:jc w:val="center"/>
              <w:rPr>
                <w:rFonts w:ascii="Times New Roman" w:hAnsi="Times New Roman" w:cs="Times New Roman"/>
                <w:b/>
                <w:sz w:val="20"/>
                <w:szCs w:val="20"/>
              </w:rPr>
            </w:pPr>
            <w:r w:rsidRPr="00202B64">
              <w:rPr>
                <w:rFonts w:ascii="Times New Roman" w:hAnsi="Times New Roman" w:cs="Times New Roman"/>
                <w:b/>
                <w:sz w:val="20"/>
                <w:szCs w:val="20"/>
              </w:rPr>
              <w:t>Despesa Total com os Serviços por m</w:t>
            </w:r>
            <w:r w:rsidRPr="00202B64">
              <w:rPr>
                <w:rFonts w:ascii="Times New Roman" w:hAnsi="Times New Roman" w:cs="Times New Roman"/>
                <w:b/>
                <w:sz w:val="20"/>
                <w:szCs w:val="20"/>
                <w:vertAlign w:val="superscript"/>
              </w:rPr>
              <w:t xml:space="preserve">3 </w:t>
            </w:r>
            <w:r w:rsidRPr="00202B64">
              <w:rPr>
                <w:rFonts w:ascii="Times New Roman" w:hAnsi="Times New Roman" w:cs="Times New Roman"/>
                <w:b/>
                <w:sz w:val="20"/>
                <w:szCs w:val="20"/>
              </w:rPr>
              <w:t xml:space="preserve"> Faturado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Despesas Totais com os Serviços</w:t>
            </w:r>
          </w:p>
          <w:p w:rsidR="00E32574" w:rsidRPr="00202B64" w:rsidRDefault="00E32574" w:rsidP="00BC4359">
            <w:pPr>
              <w:pStyle w:val="Default"/>
              <w:jc w:val="center"/>
              <w:rPr>
                <w:rFonts w:ascii="Times New Roman" w:hAnsi="Times New Roman" w:cs="Times New Roman"/>
                <w:sz w:val="20"/>
                <w:szCs w:val="20"/>
              </w:rPr>
            </w:pPr>
            <w:r w:rsidRPr="00202B64">
              <w:rPr>
                <w:rFonts w:ascii="Times New Roman" w:hAnsi="Times New Roman" w:cs="Times New Roman"/>
                <w:sz w:val="20"/>
                <w:szCs w:val="20"/>
              </w:rPr>
              <w:t>Volume Total Faturado ( Água + Esgoto )</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1219D" w:rsidRDefault="00E32574" w:rsidP="00BC4359">
            <w:pPr>
              <w:pStyle w:val="Default"/>
              <w:jc w:val="center"/>
              <w:rPr>
                <w:rFonts w:ascii="Times New Roman" w:hAnsi="Times New Roman" w:cs="Times New Roman"/>
                <w:b/>
                <w:sz w:val="20"/>
                <w:szCs w:val="20"/>
              </w:rPr>
            </w:pPr>
            <w:r w:rsidRPr="0021219D">
              <w:rPr>
                <w:rFonts w:ascii="Times New Roman" w:hAnsi="Times New Roman" w:cs="Times New Roman"/>
                <w:b/>
                <w:sz w:val="20"/>
                <w:szCs w:val="20"/>
              </w:rPr>
              <w:t>2,</w:t>
            </w:r>
            <w:r>
              <w:rPr>
                <w:rFonts w:ascii="Times New Roman" w:hAnsi="Times New Roman" w:cs="Times New Roman"/>
                <w:b/>
                <w:sz w:val="20"/>
                <w:szCs w:val="20"/>
              </w:rPr>
              <w:t>16</w:t>
            </w:r>
            <w:r w:rsidRPr="0021219D">
              <w:rPr>
                <w:rFonts w:ascii="Times New Roman" w:hAnsi="Times New Roman" w:cs="Times New Roman"/>
                <w:b/>
                <w:sz w:val="20"/>
                <w:szCs w:val="20"/>
              </w:rPr>
              <w:t xml:space="preserve"> R$ / m</w:t>
            </w:r>
            <w:r w:rsidRPr="0021219D">
              <w:rPr>
                <w:rFonts w:ascii="Times New Roman" w:hAnsi="Times New Roman" w:cs="Times New Roman"/>
                <w:b/>
                <w:sz w:val="20"/>
                <w:szCs w:val="20"/>
                <w:vertAlign w:val="superscript"/>
              </w:rPr>
              <w:t>3</w:t>
            </w:r>
          </w:p>
        </w:tc>
      </w:tr>
      <w:tr w:rsidR="00E32574" w:rsidRPr="00202B64" w:rsidTr="00BC4359">
        <w:trPr>
          <w:trHeight w:val="124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7739A2" w:rsidRDefault="00E32574" w:rsidP="00BC4359">
            <w:pPr>
              <w:pStyle w:val="Default"/>
              <w:jc w:val="center"/>
              <w:rPr>
                <w:rFonts w:ascii="Times New Roman" w:hAnsi="Times New Roman" w:cs="Times New Roman"/>
                <w:b/>
                <w:sz w:val="20"/>
                <w:szCs w:val="20"/>
              </w:rPr>
            </w:pPr>
            <w:r w:rsidRPr="007739A2">
              <w:rPr>
                <w:rFonts w:ascii="Times New Roman" w:hAnsi="Times New Roman" w:cs="Times New Roman"/>
                <w:b/>
                <w:sz w:val="20"/>
                <w:szCs w:val="20"/>
              </w:rPr>
              <w:t>A2</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pStyle w:val="Default"/>
              <w:jc w:val="center"/>
              <w:rPr>
                <w:rFonts w:ascii="Times New Roman" w:hAnsi="Times New Roman" w:cs="Times New Roman"/>
                <w:b/>
                <w:sz w:val="20"/>
                <w:szCs w:val="20"/>
              </w:rPr>
            </w:pPr>
            <w:r w:rsidRPr="00202B64">
              <w:rPr>
                <w:rFonts w:ascii="Times New Roman" w:hAnsi="Times New Roman" w:cs="Times New Roman"/>
                <w:b/>
                <w:sz w:val="20"/>
                <w:szCs w:val="20"/>
              </w:rPr>
              <w:t>Consumo Micromedido por Economia</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Volume  de Água Micromedido</w:t>
            </w:r>
          </w:p>
          <w:p w:rsidR="00E32574" w:rsidRPr="00202B64" w:rsidRDefault="00E32574" w:rsidP="00BC4359">
            <w:pPr>
              <w:pStyle w:val="Default"/>
              <w:jc w:val="center"/>
              <w:rPr>
                <w:rFonts w:ascii="Times New Roman" w:hAnsi="Times New Roman" w:cs="Times New Roman"/>
                <w:sz w:val="20"/>
                <w:szCs w:val="20"/>
              </w:rPr>
            </w:pPr>
            <w:r w:rsidRPr="00202B64">
              <w:rPr>
                <w:rFonts w:ascii="Times New Roman" w:hAnsi="Times New Roman" w:cs="Times New Roman"/>
                <w:sz w:val="20"/>
                <w:szCs w:val="20"/>
              </w:rPr>
              <w:t>Quantidade de Economias Ativas de Água Micromedidas</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1219D" w:rsidRDefault="00E32574" w:rsidP="00BC4359">
            <w:pPr>
              <w:pStyle w:val="Default"/>
              <w:jc w:val="center"/>
              <w:rPr>
                <w:rFonts w:ascii="Times New Roman" w:hAnsi="Times New Roman" w:cs="Times New Roman"/>
                <w:b/>
                <w:sz w:val="20"/>
                <w:szCs w:val="20"/>
              </w:rPr>
            </w:pPr>
            <w:r w:rsidRPr="0021219D">
              <w:rPr>
                <w:rFonts w:ascii="Times New Roman" w:hAnsi="Times New Roman" w:cs="Times New Roman"/>
                <w:b/>
                <w:sz w:val="20"/>
                <w:szCs w:val="20"/>
              </w:rPr>
              <w:t>14,05 M</w:t>
            </w:r>
            <w:r w:rsidRPr="0021219D">
              <w:rPr>
                <w:rFonts w:ascii="Times New Roman" w:hAnsi="Times New Roman" w:cs="Times New Roman"/>
                <w:b/>
                <w:sz w:val="20"/>
                <w:szCs w:val="20"/>
                <w:vertAlign w:val="superscript"/>
              </w:rPr>
              <w:t>3</w:t>
            </w:r>
            <w:r w:rsidRPr="0021219D">
              <w:rPr>
                <w:rFonts w:ascii="Times New Roman" w:hAnsi="Times New Roman" w:cs="Times New Roman"/>
                <w:b/>
                <w:sz w:val="20"/>
                <w:szCs w:val="20"/>
              </w:rPr>
              <w:t xml:space="preserve"> / mês / econ</w:t>
            </w:r>
          </w:p>
        </w:tc>
      </w:tr>
      <w:tr w:rsidR="00E32574" w:rsidRPr="00202B64" w:rsidTr="00BC4359">
        <w:trPr>
          <w:trHeight w:val="794"/>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7739A2" w:rsidRDefault="00E32574" w:rsidP="00BC4359">
            <w:pPr>
              <w:pStyle w:val="Default"/>
              <w:jc w:val="center"/>
              <w:rPr>
                <w:rFonts w:ascii="Times New Roman" w:hAnsi="Times New Roman" w:cs="Times New Roman"/>
                <w:b/>
                <w:sz w:val="20"/>
                <w:szCs w:val="20"/>
              </w:rPr>
            </w:pPr>
            <w:r w:rsidRPr="007739A2">
              <w:rPr>
                <w:rFonts w:ascii="Times New Roman" w:hAnsi="Times New Roman" w:cs="Times New Roman"/>
                <w:b/>
                <w:sz w:val="20"/>
                <w:szCs w:val="20"/>
              </w:rPr>
              <w:t>A3</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BC4359">
            <w:pPr>
              <w:pStyle w:val="Ttulo4"/>
              <w:rPr>
                <w:lang w:val="pt-BR"/>
              </w:rPr>
            </w:pPr>
            <w:r w:rsidRPr="00B571D8">
              <w:rPr>
                <w:lang w:val="pt-BR"/>
              </w:rPr>
              <w:t>Consumo de Água Faturado por Economia</w:t>
            </w:r>
          </w:p>
          <w:p w:rsidR="00E32574" w:rsidRPr="00202B64" w:rsidRDefault="00E32574" w:rsidP="00BC4359">
            <w:pPr>
              <w:pStyle w:val="Default"/>
              <w:jc w:val="center"/>
              <w:rPr>
                <w:rFonts w:ascii="Times New Roman" w:hAnsi="Times New Roman" w:cs="Times New Roman"/>
                <w:b/>
                <w:sz w:val="20"/>
                <w:szCs w:val="20"/>
              </w:rPr>
            </w:pP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Volume de Água Faturado</w:t>
            </w:r>
          </w:p>
          <w:p w:rsidR="00E32574" w:rsidRPr="00202B64" w:rsidRDefault="00E32574" w:rsidP="00BC4359">
            <w:pPr>
              <w:pStyle w:val="Default"/>
              <w:jc w:val="center"/>
              <w:rPr>
                <w:rFonts w:ascii="Times New Roman" w:hAnsi="Times New Roman" w:cs="Times New Roman"/>
                <w:sz w:val="20"/>
                <w:szCs w:val="20"/>
              </w:rPr>
            </w:pPr>
            <w:r w:rsidRPr="00202B64">
              <w:rPr>
                <w:rFonts w:ascii="Times New Roman" w:hAnsi="Times New Roman" w:cs="Times New Roman"/>
                <w:sz w:val="20"/>
                <w:szCs w:val="20"/>
              </w:rPr>
              <w:t>Número de economias Ativas de Água</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1219D" w:rsidRDefault="00E32574" w:rsidP="00BC4359">
            <w:pPr>
              <w:pStyle w:val="Default"/>
              <w:jc w:val="center"/>
              <w:rPr>
                <w:rFonts w:ascii="Times New Roman" w:hAnsi="Times New Roman" w:cs="Times New Roman"/>
                <w:b/>
                <w:sz w:val="20"/>
                <w:szCs w:val="20"/>
              </w:rPr>
            </w:pPr>
            <w:r w:rsidRPr="0021219D">
              <w:rPr>
                <w:rFonts w:ascii="Times New Roman" w:hAnsi="Times New Roman" w:cs="Times New Roman"/>
                <w:b/>
                <w:sz w:val="20"/>
                <w:szCs w:val="20"/>
              </w:rPr>
              <w:t>19,20 M</w:t>
            </w:r>
            <w:r w:rsidRPr="0021219D">
              <w:rPr>
                <w:rFonts w:ascii="Times New Roman" w:hAnsi="Times New Roman" w:cs="Times New Roman"/>
                <w:b/>
                <w:sz w:val="20"/>
                <w:szCs w:val="20"/>
                <w:vertAlign w:val="superscript"/>
              </w:rPr>
              <w:t>3</w:t>
            </w:r>
            <w:r w:rsidRPr="0021219D">
              <w:rPr>
                <w:rFonts w:ascii="Times New Roman" w:hAnsi="Times New Roman" w:cs="Times New Roman"/>
                <w:b/>
                <w:sz w:val="20"/>
                <w:szCs w:val="20"/>
              </w:rPr>
              <w:t xml:space="preserve"> / mês / econ</w:t>
            </w:r>
          </w:p>
        </w:tc>
      </w:tr>
      <w:tr w:rsidR="00E32574" w:rsidRPr="00202B64" w:rsidTr="00BC4359">
        <w:trPr>
          <w:trHeight w:val="794"/>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7739A2" w:rsidRDefault="00E32574" w:rsidP="00BC4359">
            <w:pPr>
              <w:pStyle w:val="Default"/>
              <w:jc w:val="center"/>
              <w:rPr>
                <w:rFonts w:ascii="Times New Roman" w:hAnsi="Times New Roman" w:cs="Times New Roman"/>
                <w:b/>
                <w:sz w:val="20"/>
                <w:szCs w:val="20"/>
              </w:rPr>
            </w:pPr>
            <w:r w:rsidRPr="007739A2">
              <w:rPr>
                <w:rFonts w:ascii="Times New Roman" w:hAnsi="Times New Roman" w:cs="Times New Roman"/>
                <w:b/>
                <w:sz w:val="20"/>
                <w:szCs w:val="20"/>
              </w:rPr>
              <w:t>A4</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BC4359">
            <w:pPr>
              <w:pStyle w:val="Ttulo4"/>
              <w:rPr>
                <w:lang w:val="pt-BR"/>
              </w:rPr>
            </w:pPr>
            <w:r w:rsidRPr="00B571D8">
              <w:rPr>
                <w:lang w:val="pt-BR"/>
              </w:rPr>
              <w:t>Consumo Médio Per capita de Água</w:t>
            </w:r>
          </w:p>
          <w:p w:rsidR="00E32574" w:rsidRPr="00202B64" w:rsidRDefault="00E32574" w:rsidP="00BC4359">
            <w:pPr>
              <w:pStyle w:val="Default"/>
              <w:jc w:val="center"/>
              <w:rPr>
                <w:rFonts w:ascii="Times New Roman" w:hAnsi="Times New Roman" w:cs="Times New Roman"/>
                <w:b/>
                <w:sz w:val="20"/>
                <w:szCs w:val="20"/>
              </w:rPr>
            </w:pP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Volume de água Consumido</w:t>
            </w:r>
          </w:p>
          <w:p w:rsidR="00E32574" w:rsidRPr="00202B64" w:rsidRDefault="00E32574" w:rsidP="00BC4359">
            <w:pPr>
              <w:pStyle w:val="Default"/>
              <w:jc w:val="center"/>
              <w:rPr>
                <w:rFonts w:ascii="Times New Roman" w:hAnsi="Times New Roman" w:cs="Times New Roman"/>
                <w:sz w:val="20"/>
                <w:szCs w:val="20"/>
              </w:rPr>
            </w:pPr>
            <w:r w:rsidRPr="00202B64">
              <w:rPr>
                <w:rFonts w:ascii="Times New Roman" w:hAnsi="Times New Roman" w:cs="Times New Roman"/>
                <w:sz w:val="20"/>
                <w:szCs w:val="20"/>
              </w:rPr>
              <w:t>População Atendida com abastecimento de Água</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1219D" w:rsidRDefault="00E32574" w:rsidP="00BC4359">
            <w:pPr>
              <w:spacing w:after="0" w:line="240" w:lineRule="auto"/>
              <w:jc w:val="center"/>
              <w:rPr>
                <w:b/>
                <w:sz w:val="16"/>
                <w:szCs w:val="16"/>
              </w:rPr>
            </w:pPr>
            <w:r w:rsidRPr="0012580F">
              <w:rPr>
                <w:b/>
                <w:sz w:val="20"/>
                <w:szCs w:val="20"/>
              </w:rPr>
              <w:t>1</w:t>
            </w:r>
            <w:r w:rsidR="00874333">
              <w:rPr>
                <w:b/>
                <w:sz w:val="20"/>
                <w:szCs w:val="20"/>
              </w:rPr>
              <w:t>90</w:t>
            </w:r>
            <w:r w:rsidRPr="0012580F">
              <w:rPr>
                <w:b/>
                <w:sz w:val="20"/>
                <w:szCs w:val="20"/>
              </w:rPr>
              <w:t>,</w:t>
            </w:r>
            <w:r w:rsidR="00874333">
              <w:rPr>
                <w:b/>
                <w:sz w:val="20"/>
                <w:szCs w:val="20"/>
              </w:rPr>
              <w:t>0</w:t>
            </w:r>
            <w:r w:rsidRPr="0012580F">
              <w:rPr>
                <w:b/>
                <w:sz w:val="20"/>
                <w:szCs w:val="20"/>
              </w:rPr>
              <w:t>0</w:t>
            </w:r>
            <w:r w:rsidRPr="0021219D">
              <w:rPr>
                <w:b/>
                <w:sz w:val="16"/>
                <w:szCs w:val="16"/>
              </w:rPr>
              <w:t xml:space="preserve">  l / hab. dia</w:t>
            </w:r>
          </w:p>
          <w:p w:rsidR="00E32574" w:rsidRPr="0021219D" w:rsidRDefault="00E32574" w:rsidP="00BC4359">
            <w:pPr>
              <w:pStyle w:val="Default"/>
              <w:jc w:val="center"/>
              <w:rPr>
                <w:rFonts w:ascii="Times New Roman" w:hAnsi="Times New Roman" w:cs="Times New Roman"/>
                <w:b/>
                <w:sz w:val="20"/>
                <w:szCs w:val="20"/>
              </w:rPr>
            </w:pPr>
          </w:p>
        </w:tc>
      </w:tr>
      <w:tr w:rsidR="00E32574" w:rsidRPr="00202B64" w:rsidTr="00BC4359">
        <w:trPr>
          <w:trHeight w:val="794"/>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7739A2" w:rsidRDefault="00E32574" w:rsidP="00BC4359">
            <w:pPr>
              <w:pStyle w:val="Default"/>
              <w:jc w:val="center"/>
              <w:rPr>
                <w:rFonts w:ascii="Times New Roman" w:hAnsi="Times New Roman" w:cs="Times New Roman"/>
                <w:b/>
                <w:sz w:val="20"/>
                <w:szCs w:val="20"/>
              </w:rPr>
            </w:pPr>
            <w:r w:rsidRPr="007739A2">
              <w:rPr>
                <w:rFonts w:ascii="Times New Roman" w:hAnsi="Times New Roman" w:cs="Times New Roman"/>
                <w:b/>
                <w:sz w:val="20"/>
                <w:szCs w:val="20"/>
              </w:rPr>
              <w:t>A5</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pStyle w:val="Default"/>
              <w:jc w:val="center"/>
              <w:rPr>
                <w:rFonts w:ascii="Times New Roman" w:hAnsi="Times New Roman" w:cs="Times New Roman"/>
                <w:b/>
                <w:sz w:val="20"/>
                <w:szCs w:val="20"/>
              </w:rPr>
            </w:pPr>
            <w:r w:rsidRPr="00202B64">
              <w:rPr>
                <w:rFonts w:ascii="Times New Roman" w:hAnsi="Times New Roman" w:cs="Times New Roman"/>
                <w:b/>
                <w:sz w:val="20"/>
                <w:szCs w:val="20"/>
              </w:rPr>
              <w:t>Índice de Atendimento de Água</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 xml:space="preserve">População Atendida com Abastecimento de Água </w:t>
            </w:r>
            <w:r w:rsidRPr="00202B64">
              <w:rPr>
                <w:sz w:val="20"/>
                <w:szCs w:val="20"/>
              </w:rPr>
              <w:t>População Urbana</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BC4359">
            <w:pPr>
              <w:pStyle w:val="Default"/>
              <w:jc w:val="center"/>
              <w:rPr>
                <w:rFonts w:ascii="Times New Roman" w:hAnsi="Times New Roman" w:cs="Times New Roman"/>
                <w:sz w:val="20"/>
                <w:szCs w:val="20"/>
              </w:rPr>
            </w:pPr>
            <w:r>
              <w:rPr>
                <w:rFonts w:ascii="Times New Roman" w:hAnsi="Times New Roman" w:cs="Times New Roman"/>
                <w:b/>
                <w:sz w:val="20"/>
                <w:szCs w:val="20"/>
              </w:rPr>
              <w:t xml:space="preserve">96,70 </w:t>
            </w:r>
            <w:r w:rsidRPr="00202B64">
              <w:rPr>
                <w:rFonts w:ascii="Times New Roman" w:hAnsi="Times New Roman" w:cs="Times New Roman"/>
                <w:b/>
                <w:sz w:val="20"/>
                <w:szCs w:val="20"/>
              </w:rPr>
              <w:t>%</w:t>
            </w:r>
          </w:p>
        </w:tc>
      </w:tr>
      <w:tr w:rsidR="00E32574" w:rsidRPr="00202B64" w:rsidTr="00AB7E80">
        <w:trPr>
          <w:trHeight w:val="102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7739A2" w:rsidRDefault="00E32574" w:rsidP="00BC4359">
            <w:pPr>
              <w:pStyle w:val="Default"/>
              <w:jc w:val="center"/>
              <w:rPr>
                <w:rFonts w:ascii="Times New Roman" w:hAnsi="Times New Roman" w:cs="Times New Roman"/>
                <w:b/>
                <w:sz w:val="20"/>
                <w:szCs w:val="20"/>
              </w:rPr>
            </w:pPr>
            <w:r w:rsidRPr="007739A2">
              <w:rPr>
                <w:rFonts w:ascii="Times New Roman" w:hAnsi="Times New Roman" w:cs="Times New Roman"/>
                <w:b/>
                <w:sz w:val="20"/>
                <w:szCs w:val="20"/>
              </w:rPr>
              <w:t>A6</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pStyle w:val="Default"/>
              <w:jc w:val="center"/>
              <w:rPr>
                <w:rFonts w:ascii="Times New Roman" w:hAnsi="Times New Roman" w:cs="Times New Roman"/>
                <w:b/>
                <w:sz w:val="20"/>
                <w:szCs w:val="20"/>
              </w:rPr>
            </w:pPr>
            <w:r w:rsidRPr="00202B64">
              <w:rPr>
                <w:rFonts w:ascii="Times New Roman" w:hAnsi="Times New Roman" w:cs="Times New Roman"/>
                <w:b/>
                <w:sz w:val="20"/>
                <w:szCs w:val="20"/>
              </w:rPr>
              <w:t>Particip.das Econ.Res.de Água no Total das Economias Água</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Quantidade de Economias Residenciais Ativas de Água</w:t>
            </w:r>
          </w:p>
          <w:p w:rsidR="00E32574" w:rsidRPr="00202B64" w:rsidRDefault="00E32574" w:rsidP="00BC4359">
            <w:pPr>
              <w:pStyle w:val="Default"/>
              <w:jc w:val="center"/>
              <w:rPr>
                <w:rFonts w:ascii="Times New Roman" w:hAnsi="Times New Roman" w:cs="Times New Roman"/>
                <w:sz w:val="20"/>
                <w:szCs w:val="20"/>
              </w:rPr>
            </w:pPr>
            <w:r w:rsidRPr="00202B64">
              <w:rPr>
                <w:rFonts w:ascii="Times New Roman" w:hAnsi="Times New Roman" w:cs="Times New Roman"/>
                <w:sz w:val="20"/>
                <w:szCs w:val="20"/>
              </w:rPr>
              <w:t>Quantidade de Economias Ativas de Água</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BC4359">
            <w:pPr>
              <w:pStyle w:val="Default"/>
              <w:jc w:val="center"/>
              <w:rPr>
                <w:rFonts w:ascii="Times New Roman" w:hAnsi="Times New Roman" w:cs="Times New Roman"/>
                <w:sz w:val="20"/>
                <w:szCs w:val="20"/>
              </w:rPr>
            </w:pPr>
            <w:r>
              <w:rPr>
                <w:rFonts w:ascii="Times New Roman" w:hAnsi="Times New Roman" w:cs="Times New Roman"/>
                <w:b/>
                <w:sz w:val="20"/>
                <w:szCs w:val="20"/>
              </w:rPr>
              <w:t xml:space="preserve">90,56 </w:t>
            </w:r>
            <w:r w:rsidRPr="00202B64">
              <w:rPr>
                <w:rFonts w:ascii="Times New Roman" w:hAnsi="Times New Roman" w:cs="Times New Roman"/>
                <w:b/>
                <w:sz w:val="20"/>
                <w:szCs w:val="20"/>
              </w:rPr>
              <w:t>%</w:t>
            </w:r>
          </w:p>
        </w:tc>
      </w:tr>
      <w:tr w:rsidR="00E32574" w:rsidRPr="00202B64" w:rsidTr="008C148B">
        <w:trPr>
          <w:trHeight w:val="815"/>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7739A2" w:rsidRDefault="00E32574" w:rsidP="00BC4359">
            <w:pPr>
              <w:pStyle w:val="Default"/>
              <w:jc w:val="center"/>
              <w:rPr>
                <w:rFonts w:ascii="Times New Roman" w:hAnsi="Times New Roman" w:cs="Times New Roman"/>
                <w:b/>
                <w:sz w:val="20"/>
                <w:szCs w:val="20"/>
              </w:rPr>
            </w:pPr>
            <w:r w:rsidRPr="007739A2">
              <w:rPr>
                <w:rFonts w:ascii="Times New Roman" w:hAnsi="Times New Roman" w:cs="Times New Roman"/>
                <w:b/>
                <w:sz w:val="20"/>
                <w:szCs w:val="20"/>
              </w:rPr>
              <w:lastRenderedPageBreak/>
              <w:t>A7</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BC4359">
            <w:pPr>
              <w:pStyle w:val="Ttulo4"/>
              <w:rPr>
                <w:lang w:val="pt-BR"/>
              </w:rPr>
            </w:pPr>
            <w:r w:rsidRPr="00B571D8">
              <w:rPr>
                <w:lang w:val="pt-BR"/>
              </w:rPr>
              <w:t>Índice de Micromedição Relativo ao Consumo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Volume de Água Micromedido</w:t>
            </w:r>
          </w:p>
          <w:p w:rsidR="00E32574" w:rsidRPr="00202B64" w:rsidRDefault="00E32574" w:rsidP="00BC4359">
            <w:pPr>
              <w:pStyle w:val="Default"/>
              <w:jc w:val="center"/>
              <w:rPr>
                <w:rFonts w:ascii="Times New Roman" w:hAnsi="Times New Roman" w:cs="Times New Roman"/>
                <w:sz w:val="20"/>
                <w:szCs w:val="20"/>
              </w:rPr>
            </w:pPr>
            <w:r w:rsidRPr="00202B64">
              <w:rPr>
                <w:rFonts w:ascii="Times New Roman" w:hAnsi="Times New Roman" w:cs="Times New Roman"/>
                <w:sz w:val="20"/>
                <w:szCs w:val="20"/>
              </w:rPr>
              <w:t>Quantidade de economias Ativas de Água</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BC4359">
            <w:pPr>
              <w:pStyle w:val="Default"/>
              <w:jc w:val="center"/>
              <w:rPr>
                <w:rFonts w:ascii="Times New Roman" w:hAnsi="Times New Roman" w:cs="Times New Roman"/>
                <w:sz w:val="20"/>
                <w:szCs w:val="20"/>
              </w:rPr>
            </w:pPr>
            <w:r>
              <w:rPr>
                <w:rFonts w:ascii="Times New Roman" w:hAnsi="Times New Roman" w:cs="Times New Roman"/>
                <w:b/>
                <w:sz w:val="20"/>
                <w:szCs w:val="20"/>
              </w:rPr>
              <w:t xml:space="preserve">97,52 </w:t>
            </w:r>
            <w:r w:rsidRPr="00202B64">
              <w:rPr>
                <w:rFonts w:ascii="Times New Roman" w:hAnsi="Times New Roman" w:cs="Times New Roman"/>
                <w:b/>
                <w:sz w:val="20"/>
                <w:szCs w:val="20"/>
              </w:rPr>
              <w:t>%</w:t>
            </w:r>
          </w:p>
        </w:tc>
      </w:tr>
      <w:tr w:rsidR="00E32574" w:rsidRPr="00202B64" w:rsidTr="00AB7E80">
        <w:trPr>
          <w:trHeight w:val="124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7739A2" w:rsidRDefault="00E32574" w:rsidP="00BC4359">
            <w:pPr>
              <w:pStyle w:val="Default"/>
              <w:jc w:val="center"/>
              <w:rPr>
                <w:rFonts w:ascii="Times New Roman" w:hAnsi="Times New Roman" w:cs="Times New Roman"/>
                <w:b/>
                <w:sz w:val="20"/>
                <w:szCs w:val="20"/>
              </w:rPr>
            </w:pPr>
            <w:r w:rsidRPr="007739A2">
              <w:rPr>
                <w:rFonts w:ascii="Times New Roman" w:hAnsi="Times New Roman" w:cs="Times New Roman"/>
                <w:b/>
                <w:sz w:val="20"/>
                <w:szCs w:val="20"/>
              </w:rPr>
              <w:t>A8</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pStyle w:val="Default"/>
              <w:jc w:val="center"/>
              <w:rPr>
                <w:rFonts w:ascii="Times New Roman" w:hAnsi="Times New Roman" w:cs="Times New Roman"/>
                <w:b/>
                <w:sz w:val="20"/>
                <w:szCs w:val="20"/>
              </w:rPr>
            </w:pPr>
            <w:r w:rsidRPr="00202B64">
              <w:rPr>
                <w:rFonts w:ascii="Times New Roman" w:hAnsi="Times New Roman" w:cs="Times New Roman"/>
                <w:b/>
                <w:sz w:val="20"/>
                <w:szCs w:val="20"/>
              </w:rPr>
              <w:t>Índice de Perdas na Distribuição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Vol. Água (Produzido – De Serviço) – Vol. Água Consumido</w:t>
            </w:r>
          </w:p>
          <w:p w:rsidR="00E32574" w:rsidRPr="00202B64" w:rsidRDefault="00E32574" w:rsidP="00BC4359">
            <w:pPr>
              <w:pStyle w:val="Default"/>
              <w:jc w:val="center"/>
              <w:rPr>
                <w:rFonts w:ascii="Times New Roman" w:hAnsi="Times New Roman" w:cs="Times New Roman"/>
                <w:sz w:val="20"/>
                <w:szCs w:val="20"/>
              </w:rPr>
            </w:pPr>
            <w:r w:rsidRPr="00202B64">
              <w:rPr>
                <w:rFonts w:ascii="Times New Roman" w:hAnsi="Times New Roman" w:cs="Times New Roman"/>
                <w:sz w:val="20"/>
                <w:szCs w:val="20"/>
              </w:rPr>
              <w:t>Vol. Água (Produzido – De Serviço)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BC4359">
            <w:pPr>
              <w:pStyle w:val="Default"/>
              <w:jc w:val="center"/>
              <w:rPr>
                <w:rFonts w:ascii="Times New Roman" w:hAnsi="Times New Roman" w:cs="Times New Roman"/>
                <w:sz w:val="20"/>
                <w:szCs w:val="20"/>
              </w:rPr>
            </w:pPr>
            <w:r>
              <w:rPr>
                <w:rFonts w:ascii="Times New Roman" w:hAnsi="Times New Roman" w:cs="Times New Roman"/>
                <w:b/>
                <w:sz w:val="20"/>
                <w:szCs w:val="20"/>
              </w:rPr>
              <w:t xml:space="preserve">24,75 </w:t>
            </w:r>
            <w:r w:rsidRPr="00202B64">
              <w:rPr>
                <w:rFonts w:ascii="Times New Roman" w:hAnsi="Times New Roman" w:cs="Times New Roman"/>
                <w:b/>
                <w:sz w:val="20"/>
                <w:szCs w:val="20"/>
              </w:rPr>
              <w:t>%</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7739A2" w:rsidRDefault="00E32574" w:rsidP="00BC4359">
            <w:pPr>
              <w:pStyle w:val="Default"/>
              <w:jc w:val="center"/>
              <w:rPr>
                <w:rFonts w:ascii="Times New Roman" w:hAnsi="Times New Roman" w:cs="Times New Roman"/>
                <w:b/>
                <w:sz w:val="20"/>
                <w:szCs w:val="20"/>
              </w:rPr>
            </w:pPr>
            <w:r w:rsidRPr="007739A2">
              <w:rPr>
                <w:rFonts w:ascii="Times New Roman" w:hAnsi="Times New Roman" w:cs="Times New Roman"/>
                <w:b/>
                <w:sz w:val="20"/>
                <w:szCs w:val="20"/>
              </w:rPr>
              <w:t>A9</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pStyle w:val="Default"/>
              <w:jc w:val="center"/>
              <w:rPr>
                <w:rFonts w:ascii="Times New Roman" w:hAnsi="Times New Roman" w:cs="Times New Roman"/>
                <w:b/>
                <w:sz w:val="20"/>
                <w:szCs w:val="20"/>
              </w:rPr>
            </w:pPr>
            <w:r w:rsidRPr="00202B64">
              <w:rPr>
                <w:rFonts w:ascii="Times New Roman" w:hAnsi="Times New Roman" w:cs="Times New Roman"/>
                <w:b/>
                <w:sz w:val="20"/>
                <w:szCs w:val="20"/>
              </w:rPr>
              <w:t>Índice de Consumo de Água</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Volume de Água Consumido</w:t>
            </w:r>
          </w:p>
          <w:p w:rsidR="00E32574" w:rsidRPr="00202B64" w:rsidRDefault="00E32574" w:rsidP="00BC4359">
            <w:pPr>
              <w:pStyle w:val="Default"/>
              <w:jc w:val="center"/>
              <w:rPr>
                <w:rFonts w:ascii="Times New Roman" w:hAnsi="Times New Roman" w:cs="Times New Roman"/>
                <w:sz w:val="20"/>
                <w:szCs w:val="20"/>
              </w:rPr>
            </w:pPr>
            <w:r w:rsidRPr="00202B64">
              <w:rPr>
                <w:rFonts w:ascii="Times New Roman" w:hAnsi="Times New Roman" w:cs="Times New Roman"/>
                <w:sz w:val="20"/>
                <w:szCs w:val="20"/>
              </w:rPr>
              <w:t>Volume de Água (Produzido – De Serviço)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BC4359">
            <w:pPr>
              <w:pStyle w:val="Default"/>
              <w:jc w:val="center"/>
              <w:rPr>
                <w:rFonts w:ascii="Times New Roman" w:hAnsi="Times New Roman" w:cs="Times New Roman"/>
                <w:sz w:val="20"/>
                <w:szCs w:val="20"/>
              </w:rPr>
            </w:pPr>
            <w:r>
              <w:rPr>
                <w:rFonts w:ascii="Times New Roman" w:hAnsi="Times New Roman" w:cs="Times New Roman"/>
                <w:b/>
                <w:sz w:val="20"/>
                <w:szCs w:val="20"/>
              </w:rPr>
              <w:t xml:space="preserve">75,25 </w:t>
            </w:r>
            <w:r w:rsidRPr="00202B64">
              <w:rPr>
                <w:rFonts w:ascii="Times New Roman" w:hAnsi="Times New Roman" w:cs="Times New Roman"/>
                <w:b/>
                <w:sz w:val="20"/>
                <w:szCs w:val="20"/>
              </w:rPr>
              <w:t>%</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7739A2" w:rsidRDefault="00E32574" w:rsidP="00BC4359">
            <w:pPr>
              <w:pStyle w:val="Default"/>
              <w:jc w:val="center"/>
              <w:rPr>
                <w:rFonts w:ascii="Times New Roman" w:hAnsi="Times New Roman" w:cs="Times New Roman"/>
                <w:b/>
                <w:sz w:val="20"/>
                <w:szCs w:val="20"/>
              </w:rPr>
            </w:pPr>
            <w:r w:rsidRPr="007739A2">
              <w:rPr>
                <w:rFonts w:ascii="Times New Roman" w:hAnsi="Times New Roman" w:cs="Times New Roman"/>
                <w:b/>
                <w:sz w:val="20"/>
                <w:szCs w:val="20"/>
              </w:rPr>
              <w:t>A10</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pStyle w:val="Default"/>
              <w:jc w:val="center"/>
              <w:rPr>
                <w:rFonts w:ascii="Times New Roman" w:hAnsi="Times New Roman" w:cs="Times New Roman"/>
                <w:b/>
                <w:sz w:val="20"/>
                <w:szCs w:val="20"/>
              </w:rPr>
            </w:pPr>
            <w:r w:rsidRPr="00202B64">
              <w:rPr>
                <w:rFonts w:ascii="Times New Roman" w:hAnsi="Times New Roman" w:cs="Times New Roman"/>
                <w:b/>
                <w:sz w:val="20"/>
                <w:szCs w:val="20"/>
              </w:rPr>
              <w:t>Consumo Médio de Água por Economia</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Volume de Água Consumido</w:t>
            </w:r>
          </w:p>
          <w:p w:rsidR="00E32574" w:rsidRPr="00202B64" w:rsidRDefault="00E32574" w:rsidP="00BC4359">
            <w:pPr>
              <w:pStyle w:val="Default"/>
              <w:jc w:val="center"/>
              <w:rPr>
                <w:rFonts w:ascii="Times New Roman" w:hAnsi="Times New Roman" w:cs="Times New Roman"/>
                <w:sz w:val="20"/>
                <w:szCs w:val="20"/>
              </w:rPr>
            </w:pPr>
            <w:r w:rsidRPr="00202B64">
              <w:rPr>
                <w:rFonts w:ascii="Times New Roman" w:hAnsi="Times New Roman" w:cs="Times New Roman"/>
                <w:sz w:val="20"/>
                <w:szCs w:val="20"/>
              </w:rPr>
              <w:t>Quantidade de economias Ativas de Água</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7739A2" w:rsidRDefault="00E32574" w:rsidP="00BC4359">
            <w:pPr>
              <w:spacing w:after="0" w:line="240" w:lineRule="auto"/>
              <w:jc w:val="center"/>
              <w:rPr>
                <w:b/>
                <w:sz w:val="20"/>
                <w:szCs w:val="20"/>
              </w:rPr>
            </w:pPr>
            <w:r w:rsidRPr="007739A2">
              <w:rPr>
                <w:b/>
                <w:sz w:val="20"/>
                <w:szCs w:val="20"/>
              </w:rPr>
              <w:t>14,05 m</w:t>
            </w:r>
            <w:r w:rsidRPr="007739A2">
              <w:rPr>
                <w:b/>
                <w:sz w:val="20"/>
                <w:szCs w:val="20"/>
                <w:vertAlign w:val="superscript"/>
              </w:rPr>
              <w:t>3</w:t>
            </w:r>
            <w:r w:rsidRPr="007739A2">
              <w:rPr>
                <w:b/>
                <w:sz w:val="20"/>
                <w:szCs w:val="20"/>
              </w:rPr>
              <w:t xml:space="preserve"> / mês/</w:t>
            </w:r>
          </w:p>
          <w:p w:rsidR="00E32574" w:rsidRPr="00202B64" w:rsidRDefault="00E32574" w:rsidP="00BC4359">
            <w:pPr>
              <w:pStyle w:val="Default"/>
              <w:jc w:val="center"/>
              <w:rPr>
                <w:rFonts w:ascii="Times New Roman" w:hAnsi="Times New Roman" w:cs="Times New Roman"/>
                <w:sz w:val="20"/>
                <w:szCs w:val="20"/>
              </w:rPr>
            </w:pPr>
            <w:r w:rsidRPr="007739A2">
              <w:rPr>
                <w:rFonts w:ascii="Times New Roman" w:hAnsi="Times New Roman" w:cs="Times New Roman"/>
                <w:b/>
                <w:sz w:val="20"/>
                <w:szCs w:val="20"/>
              </w:rPr>
              <w:t>economia</w:t>
            </w:r>
          </w:p>
        </w:tc>
      </w:tr>
      <w:tr w:rsidR="00E32574" w:rsidRPr="00202B64" w:rsidTr="008C148B">
        <w:trPr>
          <w:trHeight w:val="637"/>
        </w:trPr>
        <w:tc>
          <w:tcPr>
            <w:tcW w:w="7308" w:type="dxa"/>
            <w:gridSpan w:val="3"/>
            <w:tcBorders>
              <w:top w:val="single" w:sz="6" w:space="0" w:color="000000"/>
              <w:left w:val="single" w:sz="2" w:space="0" w:color="000000"/>
              <w:bottom w:val="single" w:sz="6" w:space="0" w:color="000000"/>
              <w:right w:val="single" w:sz="4" w:space="0" w:color="000000"/>
            </w:tcBorders>
            <w:vAlign w:val="center"/>
          </w:tcPr>
          <w:p w:rsidR="00E32574" w:rsidRPr="007739A2" w:rsidRDefault="00E32574" w:rsidP="00BC4359">
            <w:pPr>
              <w:spacing w:after="0" w:line="240" w:lineRule="auto"/>
              <w:jc w:val="center"/>
              <w:rPr>
                <w:b/>
                <w:sz w:val="20"/>
                <w:szCs w:val="20"/>
                <w:u w:val="single"/>
              </w:rPr>
            </w:pPr>
            <w:r w:rsidRPr="007739A2">
              <w:rPr>
                <w:b/>
                <w:sz w:val="20"/>
                <w:szCs w:val="20"/>
                <w:u w:val="single"/>
              </w:rPr>
              <w:t>INDICES FINANCEIROS IF</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7739A2" w:rsidRDefault="00E32574" w:rsidP="00BC4359">
            <w:pPr>
              <w:spacing w:after="0" w:line="240" w:lineRule="auto"/>
              <w:jc w:val="center"/>
              <w:rPr>
                <w:b/>
                <w:sz w:val="20"/>
                <w:szCs w:val="20"/>
              </w:rPr>
            </w:pPr>
            <w:r w:rsidRPr="007739A2">
              <w:rPr>
                <w:b/>
                <w:sz w:val="20"/>
                <w:szCs w:val="20"/>
              </w:rPr>
              <w:t>Unidade</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93FBF" w:rsidRDefault="00E32574" w:rsidP="00BC4359">
            <w:pPr>
              <w:pStyle w:val="Default"/>
              <w:jc w:val="center"/>
              <w:rPr>
                <w:rFonts w:ascii="Times New Roman" w:hAnsi="Times New Roman" w:cs="Times New Roman"/>
                <w:b/>
                <w:sz w:val="20"/>
                <w:szCs w:val="20"/>
              </w:rPr>
            </w:pPr>
            <w:r w:rsidRPr="00F93FBF">
              <w:rPr>
                <w:rFonts w:ascii="Times New Roman" w:hAnsi="Times New Roman" w:cs="Times New Roman"/>
                <w:b/>
                <w:sz w:val="20"/>
                <w:szCs w:val="20"/>
              </w:rPr>
              <w:t>A11</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pStyle w:val="Default"/>
              <w:jc w:val="center"/>
              <w:rPr>
                <w:rFonts w:ascii="Times New Roman" w:hAnsi="Times New Roman" w:cs="Times New Roman"/>
                <w:b/>
                <w:sz w:val="20"/>
                <w:szCs w:val="20"/>
              </w:rPr>
            </w:pPr>
            <w:r w:rsidRPr="00202B64">
              <w:rPr>
                <w:rFonts w:ascii="Times New Roman" w:hAnsi="Times New Roman" w:cs="Times New Roman"/>
                <w:b/>
                <w:sz w:val="20"/>
                <w:szCs w:val="20"/>
              </w:rPr>
              <w:t>Despesa de Exploração por m</w:t>
            </w:r>
            <w:r w:rsidRPr="00202B64">
              <w:rPr>
                <w:rFonts w:ascii="Times New Roman" w:hAnsi="Times New Roman" w:cs="Times New Roman"/>
                <w:b/>
                <w:sz w:val="20"/>
                <w:szCs w:val="20"/>
                <w:vertAlign w:val="superscript"/>
              </w:rPr>
              <w:t>3</w:t>
            </w:r>
            <w:r w:rsidRPr="00202B64">
              <w:rPr>
                <w:rFonts w:ascii="Times New Roman" w:hAnsi="Times New Roman" w:cs="Times New Roman"/>
                <w:b/>
                <w:sz w:val="20"/>
                <w:szCs w:val="20"/>
              </w:rPr>
              <w:t xml:space="preserve"> Faturado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Despesa de Exploração</w:t>
            </w:r>
          </w:p>
          <w:p w:rsidR="00E32574" w:rsidRPr="00202B64" w:rsidRDefault="00E32574" w:rsidP="00BC4359">
            <w:pPr>
              <w:spacing w:after="0" w:line="240" w:lineRule="auto"/>
              <w:jc w:val="center"/>
              <w:rPr>
                <w:sz w:val="20"/>
                <w:szCs w:val="20"/>
                <w:u w:val="single"/>
              </w:rPr>
            </w:pPr>
            <w:r w:rsidRPr="00202B64">
              <w:rPr>
                <w:sz w:val="20"/>
                <w:szCs w:val="20"/>
              </w:rPr>
              <w:t>Volume Total Faturado (Água + Esgoto)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u w:val="single"/>
              </w:rPr>
            </w:pPr>
            <w:r>
              <w:rPr>
                <w:b/>
                <w:sz w:val="20"/>
                <w:szCs w:val="20"/>
              </w:rPr>
              <w:t xml:space="preserve">2,06 </w:t>
            </w:r>
            <w:r w:rsidRPr="00F93FBF">
              <w:rPr>
                <w:b/>
                <w:sz w:val="20"/>
                <w:szCs w:val="20"/>
              </w:rPr>
              <w:t>R$ / m</w:t>
            </w:r>
            <w:r w:rsidRPr="00F93FBF">
              <w:rPr>
                <w:b/>
                <w:sz w:val="20"/>
                <w:szCs w:val="20"/>
                <w:vertAlign w:val="superscript"/>
              </w:rPr>
              <w:t>3</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93FBF" w:rsidRDefault="00E32574" w:rsidP="00BC4359">
            <w:pPr>
              <w:pStyle w:val="Default"/>
              <w:jc w:val="center"/>
              <w:rPr>
                <w:rFonts w:ascii="Times New Roman" w:hAnsi="Times New Roman" w:cs="Times New Roman"/>
                <w:b/>
                <w:sz w:val="20"/>
                <w:szCs w:val="20"/>
              </w:rPr>
            </w:pPr>
            <w:r w:rsidRPr="00F93FBF">
              <w:rPr>
                <w:rFonts w:ascii="Times New Roman" w:hAnsi="Times New Roman" w:cs="Times New Roman"/>
                <w:b/>
                <w:sz w:val="20"/>
                <w:szCs w:val="20"/>
              </w:rPr>
              <w:t>A12</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A04754" w:rsidRDefault="00E32574" w:rsidP="00E723BE">
            <w:pPr>
              <w:pStyle w:val="Ttulo4"/>
              <w:rPr>
                <w:b w:val="0"/>
                <w:lang w:val="pt-BR"/>
              </w:rPr>
            </w:pPr>
            <w:r w:rsidRPr="00B571D8">
              <w:rPr>
                <w:lang w:val="pt-BR"/>
              </w:rPr>
              <w:t>Despesa de Exploração por Economia</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Despesas de Exploração</w:t>
            </w:r>
          </w:p>
          <w:p w:rsidR="00E32574" w:rsidRPr="00202B64" w:rsidRDefault="00E32574" w:rsidP="00BC4359">
            <w:pPr>
              <w:spacing w:after="0" w:line="240" w:lineRule="auto"/>
              <w:jc w:val="center"/>
              <w:rPr>
                <w:sz w:val="20"/>
                <w:szCs w:val="20"/>
                <w:u w:val="single"/>
              </w:rPr>
            </w:pPr>
            <w:r w:rsidRPr="00202B64">
              <w:rPr>
                <w:sz w:val="20"/>
                <w:szCs w:val="20"/>
              </w:rPr>
              <w:t>Quantidade de economias Ativas (água + Esgoto)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250,58</w:t>
            </w:r>
            <w:r w:rsidRPr="00826C9A">
              <w:rPr>
                <w:b/>
                <w:sz w:val="20"/>
                <w:szCs w:val="20"/>
              </w:rPr>
              <w:t xml:space="preserve"> R$ / ano</w:t>
            </w:r>
            <w:r>
              <w:rPr>
                <w:b/>
                <w:sz w:val="20"/>
                <w:szCs w:val="20"/>
              </w:rPr>
              <w:t>* e</w:t>
            </w:r>
            <w:r w:rsidRPr="00F93FBF">
              <w:rPr>
                <w:b/>
                <w:sz w:val="20"/>
                <w:szCs w:val="20"/>
              </w:rPr>
              <w:t>conom</w:t>
            </w:r>
            <w:r>
              <w:rPr>
                <w:b/>
                <w:sz w:val="20"/>
                <w:szCs w:val="20"/>
              </w:rPr>
              <w:t>.</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93FBF" w:rsidRDefault="00E32574" w:rsidP="00BC4359">
            <w:pPr>
              <w:pStyle w:val="Default"/>
              <w:jc w:val="center"/>
              <w:rPr>
                <w:rFonts w:ascii="Times New Roman" w:hAnsi="Times New Roman" w:cs="Times New Roman"/>
                <w:b/>
                <w:sz w:val="20"/>
                <w:szCs w:val="20"/>
              </w:rPr>
            </w:pPr>
            <w:r w:rsidRPr="00F93FBF">
              <w:rPr>
                <w:rFonts w:ascii="Times New Roman" w:hAnsi="Times New Roman" w:cs="Times New Roman"/>
                <w:b/>
                <w:sz w:val="20"/>
                <w:szCs w:val="20"/>
              </w:rPr>
              <w:t>A13</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A04754" w:rsidRDefault="00E32574" w:rsidP="00E723BE">
            <w:pPr>
              <w:pStyle w:val="Ttulo4"/>
              <w:rPr>
                <w:b w:val="0"/>
                <w:lang w:val="pt-BR"/>
              </w:rPr>
            </w:pPr>
            <w:r w:rsidRPr="00B571D8">
              <w:rPr>
                <w:lang w:val="pt-BR"/>
              </w:rPr>
              <w:t>Índice de Faturamento de Água</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Volume de Água Faturado</w:t>
            </w:r>
          </w:p>
          <w:p w:rsidR="00E32574" w:rsidRPr="00202B64" w:rsidRDefault="00E32574" w:rsidP="00BC4359">
            <w:pPr>
              <w:spacing w:after="0" w:line="240" w:lineRule="auto"/>
              <w:jc w:val="center"/>
              <w:rPr>
                <w:sz w:val="20"/>
                <w:szCs w:val="20"/>
                <w:u w:val="single"/>
              </w:rPr>
            </w:pPr>
            <w:r w:rsidRPr="00202B64">
              <w:rPr>
                <w:sz w:val="20"/>
                <w:szCs w:val="20"/>
              </w:rPr>
              <w:t>Volume de Água (Produzido – De Serviço)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99,77</w:t>
            </w:r>
            <w:r w:rsidRPr="00F93FBF">
              <w:rPr>
                <w:b/>
                <w:sz w:val="20"/>
                <w:szCs w:val="20"/>
              </w:rPr>
              <w:t>%</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93FBF" w:rsidRDefault="00E32574" w:rsidP="00BC4359">
            <w:pPr>
              <w:pStyle w:val="Default"/>
              <w:jc w:val="center"/>
              <w:rPr>
                <w:rFonts w:ascii="Times New Roman" w:hAnsi="Times New Roman" w:cs="Times New Roman"/>
                <w:b/>
                <w:sz w:val="20"/>
                <w:szCs w:val="20"/>
              </w:rPr>
            </w:pPr>
            <w:r w:rsidRPr="00F93FBF">
              <w:rPr>
                <w:rFonts w:ascii="Times New Roman" w:hAnsi="Times New Roman" w:cs="Times New Roman"/>
                <w:b/>
                <w:sz w:val="20"/>
                <w:szCs w:val="20"/>
              </w:rPr>
              <w:t>A14</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A04754" w:rsidRDefault="00E32574" w:rsidP="00E723BE">
            <w:pPr>
              <w:pStyle w:val="Ttulo4"/>
              <w:rPr>
                <w:b w:val="0"/>
                <w:lang w:val="pt-BR"/>
              </w:rPr>
            </w:pPr>
            <w:r w:rsidRPr="00B571D8">
              <w:rPr>
                <w:lang w:val="pt-BR"/>
              </w:rPr>
              <w:t>Índice de Evasão de Receitas</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Receita Operacional Total – Arrecadação Total</w:t>
            </w:r>
          </w:p>
          <w:p w:rsidR="00E32574" w:rsidRPr="00202B64" w:rsidRDefault="00E32574" w:rsidP="00BC4359">
            <w:pPr>
              <w:spacing w:after="0" w:line="240" w:lineRule="auto"/>
              <w:jc w:val="center"/>
              <w:rPr>
                <w:sz w:val="20"/>
                <w:szCs w:val="20"/>
                <w:u w:val="single"/>
              </w:rPr>
            </w:pPr>
            <w:r w:rsidRPr="00202B64">
              <w:rPr>
                <w:sz w:val="20"/>
                <w:szCs w:val="20"/>
              </w:rPr>
              <w:t>Receita Operacional Total</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- 7,69 </w:t>
            </w:r>
            <w:r w:rsidRPr="00F93FBF">
              <w:rPr>
                <w:b/>
                <w:sz w:val="20"/>
                <w:szCs w:val="20"/>
              </w:rPr>
              <w:t>%</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93FBF" w:rsidRDefault="00E32574" w:rsidP="00BC4359">
            <w:pPr>
              <w:pStyle w:val="Default"/>
              <w:jc w:val="center"/>
              <w:rPr>
                <w:rFonts w:ascii="Times New Roman" w:hAnsi="Times New Roman" w:cs="Times New Roman"/>
                <w:b/>
                <w:sz w:val="20"/>
                <w:szCs w:val="20"/>
              </w:rPr>
            </w:pPr>
            <w:r w:rsidRPr="00F93FBF">
              <w:rPr>
                <w:rFonts w:ascii="Times New Roman" w:hAnsi="Times New Roman" w:cs="Times New Roman"/>
                <w:b/>
                <w:sz w:val="20"/>
                <w:szCs w:val="20"/>
              </w:rPr>
              <w:t>A15</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Margem da Despesa de Exploração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Despesas de Exploração</w:t>
            </w:r>
          </w:p>
          <w:p w:rsidR="00E32574" w:rsidRPr="00202B64" w:rsidRDefault="00E32574" w:rsidP="00BC4359">
            <w:pPr>
              <w:spacing w:after="0" w:line="240" w:lineRule="auto"/>
              <w:jc w:val="center"/>
              <w:rPr>
                <w:sz w:val="20"/>
                <w:szCs w:val="20"/>
                <w:u w:val="single"/>
              </w:rPr>
            </w:pPr>
            <w:r w:rsidRPr="00202B64">
              <w:rPr>
                <w:sz w:val="20"/>
                <w:szCs w:val="20"/>
              </w:rPr>
              <w:t>Receita de Operação Direta (Água + Esgoto)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97,53 </w:t>
            </w:r>
            <w:r w:rsidRPr="00F93FBF">
              <w:rPr>
                <w:b/>
                <w:sz w:val="20"/>
                <w:szCs w:val="20"/>
              </w:rPr>
              <w:t>%</w:t>
            </w:r>
          </w:p>
        </w:tc>
      </w:tr>
      <w:tr w:rsidR="00E32574" w:rsidRPr="00202B64" w:rsidTr="00AB7E80">
        <w:trPr>
          <w:trHeight w:val="102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93FBF" w:rsidRDefault="00E32574" w:rsidP="00BC4359">
            <w:pPr>
              <w:pStyle w:val="Default"/>
              <w:jc w:val="center"/>
              <w:rPr>
                <w:rFonts w:ascii="Times New Roman" w:hAnsi="Times New Roman" w:cs="Times New Roman"/>
                <w:b/>
                <w:sz w:val="20"/>
                <w:szCs w:val="20"/>
              </w:rPr>
            </w:pPr>
            <w:r w:rsidRPr="00F93FBF">
              <w:rPr>
                <w:rFonts w:ascii="Times New Roman" w:hAnsi="Times New Roman" w:cs="Times New Roman"/>
                <w:b/>
                <w:sz w:val="20"/>
                <w:szCs w:val="20"/>
              </w:rPr>
              <w:t>A16</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Margem da Despesa com Pessoal Próprio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Despesas com Pessoal Próprio</w:t>
            </w:r>
          </w:p>
          <w:p w:rsidR="00E32574" w:rsidRPr="00202B64" w:rsidRDefault="00E32574" w:rsidP="00BC4359">
            <w:pPr>
              <w:spacing w:after="0" w:line="240" w:lineRule="auto"/>
              <w:jc w:val="center"/>
              <w:rPr>
                <w:sz w:val="20"/>
                <w:szCs w:val="20"/>
                <w:u w:val="single"/>
              </w:rPr>
            </w:pPr>
            <w:r w:rsidRPr="00202B64">
              <w:rPr>
                <w:sz w:val="20"/>
                <w:szCs w:val="20"/>
              </w:rPr>
              <w:t>Receita Operacional Direta (Água + Esgoto )</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46,88 </w:t>
            </w:r>
            <w:r w:rsidRPr="00F93FBF">
              <w:rPr>
                <w:b/>
                <w:sz w:val="20"/>
                <w:szCs w:val="20"/>
              </w:rPr>
              <w:t>%</w:t>
            </w:r>
          </w:p>
        </w:tc>
      </w:tr>
      <w:tr w:rsidR="00E32574" w:rsidRPr="00202B64" w:rsidTr="00AB7E80">
        <w:trPr>
          <w:trHeight w:val="124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93FBF" w:rsidRDefault="00E32574" w:rsidP="00BC4359">
            <w:pPr>
              <w:pStyle w:val="Default"/>
              <w:jc w:val="center"/>
              <w:rPr>
                <w:rFonts w:ascii="Times New Roman" w:hAnsi="Times New Roman" w:cs="Times New Roman"/>
                <w:b/>
                <w:sz w:val="20"/>
                <w:szCs w:val="20"/>
              </w:rPr>
            </w:pPr>
            <w:r w:rsidRPr="00F93FBF">
              <w:rPr>
                <w:rFonts w:ascii="Times New Roman" w:hAnsi="Times New Roman" w:cs="Times New Roman"/>
                <w:b/>
                <w:sz w:val="20"/>
                <w:szCs w:val="20"/>
              </w:rPr>
              <w:t>A17</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Margem da Despesa com Pessoal Total</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Despesas Pessoal Próprio + Despesas Serviços de Terceiros</w:t>
            </w:r>
          </w:p>
          <w:p w:rsidR="00E32574" w:rsidRPr="00202B64" w:rsidRDefault="00E32574" w:rsidP="00BC4359">
            <w:pPr>
              <w:spacing w:after="0" w:line="240" w:lineRule="auto"/>
              <w:jc w:val="center"/>
              <w:rPr>
                <w:sz w:val="20"/>
                <w:szCs w:val="20"/>
                <w:u w:val="single"/>
              </w:rPr>
            </w:pPr>
            <w:r w:rsidRPr="00202B64">
              <w:rPr>
                <w:sz w:val="20"/>
                <w:szCs w:val="20"/>
              </w:rPr>
              <w:t>Receita Operacional Direta (Água + Esgoto)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70,43 </w:t>
            </w:r>
            <w:r w:rsidRPr="00F93FBF">
              <w:rPr>
                <w:b/>
                <w:sz w:val="20"/>
                <w:szCs w:val="20"/>
              </w:rPr>
              <w:t>%</w:t>
            </w:r>
          </w:p>
        </w:tc>
      </w:tr>
      <w:tr w:rsidR="00E32574" w:rsidRPr="00202B64" w:rsidTr="00AB7E80">
        <w:trPr>
          <w:trHeight w:val="124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93FBF" w:rsidRDefault="00E32574" w:rsidP="00BC4359">
            <w:pPr>
              <w:pStyle w:val="Default"/>
              <w:jc w:val="center"/>
              <w:rPr>
                <w:rFonts w:ascii="Times New Roman" w:hAnsi="Times New Roman" w:cs="Times New Roman"/>
                <w:b/>
                <w:sz w:val="20"/>
                <w:szCs w:val="20"/>
              </w:rPr>
            </w:pPr>
            <w:r w:rsidRPr="00F93FBF">
              <w:rPr>
                <w:rFonts w:ascii="Times New Roman" w:hAnsi="Times New Roman" w:cs="Times New Roman"/>
                <w:b/>
                <w:sz w:val="20"/>
                <w:szCs w:val="20"/>
              </w:rPr>
              <w:t>A18</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Margem do Serviço da Dívida</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Despesas do Serviço da Dívida (juros e encargos + amortizações)</w:t>
            </w:r>
          </w:p>
          <w:p w:rsidR="00E32574" w:rsidRPr="00202B64" w:rsidRDefault="00E32574" w:rsidP="00BC4359">
            <w:pPr>
              <w:spacing w:after="0" w:line="240" w:lineRule="auto"/>
              <w:jc w:val="center"/>
              <w:rPr>
                <w:sz w:val="20"/>
                <w:szCs w:val="20"/>
                <w:u w:val="single"/>
              </w:rPr>
            </w:pPr>
            <w:r w:rsidRPr="00202B64">
              <w:rPr>
                <w:sz w:val="20"/>
                <w:szCs w:val="20"/>
              </w:rPr>
              <w:t>Receita Operacional Direta (Água + Esgoto)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5,02 </w:t>
            </w:r>
            <w:r w:rsidRPr="00F93FBF">
              <w:rPr>
                <w:b/>
                <w:sz w:val="20"/>
                <w:szCs w:val="20"/>
              </w:rPr>
              <w:t>%</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lastRenderedPageBreak/>
              <w:t>A19</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Participação da Despesa com Pessoal Próprio nas Despesas de Exploração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Despesas com Pessoal Próprio</w:t>
            </w:r>
          </w:p>
          <w:p w:rsidR="00E32574" w:rsidRPr="00202B64" w:rsidRDefault="00E32574" w:rsidP="00BC4359">
            <w:pPr>
              <w:spacing w:after="0" w:line="240" w:lineRule="auto"/>
              <w:jc w:val="center"/>
              <w:rPr>
                <w:sz w:val="20"/>
                <w:szCs w:val="20"/>
                <w:u w:val="single"/>
              </w:rPr>
            </w:pPr>
            <w:r w:rsidRPr="00202B64">
              <w:rPr>
                <w:sz w:val="20"/>
                <w:szCs w:val="20"/>
              </w:rPr>
              <w:t>Despesa de Exploração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48,06 </w:t>
            </w:r>
            <w:r w:rsidRPr="00F93FBF">
              <w:rPr>
                <w:b/>
                <w:sz w:val="20"/>
                <w:szCs w:val="20"/>
              </w:rPr>
              <w:t>%</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A20</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BC4359">
            <w:pPr>
              <w:pStyle w:val="Ttulo4"/>
              <w:rPr>
                <w:lang w:val="pt-BR"/>
              </w:rPr>
            </w:pPr>
            <w:r w:rsidRPr="00B571D8">
              <w:rPr>
                <w:lang w:val="pt-BR"/>
              </w:rPr>
              <w:t>Participação da Desp. Pessoal Total nas Desp. Exploração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Desp.Pessoal Próprio + Desp. Com Serviços Terceiros</w:t>
            </w:r>
          </w:p>
          <w:p w:rsidR="00E32574" w:rsidRPr="00202B64" w:rsidRDefault="00E32574" w:rsidP="00BC4359">
            <w:pPr>
              <w:spacing w:after="0" w:line="240" w:lineRule="auto"/>
              <w:jc w:val="center"/>
              <w:rPr>
                <w:sz w:val="20"/>
                <w:szCs w:val="20"/>
                <w:u w:val="single"/>
              </w:rPr>
            </w:pPr>
            <w:r w:rsidRPr="00202B64">
              <w:rPr>
                <w:sz w:val="20"/>
                <w:szCs w:val="20"/>
              </w:rPr>
              <w:t>Despesas de Exploração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72,22 </w:t>
            </w:r>
            <w:r w:rsidRPr="00F93FBF">
              <w:rPr>
                <w:b/>
                <w:sz w:val="20"/>
                <w:szCs w:val="20"/>
              </w:rPr>
              <w:t>%</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A21</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Participação da Despesa com Energia Elétrica nas Despesas de Exploração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Despesas com Energia Elétrica</w:t>
            </w:r>
          </w:p>
          <w:p w:rsidR="00E32574" w:rsidRPr="00202B64" w:rsidRDefault="00E32574" w:rsidP="00BC4359">
            <w:pPr>
              <w:spacing w:after="0" w:line="240" w:lineRule="auto"/>
              <w:jc w:val="center"/>
              <w:rPr>
                <w:sz w:val="20"/>
                <w:szCs w:val="20"/>
                <w:u w:val="single"/>
              </w:rPr>
            </w:pPr>
            <w:r w:rsidRPr="00202B64">
              <w:rPr>
                <w:sz w:val="20"/>
                <w:szCs w:val="20"/>
              </w:rPr>
              <w:t>Despesas de Exploração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11,56 </w:t>
            </w:r>
            <w:r w:rsidRPr="00F93FBF">
              <w:rPr>
                <w:b/>
                <w:sz w:val="20"/>
                <w:szCs w:val="20"/>
              </w:rPr>
              <w:t>%</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A22</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Participação da Desp. Com Produtos químicos nas Despesas de Exploração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Despesas com Produtos Químicos</w:t>
            </w:r>
          </w:p>
          <w:p w:rsidR="00E32574" w:rsidRPr="00202B64" w:rsidRDefault="00E32574" w:rsidP="00BC4359">
            <w:pPr>
              <w:spacing w:after="0" w:line="240" w:lineRule="auto"/>
              <w:jc w:val="center"/>
              <w:rPr>
                <w:sz w:val="20"/>
                <w:szCs w:val="20"/>
                <w:u w:val="single"/>
              </w:rPr>
            </w:pPr>
            <w:r w:rsidRPr="00202B64">
              <w:rPr>
                <w:sz w:val="20"/>
                <w:szCs w:val="20"/>
              </w:rPr>
              <w:t>Despesas de Exploração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0,48 </w:t>
            </w:r>
            <w:r w:rsidRPr="00F93FBF">
              <w:rPr>
                <w:b/>
                <w:sz w:val="20"/>
                <w:szCs w:val="20"/>
              </w:rPr>
              <w:t>%</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A23</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Participação da Rec.Oper.Direta de Água na Rec.Oper.Total</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Receita Operacional Direta de Água</w:t>
            </w:r>
          </w:p>
          <w:p w:rsidR="00E32574" w:rsidRPr="00202B64" w:rsidRDefault="00E32574" w:rsidP="00BC4359">
            <w:pPr>
              <w:spacing w:after="0" w:line="240" w:lineRule="auto"/>
              <w:jc w:val="center"/>
              <w:rPr>
                <w:sz w:val="20"/>
                <w:szCs w:val="20"/>
                <w:u w:val="single"/>
              </w:rPr>
            </w:pPr>
            <w:r w:rsidRPr="00202B64">
              <w:rPr>
                <w:sz w:val="20"/>
                <w:szCs w:val="20"/>
              </w:rPr>
              <w:t>Receita Operacional Total</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70,76 </w:t>
            </w:r>
            <w:r w:rsidRPr="00F93FBF">
              <w:rPr>
                <w:b/>
                <w:sz w:val="20"/>
                <w:szCs w:val="20"/>
              </w:rPr>
              <w:t>%</w:t>
            </w:r>
          </w:p>
        </w:tc>
      </w:tr>
      <w:tr w:rsidR="00E32574" w:rsidRPr="00202B64" w:rsidTr="00AB7E80">
        <w:trPr>
          <w:trHeight w:val="102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A24</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Default="00E32574" w:rsidP="00E723BE">
            <w:pPr>
              <w:pStyle w:val="Ttulo4"/>
              <w:rPr>
                <w:lang w:val="pt-BR"/>
              </w:rPr>
            </w:pPr>
            <w:r w:rsidRPr="00B571D8">
              <w:rPr>
                <w:lang w:val="pt-BR"/>
              </w:rPr>
              <w:t>Tarifa Média Praticada</w:t>
            </w:r>
          </w:p>
          <w:p w:rsidR="00E64A13" w:rsidRPr="00E64A13" w:rsidRDefault="00E64A13" w:rsidP="00E64A13">
            <w:pPr>
              <w:jc w:val="center"/>
              <w:rPr>
                <w:b/>
                <w:sz w:val="20"/>
                <w:szCs w:val="20"/>
                <w:lang w:eastAsia="pt-BR"/>
              </w:rPr>
            </w:pPr>
            <w:r w:rsidRPr="00E64A13">
              <w:rPr>
                <w:b/>
                <w:sz w:val="20"/>
                <w:szCs w:val="20"/>
                <w:lang w:eastAsia="pt-BR"/>
              </w:rPr>
              <w:t>(Foram utilizados dados secundários, pois o SAAE</w:t>
            </w:r>
            <w:r>
              <w:rPr>
                <w:b/>
                <w:sz w:val="20"/>
                <w:szCs w:val="20"/>
                <w:lang w:eastAsia="pt-BR"/>
              </w:rPr>
              <w:t>- Aimorés</w:t>
            </w:r>
            <w:r w:rsidRPr="00E64A13">
              <w:rPr>
                <w:b/>
                <w:sz w:val="20"/>
                <w:szCs w:val="20"/>
                <w:lang w:eastAsia="pt-BR"/>
              </w:rPr>
              <w:t xml:space="preserve"> não forneceu a tabela de formação desta tarifa).</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Receita Operacional Direta (Água + Esgoto)</w:t>
            </w:r>
          </w:p>
          <w:p w:rsidR="00E32574" w:rsidRPr="00202B64" w:rsidRDefault="00E32574" w:rsidP="00BC4359">
            <w:pPr>
              <w:spacing w:after="0" w:line="240" w:lineRule="auto"/>
              <w:jc w:val="center"/>
              <w:rPr>
                <w:sz w:val="20"/>
                <w:szCs w:val="20"/>
                <w:u w:val="single"/>
              </w:rPr>
            </w:pPr>
            <w:r w:rsidRPr="00202B64">
              <w:rPr>
                <w:sz w:val="20"/>
                <w:szCs w:val="20"/>
              </w:rPr>
              <w:t>Volume total Faturado (Água + Esgoto)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2,11</w:t>
            </w:r>
            <w:r w:rsidRPr="00F93FBF">
              <w:rPr>
                <w:b/>
                <w:sz w:val="20"/>
                <w:szCs w:val="20"/>
              </w:rPr>
              <w:t xml:space="preserve"> R$ / m</w:t>
            </w:r>
            <w:r w:rsidRPr="00F93FBF">
              <w:rPr>
                <w:b/>
                <w:sz w:val="20"/>
                <w:szCs w:val="20"/>
                <w:vertAlign w:val="superscript"/>
              </w:rPr>
              <w:t>3</w:t>
            </w:r>
          </w:p>
        </w:tc>
      </w:tr>
      <w:tr w:rsidR="00E32574" w:rsidRPr="00202B64" w:rsidTr="00AB7E80">
        <w:trPr>
          <w:trHeight w:val="102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A25</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Indicador de Desempenho Financeiro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Receita Operacional Direta (Água + Esgoto)</w:t>
            </w:r>
          </w:p>
          <w:p w:rsidR="00E32574" w:rsidRPr="00202B64" w:rsidRDefault="00E32574" w:rsidP="00BC4359">
            <w:pPr>
              <w:spacing w:after="0" w:line="240" w:lineRule="auto"/>
              <w:jc w:val="center"/>
              <w:rPr>
                <w:sz w:val="20"/>
                <w:szCs w:val="20"/>
                <w:u w:val="single"/>
              </w:rPr>
            </w:pPr>
            <w:r w:rsidRPr="00202B64">
              <w:rPr>
                <w:sz w:val="20"/>
                <w:szCs w:val="20"/>
              </w:rPr>
              <w:t>Despesas Totais com os Serviços</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97,65 </w:t>
            </w:r>
            <w:r w:rsidRPr="00F93FBF">
              <w:rPr>
                <w:b/>
                <w:sz w:val="20"/>
                <w:szCs w:val="20"/>
              </w:rPr>
              <w:t>%</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A26</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Índice de Perdas de Faturamento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AB7E80">
            <w:pPr>
              <w:spacing w:after="0" w:line="240" w:lineRule="auto"/>
              <w:jc w:val="center"/>
              <w:rPr>
                <w:sz w:val="20"/>
                <w:szCs w:val="20"/>
                <w:u w:val="single"/>
              </w:rPr>
            </w:pPr>
            <w:r w:rsidRPr="00202B64">
              <w:rPr>
                <w:sz w:val="20"/>
                <w:szCs w:val="20"/>
                <w:u w:val="single"/>
              </w:rPr>
              <w:t>Volume de Água (Produzido – De Serviço) – Vol. Faturado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24,75 %</w:t>
            </w:r>
          </w:p>
        </w:tc>
      </w:tr>
      <w:tr w:rsidR="00E32574" w:rsidRPr="00202B64" w:rsidTr="00AB7E80">
        <w:trPr>
          <w:trHeight w:val="624"/>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A27</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AB7E80">
            <w:pPr>
              <w:pStyle w:val="Ttulo4"/>
              <w:rPr>
                <w:lang w:val="pt-BR"/>
              </w:rPr>
            </w:pPr>
            <w:r w:rsidRPr="00B571D8">
              <w:rPr>
                <w:lang w:val="pt-BR"/>
              </w:rPr>
              <w:t>Liquidez Corrente</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Ativo Circulante</w:t>
            </w:r>
          </w:p>
          <w:p w:rsidR="00E32574" w:rsidRPr="00202B64" w:rsidRDefault="00E32574" w:rsidP="00BC4359">
            <w:pPr>
              <w:spacing w:after="0" w:line="240" w:lineRule="auto"/>
              <w:jc w:val="center"/>
              <w:rPr>
                <w:sz w:val="20"/>
                <w:szCs w:val="20"/>
              </w:rPr>
            </w:pPr>
            <w:r w:rsidRPr="00202B64">
              <w:rPr>
                <w:sz w:val="20"/>
                <w:szCs w:val="20"/>
              </w:rPr>
              <w:t>Passivo Circulante</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15,29</w:t>
            </w:r>
          </w:p>
        </w:tc>
      </w:tr>
      <w:tr w:rsidR="00E32574" w:rsidRPr="00202B64" w:rsidTr="00AB7E80">
        <w:trPr>
          <w:trHeight w:val="107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A28</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Liquidez Geral</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BC4359">
            <w:pPr>
              <w:pStyle w:val="Ttulo4"/>
              <w:rPr>
                <w:b w:val="0"/>
                <w:u w:val="single"/>
                <w:lang w:val="pt-BR"/>
              </w:rPr>
            </w:pPr>
            <w:r w:rsidRPr="00B571D8">
              <w:rPr>
                <w:b w:val="0"/>
                <w:u w:val="single"/>
                <w:lang w:val="pt-BR"/>
              </w:rPr>
              <w:t>Ativo Circulante + Realizável a Longo Prazo</w:t>
            </w:r>
          </w:p>
          <w:p w:rsidR="00E32574" w:rsidRPr="00202B64" w:rsidRDefault="00E32574" w:rsidP="00BC4359">
            <w:pPr>
              <w:spacing w:after="0" w:line="240" w:lineRule="auto"/>
              <w:jc w:val="center"/>
              <w:rPr>
                <w:sz w:val="20"/>
                <w:szCs w:val="20"/>
                <w:u w:val="single"/>
              </w:rPr>
            </w:pPr>
            <w:r w:rsidRPr="00202B64">
              <w:rPr>
                <w:sz w:val="20"/>
                <w:szCs w:val="20"/>
              </w:rPr>
              <w:t>Passivo Circulante + Exigível a Longo Prazo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15,29</w:t>
            </w:r>
          </w:p>
        </w:tc>
      </w:tr>
      <w:tr w:rsidR="00E32574" w:rsidRPr="00202B64" w:rsidTr="00AB7E80">
        <w:trPr>
          <w:trHeight w:val="124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A29</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 xml:space="preserve">Grau de </w:t>
            </w:r>
            <w:r w:rsidR="00E723BE" w:rsidRPr="00B571D8">
              <w:rPr>
                <w:lang w:val="pt-BR"/>
              </w:rPr>
              <w:t>Endividamento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rPr>
            </w:pPr>
            <w:r w:rsidRPr="00202B64">
              <w:rPr>
                <w:sz w:val="20"/>
                <w:szCs w:val="20"/>
              </w:rPr>
              <w:t xml:space="preserve">Passivo Circulante + Exigível a Longo Prazo + Resultado de </w:t>
            </w:r>
            <w:r w:rsidRPr="00202B64">
              <w:rPr>
                <w:sz w:val="20"/>
                <w:szCs w:val="20"/>
                <w:u w:val="single"/>
              </w:rPr>
              <w:t xml:space="preserve">                             Exercícios     Futuros.</w:t>
            </w:r>
          </w:p>
          <w:p w:rsidR="00E32574" w:rsidRPr="00B571D8" w:rsidRDefault="00E32574" w:rsidP="00BC4359">
            <w:pPr>
              <w:pStyle w:val="Ttulo4"/>
              <w:rPr>
                <w:b w:val="0"/>
                <w:u w:val="single"/>
                <w:lang w:val="pt-BR"/>
              </w:rPr>
            </w:pPr>
            <w:r w:rsidRPr="00B571D8">
              <w:rPr>
                <w:b w:val="0"/>
              </w:rPr>
              <w:t>Ativo  Total</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0,0654</w:t>
            </w:r>
          </w:p>
        </w:tc>
      </w:tr>
      <w:tr w:rsidR="00E32574" w:rsidRPr="00202B64" w:rsidTr="00AB7E80">
        <w:trPr>
          <w:trHeight w:val="90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A30</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Margem Operacional com Depreciação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Resultado Operacional com Depreciação</w:t>
            </w:r>
          </w:p>
          <w:p w:rsidR="00E32574" w:rsidRPr="00202B64" w:rsidRDefault="00E32574" w:rsidP="00BC4359">
            <w:pPr>
              <w:spacing w:after="0" w:line="240" w:lineRule="auto"/>
              <w:jc w:val="center"/>
              <w:rPr>
                <w:sz w:val="20"/>
                <w:szCs w:val="20"/>
              </w:rPr>
            </w:pPr>
            <w:r w:rsidRPr="00202B64">
              <w:rPr>
                <w:sz w:val="20"/>
                <w:szCs w:val="20"/>
              </w:rPr>
              <w:t>Receita Operacional</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w:t>
            </w:r>
          </w:p>
        </w:tc>
      </w:tr>
      <w:tr w:rsidR="00E32574" w:rsidRPr="00202B64" w:rsidTr="00AB7E80">
        <w:trPr>
          <w:trHeight w:val="90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A31</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Margem Líquida com Depreciação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Lucro Líquido com Depreciação</w:t>
            </w:r>
          </w:p>
          <w:p w:rsidR="00E32574" w:rsidRPr="00202B64" w:rsidRDefault="00E32574" w:rsidP="00BC4359">
            <w:pPr>
              <w:spacing w:after="0" w:line="240" w:lineRule="auto"/>
              <w:jc w:val="center"/>
              <w:rPr>
                <w:sz w:val="20"/>
                <w:szCs w:val="20"/>
                <w:u w:val="single"/>
              </w:rPr>
            </w:pPr>
            <w:r w:rsidRPr="00202B64">
              <w:rPr>
                <w:sz w:val="20"/>
                <w:szCs w:val="20"/>
              </w:rPr>
              <w:t>Receita Operacional</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w:t>
            </w:r>
          </w:p>
        </w:tc>
      </w:tr>
      <w:tr w:rsidR="00E32574" w:rsidRPr="00202B64" w:rsidTr="00AB7E80">
        <w:trPr>
          <w:trHeight w:val="90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lastRenderedPageBreak/>
              <w:t>A32</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Retorno Sobre o Patrimônio Líquido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Lucro Líquido.</w:t>
            </w:r>
          </w:p>
          <w:p w:rsidR="00E32574" w:rsidRPr="00202B64" w:rsidRDefault="00E32574" w:rsidP="00BC4359">
            <w:pPr>
              <w:spacing w:after="0" w:line="240" w:lineRule="auto"/>
              <w:jc w:val="center"/>
              <w:rPr>
                <w:sz w:val="20"/>
                <w:szCs w:val="20"/>
                <w:u w:val="single"/>
              </w:rPr>
            </w:pPr>
            <w:r w:rsidRPr="00202B64">
              <w:rPr>
                <w:sz w:val="20"/>
                <w:szCs w:val="20"/>
              </w:rPr>
              <w:t>Patrimônio Líquido – Lucro Líquido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w:t>
            </w:r>
          </w:p>
        </w:tc>
      </w:tr>
      <w:tr w:rsidR="00E32574" w:rsidRPr="00202B64" w:rsidTr="00AB7E80">
        <w:trPr>
          <w:trHeight w:val="90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A33</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Composição de Exigibilidades</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Passivo Circulante.</w:t>
            </w:r>
          </w:p>
          <w:p w:rsidR="00E32574" w:rsidRPr="00202B64" w:rsidRDefault="00E32574" w:rsidP="00BC4359">
            <w:pPr>
              <w:spacing w:after="0" w:line="240" w:lineRule="auto"/>
              <w:jc w:val="center"/>
              <w:rPr>
                <w:sz w:val="20"/>
                <w:szCs w:val="20"/>
                <w:u w:val="single"/>
              </w:rPr>
            </w:pPr>
            <w:r w:rsidRPr="00202B64">
              <w:rPr>
                <w:sz w:val="20"/>
                <w:szCs w:val="20"/>
              </w:rPr>
              <w:t>Passivo Circulante + Exigível a Longo Prazo</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100,00 </w:t>
            </w:r>
            <w:r w:rsidRPr="00F93FBF">
              <w:rPr>
                <w:b/>
                <w:sz w:val="20"/>
                <w:szCs w:val="20"/>
              </w:rPr>
              <w:t>%</w:t>
            </w:r>
          </w:p>
        </w:tc>
      </w:tr>
      <w:tr w:rsidR="00E32574" w:rsidRPr="00202B64" w:rsidTr="00AB7E80">
        <w:trPr>
          <w:trHeight w:val="90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A34</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Margem Operacional sem Depreciação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Resultado Operacional sem Depreciação</w:t>
            </w:r>
          </w:p>
          <w:p w:rsidR="00E32574" w:rsidRPr="00202B64" w:rsidRDefault="00E32574" w:rsidP="00BC4359">
            <w:pPr>
              <w:spacing w:after="0" w:line="240" w:lineRule="auto"/>
              <w:jc w:val="center"/>
              <w:rPr>
                <w:sz w:val="20"/>
                <w:szCs w:val="20"/>
                <w:u w:val="single"/>
              </w:rPr>
            </w:pPr>
            <w:r w:rsidRPr="00202B64">
              <w:rPr>
                <w:sz w:val="20"/>
                <w:szCs w:val="20"/>
              </w:rPr>
              <w:t>Resultado Operacional</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100,00 </w:t>
            </w:r>
            <w:r w:rsidRPr="00F93FBF">
              <w:rPr>
                <w:b/>
                <w:sz w:val="20"/>
                <w:szCs w:val="20"/>
              </w:rPr>
              <w:t>%</w:t>
            </w:r>
          </w:p>
        </w:tc>
      </w:tr>
      <w:tr w:rsidR="00E32574" w:rsidRPr="00202B64" w:rsidTr="00AB7E80">
        <w:trPr>
          <w:trHeight w:val="90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A35</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Margem Líquida sem Depreciação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Lucro Líquido sem Depreciação</w:t>
            </w:r>
          </w:p>
          <w:p w:rsidR="00E32574" w:rsidRPr="00202B64" w:rsidRDefault="00E32574" w:rsidP="00BC4359">
            <w:pPr>
              <w:spacing w:after="0" w:line="240" w:lineRule="auto"/>
              <w:jc w:val="center"/>
              <w:rPr>
                <w:sz w:val="20"/>
                <w:szCs w:val="20"/>
                <w:u w:val="single"/>
              </w:rPr>
            </w:pPr>
            <w:r w:rsidRPr="00202B64">
              <w:rPr>
                <w:sz w:val="20"/>
                <w:szCs w:val="20"/>
              </w:rPr>
              <w:t>Receita Operacional</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7,49 </w:t>
            </w:r>
            <w:r w:rsidRPr="00F93FBF">
              <w:rPr>
                <w:b/>
                <w:sz w:val="20"/>
                <w:szCs w:val="20"/>
              </w:rPr>
              <w:t>%</w:t>
            </w:r>
          </w:p>
        </w:tc>
      </w:tr>
      <w:tr w:rsidR="00E32574" w:rsidRPr="00202B64" w:rsidTr="008C148B">
        <w:trPr>
          <w:trHeight w:val="707"/>
        </w:trPr>
        <w:tc>
          <w:tcPr>
            <w:tcW w:w="7308" w:type="dxa"/>
            <w:gridSpan w:val="3"/>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spacing w:after="0" w:line="240" w:lineRule="auto"/>
              <w:jc w:val="center"/>
              <w:rPr>
                <w:b/>
                <w:sz w:val="20"/>
                <w:szCs w:val="20"/>
                <w:u w:val="single"/>
              </w:rPr>
            </w:pPr>
            <w:r w:rsidRPr="00F01CD8">
              <w:rPr>
                <w:b/>
                <w:sz w:val="20"/>
                <w:szCs w:val="20"/>
                <w:u w:val="single"/>
              </w:rPr>
              <w:t>INDICADORES RELATIVOS A RECUSRSOS HUMANOS - IRRH</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sidRPr="00F93FBF">
              <w:rPr>
                <w:b/>
                <w:sz w:val="20"/>
                <w:szCs w:val="20"/>
              </w:rPr>
              <w:t>Unidade</w:t>
            </w:r>
          </w:p>
        </w:tc>
      </w:tr>
      <w:tr w:rsidR="00E32574" w:rsidRPr="00202B64" w:rsidTr="00AB7E80">
        <w:trPr>
          <w:trHeight w:val="102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A36</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spacing w:after="0" w:line="240" w:lineRule="auto"/>
              <w:jc w:val="center"/>
            </w:pPr>
            <w:r w:rsidRPr="00202B64">
              <w:rPr>
                <w:b/>
                <w:sz w:val="20"/>
                <w:szCs w:val="20"/>
              </w:rPr>
              <w:t>Índice de produtividade:  Economias ativas (Água + Esgoto) por pessoa própria</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Quantidade de Economias Ativas ( A+ E )</w:t>
            </w:r>
          </w:p>
          <w:p w:rsidR="00E32574" w:rsidRPr="00202B64" w:rsidRDefault="00E32574" w:rsidP="00BC4359">
            <w:pPr>
              <w:spacing w:after="0" w:line="240" w:lineRule="auto"/>
              <w:jc w:val="center"/>
              <w:rPr>
                <w:sz w:val="20"/>
                <w:szCs w:val="20"/>
                <w:u w:val="single"/>
              </w:rPr>
            </w:pPr>
            <w:r w:rsidRPr="00202B64">
              <w:rPr>
                <w:sz w:val="20"/>
                <w:szCs w:val="20"/>
              </w:rPr>
              <w:t>Quantidade Total de Empregados Próprios</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288,29 </w:t>
            </w:r>
            <w:r w:rsidRPr="00F93FBF">
              <w:rPr>
                <w:b/>
                <w:sz w:val="20"/>
                <w:szCs w:val="20"/>
              </w:rPr>
              <w:t>Econ / Emp</w:t>
            </w:r>
          </w:p>
        </w:tc>
      </w:tr>
      <w:tr w:rsidR="00E32574" w:rsidRPr="00202B64" w:rsidTr="00AB7E80">
        <w:trPr>
          <w:trHeight w:val="624"/>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A37</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A04754" w:rsidRDefault="00E32574" w:rsidP="00E723BE">
            <w:pPr>
              <w:pStyle w:val="Ttulo4"/>
              <w:rPr>
                <w:b w:val="0"/>
                <w:lang w:val="pt-BR"/>
              </w:rPr>
            </w:pPr>
            <w:r w:rsidRPr="00B571D8">
              <w:rPr>
                <w:lang w:val="pt-BR"/>
              </w:rPr>
              <w:t>Índices de horas extras trabalhadas</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w:t>
            </w:r>
            <w:r w:rsidRPr="00202B64">
              <w:rPr>
                <w:sz w:val="20"/>
                <w:szCs w:val="20"/>
                <w:u w:val="single"/>
              </w:rPr>
              <w:sym w:font="Symbol" w:char="F0E5"/>
            </w:r>
            <w:r w:rsidRPr="00202B64">
              <w:rPr>
                <w:sz w:val="20"/>
                <w:szCs w:val="20"/>
                <w:u w:val="single"/>
              </w:rPr>
              <w:t xml:space="preserve">   Horas extra     .</w:t>
            </w:r>
          </w:p>
          <w:p w:rsidR="00E32574" w:rsidRPr="00202B64" w:rsidRDefault="00E32574" w:rsidP="00BC4359">
            <w:pPr>
              <w:spacing w:after="0" w:line="240" w:lineRule="auto"/>
              <w:jc w:val="center"/>
              <w:rPr>
                <w:sz w:val="20"/>
                <w:szCs w:val="20"/>
                <w:u w:val="single"/>
              </w:rPr>
            </w:pPr>
            <w:r w:rsidRPr="00202B64">
              <w:rPr>
                <w:sz w:val="20"/>
                <w:szCs w:val="20"/>
              </w:rPr>
              <w:sym w:font="Symbol" w:char="F0E5"/>
            </w:r>
            <w:r w:rsidRPr="00202B64">
              <w:rPr>
                <w:sz w:val="20"/>
                <w:szCs w:val="20"/>
              </w:rPr>
              <w:t xml:space="preserve"> Horas trabalhadas</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6,63 </w:t>
            </w:r>
            <w:r w:rsidRPr="00F93FBF">
              <w:rPr>
                <w:b/>
                <w:sz w:val="20"/>
                <w:szCs w:val="20"/>
              </w:rPr>
              <w:t>%</w:t>
            </w:r>
          </w:p>
        </w:tc>
      </w:tr>
      <w:tr w:rsidR="00E32574" w:rsidRPr="00202B64" w:rsidTr="00AB7E80">
        <w:trPr>
          <w:trHeight w:val="624"/>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A38</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Índice de acidentes por empregado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sym w:font="Symbol" w:char="F0E5"/>
            </w:r>
            <w:r w:rsidRPr="00202B64">
              <w:rPr>
                <w:sz w:val="20"/>
                <w:szCs w:val="20"/>
                <w:u w:val="single"/>
              </w:rPr>
              <w:t xml:space="preserve"> n </w:t>
            </w:r>
            <w:r w:rsidRPr="00202B64">
              <w:rPr>
                <w:sz w:val="20"/>
                <w:szCs w:val="20"/>
                <w:u w:val="single"/>
              </w:rPr>
              <w:sym w:font="Symbol" w:char="F0B0"/>
            </w:r>
            <w:r w:rsidRPr="00202B64">
              <w:rPr>
                <w:sz w:val="20"/>
                <w:szCs w:val="20"/>
                <w:u w:val="single"/>
              </w:rPr>
              <w:t xml:space="preserve"> de acidentes       -</w:t>
            </w:r>
          </w:p>
          <w:p w:rsidR="00E32574" w:rsidRPr="00202B64" w:rsidRDefault="00E32574" w:rsidP="00BC4359">
            <w:pPr>
              <w:spacing w:after="0" w:line="240" w:lineRule="auto"/>
              <w:jc w:val="center"/>
              <w:rPr>
                <w:sz w:val="20"/>
                <w:szCs w:val="20"/>
                <w:u w:val="single"/>
              </w:rPr>
            </w:pPr>
            <w:r w:rsidRPr="00202B64">
              <w:rPr>
                <w:sz w:val="20"/>
                <w:szCs w:val="20"/>
              </w:rPr>
              <w:t xml:space="preserve">N </w:t>
            </w:r>
            <w:r w:rsidRPr="00202B64">
              <w:rPr>
                <w:sz w:val="20"/>
                <w:szCs w:val="20"/>
              </w:rPr>
              <w:sym w:font="Symbol" w:char="F0B0"/>
            </w:r>
            <w:r w:rsidRPr="00202B64">
              <w:rPr>
                <w:sz w:val="20"/>
                <w:szCs w:val="20"/>
              </w:rPr>
              <w:t xml:space="preserve">  médio de Empregados</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0,078 </w:t>
            </w:r>
            <w:r w:rsidRPr="00F93FBF">
              <w:rPr>
                <w:b/>
                <w:sz w:val="20"/>
                <w:szCs w:val="20"/>
              </w:rPr>
              <w:t>Acidentes por empregados</w:t>
            </w:r>
          </w:p>
        </w:tc>
      </w:tr>
      <w:tr w:rsidR="00E32574" w:rsidRPr="00202B64" w:rsidTr="00AB7E80">
        <w:trPr>
          <w:trHeight w:val="850"/>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A3</w:t>
            </w:r>
            <w:r>
              <w:rPr>
                <w:rFonts w:ascii="Times New Roman" w:hAnsi="Times New Roman" w:cs="Times New Roman"/>
                <w:b/>
                <w:sz w:val="20"/>
                <w:szCs w:val="20"/>
              </w:rPr>
              <w:t>9</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 xml:space="preserve">Índice de </w:t>
            </w:r>
            <w:r w:rsidR="00451981" w:rsidRPr="00B571D8">
              <w:rPr>
                <w:lang w:val="pt-BR"/>
              </w:rPr>
              <w:t>frequência</w:t>
            </w:r>
            <w:r w:rsidRPr="00B571D8">
              <w:rPr>
                <w:lang w:val="pt-BR"/>
              </w:rPr>
              <w:t xml:space="preserve"> de acidentes</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rPr>
            </w:pPr>
            <w:r w:rsidRPr="00202B64">
              <w:rPr>
                <w:sz w:val="20"/>
                <w:szCs w:val="20"/>
                <w:u w:val="single"/>
              </w:rPr>
              <w:t xml:space="preserve">N </w:t>
            </w:r>
            <w:r w:rsidRPr="00202B64">
              <w:rPr>
                <w:sz w:val="20"/>
                <w:szCs w:val="20"/>
                <w:u w:val="single"/>
              </w:rPr>
              <w:sym w:font="Symbol" w:char="F0B0"/>
            </w:r>
            <w:r w:rsidRPr="00202B64">
              <w:rPr>
                <w:sz w:val="20"/>
                <w:szCs w:val="20"/>
                <w:u w:val="single"/>
              </w:rPr>
              <w:t xml:space="preserve"> de acidentes x 10</w:t>
            </w:r>
            <w:r w:rsidRPr="00202B64">
              <w:rPr>
                <w:sz w:val="20"/>
                <w:szCs w:val="20"/>
                <w:u w:val="single"/>
                <w:vertAlign w:val="superscript"/>
              </w:rPr>
              <w:t>6</w:t>
            </w:r>
            <w:r w:rsidRPr="00202B64">
              <w:rPr>
                <w:sz w:val="20"/>
                <w:szCs w:val="20"/>
                <w:u w:val="single"/>
              </w:rPr>
              <w:t>.</w:t>
            </w:r>
          </w:p>
          <w:p w:rsidR="00E32574" w:rsidRPr="00202B64" w:rsidRDefault="00E32574" w:rsidP="00BC4359">
            <w:pPr>
              <w:spacing w:after="0" w:line="240" w:lineRule="auto"/>
              <w:jc w:val="center"/>
              <w:rPr>
                <w:sz w:val="20"/>
                <w:szCs w:val="20"/>
                <w:u w:val="single"/>
              </w:rPr>
            </w:pPr>
            <w:r w:rsidRPr="00202B64">
              <w:rPr>
                <w:sz w:val="20"/>
                <w:szCs w:val="20"/>
              </w:rPr>
              <w:t>Horas homens efetivamente trabalhadas</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0,00051 </w:t>
            </w:r>
            <w:r w:rsidRPr="00F93FBF">
              <w:rPr>
                <w:b/>
                <w:sz w:val="20"/>
                <w:szCs w:val="20"/>
              </w:rPr>
              <w:t>Acidentes /        horas</w:t>
            </w:r>
          </w:p>
        </w:tc>
      </w:tr>
      <w:tr w:rsidR="00E32574" w:rsidRPr="00202B64" w:rsidTr="00AB7E80">
        <w:trPr>
          <w:trHeight w:val="124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w:t>
            </w:r>
            <w:r>
              <w:rPr>
                <w:rFonts w:ascii="Times New Roman" w:hAnsi="Times New Roman" w:cs="Times New Roman"/>
                <w:b/>
                <w:sz w:val="20"/>
                <w:szCs w:val="20"/>
              </w:rPr>
              <w:t>40</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 xml:space="preserve">Índice de </w:t>
            </w:r>
            <w:r w:rsidR="00451981" w:rsidRPr="00B571D8">
              <w:rPr>
                <w:lang w:val="pt-BR"/>
              </w:rPr>
              <w:t>Absenteísmo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rPr>
            </w:pPr>
            <w:r w:rsidRPr="00202B64">
              <w:rPr>
                <w:sz w:val="20"/>
                <w:szCs w:val="20"/>
              </w:rPr>
              <w:t xml:space="preserve">N </w:t>
            </w:r>
            <w:r w:rsidRPr="00202B64">
              <w:rPr>
                <w:sz w:val="20"/>
                <w:szCs w:val="20"/>
              </w:rPr>
              <w:sym w:font="Symbol" w:char="F0B0"/>
            </w:r>
            <w:r w:rsidRPr="00202B64">
              <w:rPr>
                <w:sz w:val="20"/>
                <w:szCs w:val="20"/>
              </w:rPr>
              <w:t xml:space="preserve">  médio de empregados/ N </w:t>
            </w:r>
            <w:r w:rsidRPr="00202B64">
              <w:rPr>
                <w:sz w:val="20"/>
                <w:szCs w:val="20"/>
              </w:rPr>
              <w:sym w:font="Symbol" w:char="F0B0"/>
            </w:r>
            <w:r w:rsidRPr="00202B64">
              <w:rPr>
                <w:sz w:val="20"/>
                <w:szCs w:val="20"/>
              </w:rPr>
              <w:t xml:space="preserve"> de horas perdidas por</w:t>
            </w:r>
          </w:p>
          <w:p w:rsidR="00E32574" w:rsidRPr="00202B64" w:rsidRDefault="00E32574" w:rsidP="00BC4359">
            <w:pPr>
              <w:spacing w:after="0" w:line="240" w:lineRule="auto"/>
              <w:jc w:val="center"/>
              <w:rPr>
                <w:sz w:val="20"/>
                <w:szCs w:val="20"/>
                <w:u w:val="single"/>
              </w:rPr>
            </w:pPr>
            <w:r w:rsidRPr="00202B64">
              <w:rPr>
                <w:sz w:val="20"/>
                <w:szCs w:val="20"/>
                <w:u w:val="single"/>
              </w:rPr>
              <w:t>Ausência do trabalho</w:t>
            </w:r>
          </w:p>
          <w:p w:rsidR="00E32574" w:rsidRPr="00202B64" w:rsidRDefault="00E32574" w:rsidP="00BC4359">
            <w:pPr>
              <w:spacing w:after="0" w:line="240" w:lineRule="auto"/>
              <w:jc w:val="center"/>
              <w:rPr>
                <w:sz w:val="20"/>
                <w:szCs w:val="20"/>
                <w:u w:val="single"/>
              </w:rPr>
            </w:pPr>
            <w:r w:rsidRPr="00202B64">
              <w:rPr>
                <w:sz w:val="20"/>
                <w:szCs w:val="20"/>
              </w:rPr>
              <w:t>N</w:t>
            </w:r>
            <w:r w:rsidRPr="00202B64">
              <w:rPr>
                <w:sz w:val="20"/>
                <w:szCs w:val="20"/>
              </w:rPr>
              <w:sym w:font="Symbol" w:char="F0B0"/>
            </w:r>
            <w:r w:rsidRPr="00202B64">
              <w:rPr>
                <w:sz w:val="20"/>
                <w:szCs w:val="20"/>
              </w:rPr>
              <w:t xml:space="preserve"> médio de Empregados x Horas trabalhadas</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9,67 </w:t>
            </w:r>
            <w:r w:rsidRPr="00F93FBF">
              <w:rPr>
                <w:b/>
                <w:sz w:val="20"/>
                <w:szCs w:val="20"/>
              </w:rPr>
              <w:t>%</w:t>
            </w:r>
          </w:p>
        </w:tc>
      </w:tr>
      <w:tr w:rsidR="00E32574" w:rsidRPr="00202B64" w:rsidTr="00AB7E80">
        <w:trPr>
          <w:trHeight w:val="624"/>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A4</w:t>
            </w:r>
            <w:r>
              <w:rPr>
                <w:rFonts w:ascii="Times New Roman" w:hAnsi="Times New Roman" w:cs="Times New Roman"/>
                <w:b/>
                <w:sz w:val="20"/>
                <w:szCs w:val="20"/>
              </w:rPr>
              <w:t>1</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spacing w:after="0" w:line="240" w:lineRule="auto"/>
              <w:jc w:val="center"/>
            </w:pPr>
            <w:r w:rsidRPr="00202B64">
              <w:rPr>
                <w:b/>
                <w:sz w:val="20"/>
                <w:szCs w:val="20"/>
              </w:rPr>
              <w:t>Índice de evolução do esforço de desenvolvimento da força de trabalho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sym w:font="Symbol" w:char="F0E5"/>
            </w:r>
            <w:r w:rsidRPr="00202B64">
              <w:rPr>
                <w:sz w:val="20"/>
                <w:szCs w:val="20"/>
                <w:u w:val="single"/>
              </w:rPr>
              <w:t xml:space="preserve"> Horas de capacitação ano</w:t>
            </w:r>
          </w:p>
          <w:p w:rsidR="00E32574" w:rsidRPr="00202B64" w:rsidRDefault="00E32574" w:rsidP="00BC4359">
            <w:pPr>
              <w:spacing w:after="0" w:line="240" w:lineRule="auto"/>
              <w:jc w:val="center"/>
              <w:rPr>
                <w:sz w:val="20"/>
                <w:szCs w:val="20"/>
              </w:rPr>
            </w:pPr>
            <w:r w:rsidRPr="00202B64">
              <w:rPr>
                <w:sz w:val="20"/>
                <w:szCs w:val="20"/>
              </w:rPr>
              <w:t xml:space="preserve">N </w:t>
            </w:r>
            <w:r w:rsidRPr="00202B64">
              <w:rPr>
                <w:sz w:val="20"/>
                <w:szCs w:val="20"/>
              </w:rPr>
              <w:sym w:font="Symbol" w:char="F0B0"/>
            </w:r>
            <w:r w:rsidRPr="00202B64">
              <w:rPr>
                <w:sz w:val="20"/>
                <w:szCs w:val="20"/>
              </w:rPr>
              <w:t xml:space="preserve"> médio de empregados</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4,31</w:t>
            </w:r>
            <w:r w:rsidRPr="00F93FBF">
              <w:rPr>
                <w:b/>
                <w:sz w:val="20"/>
                <w:szCs w:val="20"/>
              </w:rPr>
              <w:t xml:space="preserve">  Hora/</w:t>
            </w:r>
          </w:p>
          <w:p w:rsidR="00E32574" w:rsidRPr="00F93FBF" w:rsidRDefault="00E32574" w:rsidP="00BC4359">
            <w:pPr>
              <w:spacing w:after="0" w:line="240" w:lineRule="auto"/>
              <w:jc w:val="center"/>
              <w:rPr>
                <w:b/>
                <w:sz w:val="20"/>
                <w:szCs w:val="20"/>
              </w:rPr>
            </w:pPr>
            <w:r w:rsidRPr="00F93FBF">
              <w:rPr>
                <w:b/>
                <w:sz w:val="20"/>
                <w:szCs w:val="20"/>
              </w:rPr>
              <w:t>Capacitação/pessoa/ano</w:t>
            </w:r>
          </w:p>
        </w:tc>
      </w:tr>
      <w:tr w:rsidR="00E32574" w:rsidRPr="00202B64" w:rsidTr="008C148B">
        <w:trPr>
          <w:trHeight w:val="641"/>
        </w:trPr>
        <w:tc>
          <w:tcPr>
            <w:tcW w:w="7308" w:type="dxa"/>
            <w:gridSpan w:val="3"/>
            <w:tcBorders>
              <w:top w:val="single" w:sz="6" w:space="0" w:color="000000"/>
              <w:left w:val="single" w:sz="2" w:space="0" w:color="000000"/>
              <w:bottom w:val="single" w:sz="6" w:space="0" w:color="000000"/>
              <w:right w:val="single" w:sz="4" w:space="0" w:color="000000"/>
            </w:tcBorders>
            <w:vAlign w:val="center"/>
          </w:tcPr>
          <w:p w:rsidR="00E32574" w:rsidRPr="00F93FBF" w:rsidRDefault="00E32574" w:rsidP="00BC4359">
            <w:pPr>
              <w:spacing w:after="0" w:line="240" w:lineRule="auto"/>
              <w:jc w:val="center"/>
              <w:rPr>
                <w:b/>
                <w:sz w:val="20"/>
                <w:szCs w:val="20"/>
              </w:rPr>
            </w:pPr>
            <w:r w:rsidRPr="00F93FBF">
              <w:rPr>
                <w:b/>
                <w:sz w:val="20"/>
                <w:szCs w:val="20"/>
              </w:rPr>
              <w:t>INDICADORES RELATIVOS Á QUALIDADE</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sidRPr="00F93FBF">
              <w:rPr>
                <w:b/>
                <w:sz w:val="20"/>
                <w:szCs w:val="20"/>
              </w:rPr>
              <w:t>unidade</w:t>
            </w:r>
          </w:p>
        </w:tc>
      </w:tr>
      <w:tr w:rsidR="00E32574" w:rsidRPr="00202B64" w:rsidTr="00AB7E80">
        <w:trPr>
          <w:trHeight w:val="1928"/>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A4</w:t>
            </w:r>
            <w:r>
              <w:rPr>
                <w:rFonts w:ascii="Times New Roman" w:hAnsi="Times New Roman" w:cs="Times New Roman"/>
                <w:b/>
                <w:sz w:val="20"/>
                <w:szCs w:val="20"/>
              </w:rPr>
              <w:t>2</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A04754" w:rsidRDefault="00E32574" w:rsidP="00E723BE">
            <w:pPr>
              <w:pStyle w:val="Ttulo4"/>
              <w:rPr>
                <w:b w:val="0"/>
                <w:lang w:val="pt-BR"/>
              </w:rPr>
            </w:pPr>
            <w:r w:rsidRPr="00B571D8">
              <w:rPr>
                <w:lang w:val="pt-BR"/>
              </w:rPr>
              <w:t>Incidência das Análises de Cloro Residual Fora do Padrão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rPr>
            </w:pPr>
            <w:r w:rsidRPr="00202B64">
              <w:rPr>
                <w:sz w:val="20"/>
                <w:szCs w:val="20"/>
              </w:rPr>
              <w:t>Quantidade de Amostras p/ Análises de Cloro Residual</w:t>
            </w:r>
          </w:p>
          <w:p w:rsidR="00E32574" w:rsidRPr="00202B64" w:rsidRDefault="00E32574" w:rsidP="00BC4359">
            <w:pPr>
              <w:spacing w:after="0" w:line="240" w:lineRule="auto"/>
              <w:jc w:val="center"/>
              <w:rPr>
                <w:sz w:val="20"/>
                <w:szCs w:val="20"/>
                <w:u w:val="single"/>
              </w:rPr>
            </w:pPr>
            <w:r w:rsidRPr="00202B64">
              <w:rPr>
                <w:sz w:val="20"/>
                <w:szCs w:val="20"/>
                <w:u w:val="single"/>
              </w:rPr>
              <w:t>Com Resultados Fora do Padrão                           .</w:t>
            </w:r>
          </w:p>
          <w:p w:rsidR="00E32574" w:rsidRPr="00202B64" w:rsidRDefault="00E32574" w:rsidP="00BC4359">
            <w:pPr>
              <w:spacing w:after="0" w:line="240" w:lineRule="auto"/>
              <w:jc w:val="center"/>
              <w:rPr>
                <w:sz w:val="20"/>
                <w:szCs w:val="20"/>
              </w:rPr>
            </w:pPr>
            <w:r w:rsidRPr="00202B64">
              <w:rPr>
                <w:sz w:val="20"/>
                <w:szCs w:val="20"/>
              </w:rPr>
              <w:t>Quantidades de Amostras Analisadas para Aferição de Cloro</w:t>
            </w:r>
          </w:p>
          <w:p w:rsidR="00E32574" w:rsidRPr="00202B64" w:rsidRDefault="00E32574" w:rsidP="00BC4359">
            <w:pPr>
              <w:spacing w:after="0" w:line="240" w:lineRule="auto"/>
              <w:jc w:val="center"/>
              <w:rPr>
                <w:sz w:val="20"/>
                <w:szCs w:val="20"/>
                <w:u w:val="single"/>
              </w:rPr>
            </w:pPr>
            <w:r w:rsidRPr="00202B64">
              <w:rPr>
                <w:sz w:val="20"/>
                <w:szCs w:val="20"/>
              </w:rPr>
              <w:t>Residual</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1,26 </w:t>
            </w:r>
            <w:r w:rsidRPr="00F93FBF">
              <w:rPr>
                <w:b/>
                <w:sz w:val="20"/>
                <w:szCs w:val="20"/>
              </w:rPr>
              <w:t>%</w:t>
            </w:r>
          </w:p>
        </w:tc>
      </w:tr>
      <w:tr w:rsidR="00E32574" w:rsidRPr="00202B64" w:rsidTr="00AB7E80">
        <w:trPr>
          <w:trHeight w:val="1474"/>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lastRenderedPageBreak/>
              <w:t>A4</w:t>
            </w:r>
            <w:r>
              <w:rPr>
                <w:rFonts w:ascii="Times New Roman" w:hAnsi="Times New Roman" w:cs="Times New Roman"/>
                <w:b/>
                <w:sz w:val="20"/>
                <w:szCs w:val="20"/>
              </w:rPr>
              <w:t>3</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C930AA">
            <w:pPr>
              <w:pStyle w:val="Ttulo4"/>
              <w:rPr>
                <w:lang w:val="pt-BR"/>
              </w:rPr>
            </w:pPr>
            <w:r w:rsidRPr="00B571D8">
              <w:rPr>
                <w:lang w:val="pt-BR"/>
              </w:rPr>
              <w:t>Incidência das Análises de Turbidez Fora do Padrão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BC4359">
            <w:pPr>
              <w:pStyle w:val="Ttulo4"/>
              <w:rPr>
                <w:b w:val="0"/>
                <w:u w:val="single"/>
                <w:lang w:val="pt-BR"/>
              </w:rPr>
            </w:pPr>
            <w:r w:rsidRPr="00B571D8">
              <w:rPr>
                <w:b w:val="0"/>
                <w:u w:val="single"/>
                <w:lang w:val="pt-BR"/>
              </w:rPr>
              <w:t>Quant.Amostras p/ Análises de Turbidez  c/ Resultados fora Padrão</w:t>
            </w:r>
          </w:p>
          <w:p w:rsidR="00E32574" w:rsidRPr="00202B64" w:rsidRDefault="00E32574" w:rsidP="00BC4359">
            <w:pPr>
              <w:spacing w:after="0" w:line="240" w:lineRule="auto"/>
              <w:jc w:val="center"/>
              <w:rPr>
                <w:sz w:val="20"/>
                <w:szCs w:val="20"/>
              </w:rPr>
            </w:pPr>
            <w:r w:rsidRPr="00202B64">
              <w:rPr>
                <w:sz w:val="20"/>
                <w:szCs w:val="20"/>
              </w:rPr>
              <w:t>Quantidades de Amostras Analisadas para Aferição de Turbidez</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24,73 </w:t>
            </w:r>
            <w:r w:rsidRPr="00F93FBF">
              <w:rPr>
                <w:b/>
                <w:sz w:val="20"/>
                <w:szCs w:val="20"/>
              </w:rPr>
              <w:t>%</w:t>
            </w:r>
          </w:p>
        </w:tc>
      </w:tr>
      <w:tr w:rsidR="00E32574" w:rsidRPr="00202B64" w:rsidTr="00AB7E80">
        <w:trPr>
          <w:trHeight w:val="2438"/>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A4</w:t>
            </w:r>
            <w:r>
              <w:rPr>
                <w:rFonts w:ascii="Times New Roman" w:hAnsi="Times New Roman" w:cs="Times New Roman"/>
                <w:b/>
                <w:sz w:val="20"/>
                <w:szCs w:val="20"/>
              </w:rPr>
              <w:t>4</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 xml:space="preserve">Incidência das Análises de Coliformes </w:t>
            </w:r>
            <w:r w:rsidR="00451981" w:rsidRPr="00B571D8">
              <w:rPr>
                <w:lang w:val="pt-BR"/>
              </w:rPr>
              <w:t>Termo tolerantes</w:t>
            </w:r>
            <w:r w:rsidRPr="00B571D8">
              <w:rPr>
                <w:lang w:val="pt-BR"/>
              </w:rPr>
              <w:t xml:space="preserve"> Fora do Padrão</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rPr>
              <w:t xml:space="preserve">Quantidade de Amostras p/ Análises de Coliformes Termotolerantes        </w:t>
            </w:r>
            <w:r w:rsidRPr="00202B64">
              <w:rPr>
                <w:sz w:val="20"/>
                <w:szCs w:val="20"/>
                <w:u w:val="single"/>
              </w:rPr>
              <w:t xml:space="preserve">                                                         com Resultados Fora do Padrão                                                         .</w:t>
            </w:r>
          </w:p>
          <w:p w:rsidR="00E32574" w:rsidRPr="00202B64" w:rsidRDefault="00E32574" w:rsidP="00BC4359">
            <w:pPr>
              <w:spacing w:after="0" w:line="240" w:lineRule="auto"/>
              <w:jc w:val="center"/>
              <w:rPr>
                <w:sz w:val="20"/>
                <w:szCs w:val="20"/>
              </w:rPr>
            </w:pPr>
            <w:r w:rsidRPr="00202B64">
              <w:rPr>
                <w:sz w:val="20"/>
                <w:szCs w:val="20"/>
              </w:rPr>
              <w:t>Quantidade de Amostras Analisadas para Aferição de Coliformes</w:t>
            </w:r>
          </w:p>
          <w:p w:rsidR="00E32574" w:rsidRPr="00B571D8" w:rsidRDefault="00E32574" w:rsidP="00BC4359">
            <w:pPr>
              <w:pStyle w:val="Ttulo4"/>
              <w:rPr>
                <w:b w:val="0"/>
                <w:u w:val="single"/>
                <w:lang w:val="pt-BR"/>
              </w:rPr>
            </w:pPr>
            <w:r w:rsidRPr="00B571D8">
              <w:rPr>
                <w:b w:val="0"/>
              </w:rPr>
              <w:t>Termotolerantes</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F93FBF" w:rsidRDefault="00E32574" w:rsidP="00BC4359">
            <w:pPr>
              <w:spacing w:after="0" w:line="240" w:lineRule="auto"/>
              <w:jc w:val="center"/>
              <w:rPr>
                <w:b/>
                <w:sz w:val="20"/>
                <w:szCs w:val="20"/>
              </w:rPr>
            </w:pPr>
            <w:r>
              <w:rPr>
                <w:b/>
                <w:sz w:val="20"/>
                <w:szCs w:val="20"/>
              </w:rPr>
              <w:t xml:space="preserve">7,42 </w:t>
            </w:r>
            <w:r w:rsidRPr="00F93FBF">
              <w:rPr>
                <w:b/>
                <w:sz w:val="20"/>
                <w:szCs w:val="20"/>
              </w:rPr>
              <w:t>%</w:t>
            </w:r>
          </w:p>
        </w:tc>
      </w:tr>
      <w:tr w:rsidR="00E32574" w:rsidRPr="00202B64" w:rsidTr="00AB7E80">
        <w:trPr>
          <w:trHeight w:val="124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A4</w:t>
            </w:r>
            <w:r>
              <w:rPr>
                <w:rFonts w:ascii="Times New Roman" w:hAnsi="Times New Roman" w:cs="Times New Roman"/>
                <w:b/>
                <w:sz w:val="20"/>
                <w:szCs w:val="20"/>
              </w:rPr>
              <w:t>5</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Índice de Conformidade da Quantidade de Amostras –Turbidez</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Quant.Amostras Analisadas  p/ Aferição de Turbidez</w:t>
            </w:r>
          </w:p>
          <w:p w:rsidR="00E32574" w:rsidRPr="00202B64" w:rsidRDefault="00E32574" w:rsidP="00BC4359">
            <w:pPr>
              <w:spacing w:after="0" w:line="240" w:lineRule="auto"/>
              <w:jc w:val="center"/>
              <w:rPr>
                <w:sz w:val="20"/>
                <w:szCs w:val="20"/>
              </w:rPr>
            </w:pPr>
            <w:r w:rsidRPr="00202B64">
              <w:rPr>
                <w:sz w:val="20"/>
                <w:szCs w:val="20"/>
              </w:rPr>
              <w:t>Quant. Mínima de Amostras Obrigatórias p/ Análises Turbidez</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BC4359">
            <w:pPr>
              <w:spacing w:after="0" w:line="240" w:lineRule="auto"/>
              <w:jc w:val="center"/>
              <w:rPr>
                <w:b/>
                <w:sz w:val="20"/>
                <w:szCs w:val="20"/>
              </w:rPr>
            </w:pPr>
            <w:r>
              <w:rPr>
                <w:b/>
                <w:sz w:val="20"/>
                <w:szCs w:val="20"/>
              </w:rPr>
              <w:t xml:space="preserve">75,0 </w:t>
            </w:r>
            <w:r w:rsidRPr="00202B64">
              <w:rPr>
                <w:b/>
                <w:sz w:val="20"/>
                <w:szCs w:val="20"/>
              </w:rPr>
              <w:t>%</w:t>
            </w:r>
          </w:p>
        </w:tc>
      </w:tr>
      <w:tr w:rsidR="00E32574" w:rsidRPr="00202B64" w:rsidTr="00AB7E80">
        <w:trPr>
          <w:trHeight w:val="1531"/>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A4</w:t>
            </w:r>
            <w:r>
              <w:rPr>
                <w:rFonts w:ascii="Times New Roman" w:hAnsi="Times New Roman" w:cs="Times New Roman"/>
                <w:b/>
                <w:sz w:val="20"/>
                <w:szCs w:val="20"/>
              </w:rPr>
              <w:t>6</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 xml:space="preserve">Índice de Conformidade da Quantidade Amostras- Coliformes </w:t>
            </w:r>
            <w:r w:rsidR="00451981" w:rsidRPr="00B571D8">
              <w:rPr>
                <w:lang w:val="pt-BR"/>
              </w:rPr>
              <w:t>Termo tolerantes</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t>Quant. Amostras Analisadas p/ Aferição Coliformes Termotolerantes</w:t>
            </w:r>
          </w:p>
          <w:p w:rsidR="00E32574" w:rsidRPr="00202B64" w:rsidRDefault="00E32574" w:rsidP="00BC4359">
            <w:pPr>
              <w:spacing w:after="0" w:line="240" w:lineRule="auto"/>
              <w:jc w:val="center"/>
              <w:rPr>
                <w:sz w:val="20"/>
                <w:szCs w:val="20"/>
                <w:u w:val="single"/>
              </w:rPr>
            </w:pPr>
            <w:r w:rsidRPr="00202B64">
              <w:rPr>
                <w:sz w:val="20"/>
                <w:szCs w:val="20"/>
              </w:rPr>
              <w:t>Quant. Mínima Amostras Obrigatórias p/ Análises Coliformes Termotolerantes</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BC4359">
            <w:pPr>
              <w:spacing w:after="0" w:line="240" w:lineRule="auto"/>
              <w:jc w:val="center"/>
              <w:rPr>
                <w:b/>
                <w:sz w:val="20"/>
                <w:szCs w:val="20"/>
              </w:rPr>
            </w:pPr>
            <w:r>
              <w:rPr>
                <w:b/>
                <w:sz w:val="20"/>
                <w:szCs w:val="20"/>
              </w:rPr>
              <w:t xml:space="preserve">75,0 </w:t>
            </w:r>
            <w:r w:rsidRPr="00202B64">
              <w:rPr>
                <w:b/>
                <w:sz w:val="20"/>
                <w:szCs w:val="20"/>
              </w:rPr>
              <w:t>%</w:t>
            </w:r>
          </w:p>
        </w:tc>
      </w:tr>
      <w:tr w:rsidR="00E32574" w:rsidRPr="00202B64" w:rsidTr="00AB7E80">
        <w:trPr>
          <w:trHeight w:val="567"/>
        </w:trPr>
        <w:tc>
          <w:tcPr>
            <w:tcW w:w="7308" w:type="dxa"/>
            <w:gridSpan w:val="3"/>
            <w:tcBorders>
              <w:top w:val="single" w:sz="6" w:space="0" w:color="000000"/>
              <w:left w:val="single" w:sz="2" w:space="0" w:color="000000"/>
              <w:bottom w:val="single" w:sz="6" w:space="0" w:color="000000"/>
              <w:right w:val="single" w:sz="4" w:space="0" w:color="000000"/>
            </w:tcBorders>
            <w:vAlign w:val="center"/>
          </w:tcPr>
          <w:p w:rsidR="00E32574" w:rsidRPr="00F93FBF" w:rsidRDefault="00E32574" w:rsidP="00BC4359">
            <w:pPr>
              <w:spacing w:after="0" w:line="240" w:lineRule="auto"/>
              <w:jc w:val="center"/>
              <w:rPr>
                <w:b/>
                <w:sz w:val="20"/>
                <w:szCs w:val="20"/>
                <w:u w:val="single"/>
              </w:rPr>
            </w:pPr>
            <w:r w:rsidRPr="00F93FBF">
              <w:rPr>
                <w:b/>
                <w:sz w:val="20"/>
                <w:szCs w:val="20"/>
                <w:u w:val="single"/>
              </w:rPr>
              <w:t>INDICADOR RELATIVO A SERVIÇO IRS</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BC4359">
            <w:pPr>
              <w:spacing w:after="0" w:line="240" w:lineRule="auto"/>
              <w:jc w:val="center"/>
              <w:rPr>
                <w:b/>
                <w:sz w:val="20"/>
                <w:szCs w:val="20"/>
              </w:rPr>
            </w:pPr>
            <w:r>
              <w:rPr>
                <w:b/>
                <w:sz w:val="20"/>
                <w:szCs w:val="20"/>
              </w:rPr>
              <w:t>Unidade</w:t>
            </w:r>
          </w:p>
        </w:tc>
      </w:tr>
      <w:tr w:rsidR="00E32574" w:rsidRPr="00202B64" w:rsidTr="00AB7E80">
        <w:trPr>
          <w:trHeight w:val="624"/>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A4</w:t>
            </w:r>
            <w:r>
              <w:rPr>
                <w:rFonts w:ascii="Times New Roman" w:hAnsi="Times New Roman" w:cs="Times New Roman"/>
                <w:b/>
                <w:sz w:val="20"/>
                <w:szCs w:val="20"/>
              </w:rPr>
              <w:t>7</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Ttulo4"/>
              <w:rPr>
                <w:lang w:val="pt-BR"/>
              </w:rPr>
            </w:pPr>
            <w:r w:rsidRPr="00B571D8">
              <w:rPr>
                <w:lang w:val="pt-BR"/>
              </w:rPr>
              <w:t>Grau de satisfação do cliente</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sym w:font="Symbol" w:char="F0E5"/>
            </w:r>
            <w:r w:rsidRPr="00202B64">
              <w:rPr>
                <w:sz w:val="20"/>
                <w:szCs w:val="20"/>
                <w:u w:val="single"/>
              </w:rPr>
              <w:t xml:space="preserve"> reclamações</w:t>
            </w:r>
          </w:p>
          <w:p w:rsidR="00E32574" w:rsidRPr="00202B64" w:rsidRDefault="00E32574" w:rsidP="00BC4359">
            <w:pPr>
              <w:spacing w:after="0" w:line="240" w:lineRule="auto"/>
              <w:jc w:val="center"/>
              <w:rPr>
                <w:sz w:val="20"/>
                <w:szCs w:val="20"/>
                <w:u w:val="single"/>
              </w:rPr>
            </w:pPr>
            <w:r w:rsidRPr="00202B64">
              <w:rPr>
                <w:sz w:val="20"/>
                <w:szCs w:val="20"/>
              </w:rPr>
              <w:t xml:space="preserve">N </w:t>
            </w:r>
            <w:r w:rsidRPr="00202B64">
              <w:rPr>
                <w:sz w:val="20"/>
                <w:szCs w:val="20"/>
              </w:rPr>
              <w:sym w:font="Symbol" w:char="F0B0"/>
            </w:r>
            <w:r w:rsidRPr="00202B64">
              <w:rPr>
                <w:sz w:val="20"/>
                <w:szCs w:val="20"/>
              </w:rPr>
              <w:t xml:space="preserve"> de ligações ( A+E )</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AB7E80" w:rsidRDefault="00E32574" w:rsidP="00AB7E80">
            <w:pPr>
              <w:pStyle w:val="Rodap"/>
              <w:jc w:val="center"/>
              <w:rPr>
                <w:rFonts w:cs="Times New Roman"/>
                <w:sz w:val="20"/>
                <w:szCs w:val="20"/>
              </w:rPr>
            </w:pPr>
            <w:r w:rsidRPr="00AB7E80">
              <w:rPr>
                <w:rFonts w:cs="Times New Roman"/>
                <w:sz w:val="20"/>
                <w:szCs w:val="20"/>
              </w:rPr>
              <w:t>0,82 reclamações/ economia</w:t>
            </w:r>
          </w:p>
        </w:tc>
      </w:tr>
      <w:tr w:rsidR="00E32574" w:rsidRPr="00202B64" w:rsidTr="00AB7E80">
        <w:trPr>
          <w:trHeight w:val="1134"/>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A4</w:t>
            </w:r>
            <w:r>
              <w:rPr>
                <w:rFonts w:ascii="Times New Roman" w:hAnsi="Times New Roman" w:cs="Times New Roman"/>
                <w:b/>
                <w:sz w:val="20"/>
                <w:szCs w:val="20"/>
              </w:rPr>
              <w:t>8</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E723BE">
            <w:pPr>
              <w:pStyle w:val="Rodap"/>
              <w:jc w:val="center"/>
            </w:pPr>
            <w:r w:rsidRPr="00B571D8">
              <w:rPr>
                <w:b/>
              </w:rPr>
              <w:t>Tempo médio de ligação de água</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B571D8" w:rsidRDefault="00E32574" w:rsidP="00BC4359">
            <w:pPr>
              <w:pStyle w:val="Rodap"/>
              <w:jc w:val="center"/>
              <w:rPr>
                <w:u w:val="single"/>
              </w:rPr>
            </w:pPr>
            <w:r w:rsidRPr="00B571D8">
              <w:rPr>
                <w:u w:val="single"/>
              </w:rPr>
              <w:sym w:font="Symbol" w:char="F0E5"/>
            </w:r>
            <w:r w:rsidRPr="00B571D8">
              <w:rPr>
                <w:u w:val="single"/>
              </w:rPr>
              <w:t xml:space="preserve"> Tempo em horas para ligação de água</w:t>
            </w:r>
          </w:p>
          <w:p w:rsidR="00E32574" w:rsidRPr="00202B64" w:rsidRDefault="00E32574" w:rsidP="00BC4359">
            <w:pPr>
              <w:spacing w:after="0" w:line="240" w:lineRule="auto"/>
              <w:jc w:val="center"/>
              <w:rPr>
                <w:sz w:val="20"/>
                <w:szCs w:val="20"/>
                <w:u w:val="single"/>
              </w:rPr>
            </w:pPr>
            <w:r w:rsidRPr="00202B64">
              <w:rPr>
                <w:sz w:val="20"/>
                <w:szCs w:val="20"/>
              </w:rPr>
              <w:t xml:space="preserve">N </w:t>
            </w:r>
            <w:r w:rsidRPr="00202B64">
              <w:rPr>
                <w:sz w:val="20"/>
                <w:szCs w:val="20"/>
              </w:rPr>
              <w:sym w:font="Symbol" w:char="F0B0"/>
            </w:r>
            <w:r w:rsidRPr="00202B64">
              <w:rPr>
                <w:sz w:val="20"/>
                <w:szCs w:val="20"/>
              </w:rPr>
              <w:t xml:space="preserve">  ligações de água realizadas</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BC4359">
            <w:pPr>
              <w:spacing w:after="0" w:line="240" w:lineRule="auto"/>
              <w:jc w:val="center"/>
              <w:rPr>
                <w:sz w:val="20"/>
                <w:szCs w:val="20"/>
              </w:rPr>
            </w:pPr>
          </w:p>
          <w:p w:rsidR="00E32574" w:rsidRPr="00202B64" w:rsidRDefault="00E32574" w:rsidP="00BC4359">
            <w:pPr>
              <w:spacing w:after="0" w:line="240" w:lineRule="auto"/>
              <w:jc w:val="center"/>
              <w:rPr>
                <w:b/>
                <w:sz w:val="20"/>
                <w:szCs w:val="20"/>
              </w:rPr>
            </w:pPr>
            <w:r>
              <w:rPr>
                <w:sz w:val="20"/>
                <w:szCs w:val="20"/>
              </w:rPr>
              <w:t xml:space="preserve">3,40 </w:t>
            </w:r>
            <w:r w:rsidRPr="00202B64">
              <w:rPr>
                <w:sz w:val="20"/>
                <w:szCs w:val="20"/>
              </w:rPr>
              <w:t>Horas / ligação</w:t>
            </w:r>
          </w:p>
        </w:tc>
      </w:tr>
      <w:tr w:rsidR="00E32574" w:rsidRPr="00202B64" w:rsidTr="00AB7E80">
        <w:trPr>
          <w:trHeight w:val="567"/>
        </w:trPr>
        <w:tc>
          <w:tcPr>
            <w:tcW w:w="7308" w:type="dxa"/>
            <w:gridSpan w:val="3"/>
            <w:tcBorders>
              <w:top w:val="single" w:sz="6" w:space="0" w:color="000000"/>
              <w:left w:val="single" w:sz="2" w:space="0" w:color="000000"/>
              <w:bottom w:val="single" w:sz="6" w:space="0" w:color="000000"/>
              <w:right w:val="single" w:sz="4" w:space="0" w:color="000000"/>
            </w:tcBorders>
            <w:vAlign w:val="center"/>
          </w:tcPr>
          <w:p w:rsidR="00E32574" w:rsidRPr="00F93FBF" w:rsidRDefault="00E32574" w:rsidP="00BC4359">
            <w:pPr>
              <w:spacing w:after="0" w:line="240" w:lineRule="auto"/>
              <w:jc w:val="center"/>
              <w:rPr>
                <w:b/>
                <w:sz w:val="20"/>
                <w:szCs w:val="20"/>
              </w:rPr>
            </w:pPr>
            <w:r w:rsidRPr="00F93FBF">
              <w:rPr>
                <w:b/>
                <w:sz w:val="20"/>
                <w:szCs w:val="20"/>
              </w:rPr>
              <w:t xml:space="preserve">INDICADOR </w:t>
            </w:r>
            <w:r>
              <w:rPr>
                <w:b/>
                <w:sz w:val="20"/>
                <w:szCs w:val="20"/>
              </w:rPr>
              <w:t>DE RISCO AMBIENTAL - IRA</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BC4359">
            <w:pPr>
              <w:spacing w:after="0" w:line="240" w:lineRule="auto"/>
              <w:jc w:val="center"/>
              <w:rPr>
                <w:b/>
                <w:sz w:val="20"/>
                <w:szCs w:val="20"/>
              </w:rPr>
            </w:pPr>
            <w:r>
              <w:rPr>
                <w:b/>
                <w:sz w:val="20"/>
                <w:szCs w:val="20"/>
              </w:rPr>
              <w:t>Unidade</w:t>
            </w:r>
          </w:p>
        </w:tc>
      </w:tr>
      <w:tr w:rsidR="00E32574" w:rsidRPr="00202B64" w:rsidTr="00AB7E80">
        <w:trPr>
          <w:trHeight w:val="1247"/>
        </w:trPr>
        <w:tc>
          <w:tcPr>
            <w:tcW w:w="955" w:type="dxa"/>
            <w:tcBorders>
              <w:top w:val="single" w:sz="6" w:space="0" w:color="000000"/>
              <w:left w:val="single" w:sz="2" w:space="0" w:color="000000"/>
              <w:bottom w:val="single" w:sz="6" w:space="0" w:color="000000"/>
              <w:right w:val="single" w:sz="4" w:space="0" w:color="000000"/>
            </w:tcBorders>
            <w:vAlign w:val="center"/>
          </w:tcPr>
          <w:p w:rsidR="00E32574" w:rsidRPr="00F01CD8" w:rsidRDefault="00E32574" w:rsidP="00BC4359">
            <w:pPr>
              <w:pStyle w:val="Default"/>
              <w:jc w:val="center"/>
              <w:rPr>
                <w:rFonts w:ascii="Times New Roman" w:hAnsi="Times New Roman" w:cs="Times New Roman"/>
                <w:b/>
                <w:sz w:val="20"/>
                <w:szCs w:val="20"/>
              </w:rPr>
            </w:pPr>
            <w:r w:rsidRPr="00F01CD8">
              <w:rPr>
                <w:rFonts w:ascii="Times New Roman" w:hAnsi="Times New Roman" w:cs="Times New Roman"/>
                <w:b/>
                <w:sz w:val="20"/>
                <w:szCs w:val="20"/>
              </w:rPr>
              <w:t>A4</w:t>
            </w:r>
            <w:r>
              <w:rPr>
                <w:rFonts w:ascii="Times New Roman" w:hAnsi="Times New Roman" w:cs="Times New Roman"/>
                <w:b/>
                <w:sz w:val="20"/>
                <w:szCs w:val="20"/>
              </w:rPr>
              <w:t>9</w:t>
            </w:r>
          </w:p>
        </w:tc>
        <w:tc>
          <w:tcPr>
            <w:tcW w:w="3720" w:type="dxa"/>
            <w:tcBorders>
              <w:top w:val="single" w:sz="6" w:space="0" w:color="000000"/>
              <w:left w:val="single" w:sz="4" w:space="0" w:color="000000"/>
              <w:bottom w:val="single" w:sz="6" w:space="0" w:color="000000"/>
              <w:right w:val="single" w:sz="4" w:space="0" w:color="000000"/>
            </w:tcBorders>
            <w:vAlign w:val="center"/>
          </w:tcPr>
          <w:p w:rsidR="00E32574" w:rsidRPr="00A04754" w:rsidRDefault="00E32574" w:rsidP="00E723BE">
            <w:pPr>
              <w:pStyle w:val="Ttulo4"/>
              <w:rPr>
                <w:b w:val="0"/>
                <w:lang w:val="pt-BR"/>
              </w:rPr>
            </w:pPr>
            <w:r w:rsidRPr="00B571D8">
              <w:rPr>
                <w:lang w:val="pt-BR"/>
              </w:rPr>
              <w:t>Índice de redução dos impactos ambientais</w:t>
            </w:r>
          </w:p>
        </w:tc>
        <w:tc>
          <w:tcPr>
            <w:tcW w:w="2633" w:type="dxa"/>
            <w:tcBorders>
              <w:top w:val="single" w:sz="6" w:space="0" w:color="000000"/>
              <w:left w:val="single" w:sz="4" w:space="0" w:color="000000"/>
              <w:bottom w:val="single" w:sz="6" w:space="0" w:color="000000"/>
              <w:right w:val="single" w:sz="4" w:space="0" w:color="000000"/>
            </w:tcBorders>
            <w:vAlign w:val="center"/>
          </w:tcPr>
          <w:p w:rsidR="00E32574" w:rsidRPr="00202B64" w:rsidRDefault="00E32574" w:rsidP="00BC4359">
            <w:pPr>
              <w:spacing w:after="0" w:line="240" w:lineRule="auto"/>
              <w:jc w:val="center"/>
              <w:rPr>
                <w:sz w:val="20"/>
                <w:szCs w:val="20"/>
                <w:u w:val="single"/>
              </w:rPr>
            </w:pPr>
            <w:r w:rsidRPr="00202B64">
              <w:rPr>
                <w:sz w:val="20"/>
                <w:szCs w:val="20"/>
                <w:u w:val="single"/>
              </w:rPr>
              <w:sym w:font="Symbol" w:char="F0E5"/>
            </w:r>
            <w:r w:rsidRPr="00202B64">
              <w:rPr>
                <w:sz w:val="20"/>
                <w:szCs w:val="20"/>
                <w:u w:val="single"/>
              </w:rPr>
              <w:t xml:space="preserve">    Impactos significativos resolvidos          .</w:t>
            </w:r>
          </w:p>
          <w:p w:rsidR="00E32574" w:rsidRPr="00B571D8" w:rsidRDefault="00E32574" w:rsidP="00BC4359">
            <w:pPr>
              <w:pStyle w:val="Rodap"/>
              <w:jc w:val="center"/>
              <w:rPr>
                <w:u w:val="single"/>
              </w:rPr>
            </w:pPr>
            <w:r w:rsidRPr="00B571D8">
              <w:t xml:space="preserve">N </w:t>
            </w:r>
            <w:r w:rsidRPr="00B571D8">
              <w:sym w:font="Symbol" w:char="F0B0"/>
            </w:r>
            <w:r w:rsidRPr="00B571D8">
              <w:t xml:space="preserve">  total de impactos significativos identificados</w:t>
            </w:r>
          </w:p>
        </w:tc>
        <w:tc>
          <w:tcPr>
            <w:tcW w:w="1969" w:type="dxa"/>
            <w:tcBorders>
              <w:top w:val="single" w:sz="6" w:space="0" w:color="000000"/>
              <w:left w:val="single" w:sz="4" w:space="0" w:color="000000"/>
              <w:bottom w:val="single" w:sz="6" w:space="0" w:color="000000"/>
              <w:right w:val="single" w:sz="2" w:space="0" w:color="000000"/>
            </w:tcBorders>
            <w:vAlign w:val="center"/>
          </w:tcPr>
          <w:p w:rsidR="00E32574" w:rsidRPr="00202B64" w:rsidRDefault="00E32574" w:rsidP="00BC4359">
            <w:pPr>
              <w:spacing w:after="0" w:line="240" w:lineRule="auto"/>
              <w:jc w:val="center"/>
              <w:rPr>
                <w:sz w:val="20"/>
                <w:szCs w:val="20"/>
              </w:rPr>
            </w:pPr>
          </w:p>
          <w:p w:rsidR="00E32574" w:rsidRPr="00202B64" w:rsidRDefault="00E32574" w:rsidP="00BC4359">
            <w:pPr>
              <w:spacing w:after="0" w:line="240" w:lineRule="auto"/>
              <w:jc w:val="center"/>
              <w:rPr>
                <w:sz w:val="20"/>
                <w:szCs w:val="20"/>
              </w:rPr>
            </w:pPr>
          </w:p>
          <w:p w:rsidR="00E32574" w:rsidRPr="00202B64" w:rsidRDefault="00E32574" w:rsidP="00BC4359">
            <w:pPr>
              <w:spacing w:after="0" w:line="240" w:lineRule="auto"/>
              <w:jc w:val="center"/>
              <w:rPr>
                <w:sz w:val="20"/>
                <w:szCs w:val="20"/>
              </w:rPr>
            </w:pPr>
            <w:r>
              <w:rPr>
                <w:sz w:val="20"/>
                <w:szCs w:val="20"/>
              </w:rPr>
              <w:t xml:space="preserve">33,33 </w:t>
            </w:r>
            <w:r w:rsidRPr="00202B64">
              <w:rPr>
                <w:sz w:val="20"/>
                <w:szCs w:val="20"/>
              </w:rPr>
              <w:t>%</w:t>
            </w:r>
          </w:p>
        </w:tc>
      </w:tr>
    </w:tbl>
    <w:p w:rsidR="00E32574" w:rsidRPr="008E39B0" w:rsidRDefault="00951ADD" w:rsidP="00971B37">
      <w:pPr>
        <w:pStyle w:val="Titulo"/>
      </w:pPr>
      <w:bookmarkStart w:id="395" w:name="_Toc372559122"/>
      <w:bookmarkStart w:id="396" w:name="_Toc372789554"/>
      <w:r>
        <w:t>11.</w:t>
      </w:r>
      <w:r w:rsidR="00E64A13">
        <w:t>10</w:t>
      </w:r>
      <w:r>
        <w:t xml:space="preserve"> </w:t>
      </w:r>
      <w:r w:rsidR="00E32574" w:rsidRPr="008E39B0">
        <w:t>Considerações</w:t>
      </w:r>
      <w:bookmarkEnd w:id="395"/>
      <w:bookmarkEnd w:id="396"/>
    </w:p>
    <w:p w:rsidR="00E32574" w:rsidRDefault="00E32574" w:rsidP="00E32574">
      <w:pPr>
        <w:pStyle w:val="CM71"/>
        <w:spacing w:line="360" w:lineRule="auto"/>
        <w:ind w:firstLine="708"/>
        <w:jc w:val="both"/>
        <w:rPr>
          <w:rFonts w:ascii="Times New Roman" w:hAnsi="Times New Roman" w:cs="Times New Roman"/>
        </w:rPr>
      </w:pPr>
      <w:r w:rsidRPr="00C21828">
        <w:rPr>
          <w:rFonts w:ascii="Times New Roman" w:hAnsi="Times New Roman" w:cs="Times New Roman"/>
          <w:bCs/>
        </w:rPr>
        <w:t>De acordo com os dados pôde-se perceber que</w:t>
      </w:r>
      <w:r w:rsidRPr="00C21828">
        <w:rPr>
          <w:bCs/>
        </w:rPr>
        <w:t xml:space="preserve"> </w:t>
      </w:r>
      <w:r w:rsidRPr="00C21828">
        <w:rPr>
          <w:rFonts w:ascii="Times New Roman" w:hAnsi="Times New Roman"/>
        </w:rPr>
        <w:t>nos distritos de Santo Antônio do Rio Doce, São Sebastião da Vala e Tabaúna, a capacidade de tratamento das estações de</w:t>
      </w:r>
      <w:r w:rsidRPr="00753913">
        <w:rPr>
          <w:rFonts w:ascii="Times New Roman" w:hAnsi="Times New Roman"/>
        </w:rPr>
        <w:t xml:space="preserve"> </w:t>
      </w:r>
      <w:r w:rsidRPr="00753913">
        <w:rPr>
          <w:rFonts w:ascii="Times New Roman" w:hAnsi="Times New Roman"/>
        </w:rPr>
        <w:lastRenderedPageBreak/>
        <w:t>tratamento é inferior à demanda de consumo.</w:t>
      </w:r>
      <w:r>
        <w:rPr>
          <w:rFonts w:ascii="Times New Roman" w:hAnsi="Times New Roman"/>
        </w:rPr>
        <w:t xml:space="preserve"> A</w:t>
      </w:r>
      <w:r w:rsidRPr="002B521E">
        <w:rPr>
          <w:rFonts w:ascii="Times New Roman" w:hAnsi="Times New Roman"/>
        </w:rPr>
        <w:t xml:space="preserve"> infraestrutura do sistema de abastecimento </w:t>
      </w:r>
      <w:r>
        <w:rPr>
          <w:rFonts w:ascii="Times New Roman" w:hAnsi="Times New Roman"/>
        </w:rPr>
        <w:t>não se encontra</w:t>
      </w:r>
      <w:r w:rsidRPr="002B521E">
        <w:rPr>
          <w:rFonts w:ascii="Times New Roman" w:hAnsi="Times New Roman"/>
        </w:rPr>
        <w:t xml:space="preserve"> em bom funcionamento, muitas individualidades do sistema ainda são </w:t>
      </w:r>
      <w:r>
        <w:rPr>
          <w:rFonts w:ascii="Times New Roman" w:hAnsi="Times New Roman"/>
        </w:rPr>
        <w:t>antigas</w:t>
      </w:r>
      <w:r w:rsidRPr="002B521E">
        <w:rPr>
          <w:rFonts w:ascii="Times New Roman" w:hAnsi="Times New Roman"/>
        </w:rPr>
        <w:t xml:space="preserve"> e necessitam de </w:t>
      </w:r>
      <w:r>
        <w:rPr>
          <w:rFonts w:ascii="Times New Roman" w:hAnsi="Times New Roman"/>
        </w:rPr>
        <w:t>reparo</w:t>
      </w:r>
      <w:r w:rsidRPr="002B521E">
        <w:rPr>
          <w:rFonts w:ascii="Times New Roman" w:hAnsi="Times New Roman"/>
        </w:rPr>
        <w:t>.</w:t>
      </w:r>
      <w:r>
        <w:rPr>
          <w:rFonts w:ascii="Times New Roman" w:hAnsi="Times New Roman"/>
        </w:rPr>
        <w:t xml:space="preserve"> E</w:t>
      </w:r>
      <w:r>
        <w:rPr>
          <w:rFonts w:ascii="Times New Roman" w:hAnsi="Times New Roman" w:cs="Times New Roman"/>
        </w:rPr>
        <w:t xml:space="preserve">m alguns sistemas os pontos </w:t>
      </w:r>
      <w:r>
        <w:rPr>
          <w:rFonts w:ascii="Times New Roman" w:hAnsi="Times New Roman"/>
        </w:rPr>
        <w:t>de captação no manancial estão</w:t>
      </w:r>
      <w:r>
        <w:rPr>
          <w:rFonts w:ascii="Times New Roman" w:hAnsi="Times New Roman" w:cs="Times New Roman"/>
        </w:rPr>
        <w:t xml:space="preserve"> comprometidos devido o lançamento de esgoto doméstico; e em grande maioria dos sistemas nos distritos, as ETA devem ser ampliadas</w:t>
      </w:r>
      <w:r>
        <w:rPr>
          <w:rFonts w:ascii="Times New Roman" w:hAnsi="Times New Roman"/>
        </w:rPr>
        <w:t xml:space="preserve">, havendo necessidade de </w:t>
      </w:r>
      <w:r w:rsidRPr="00FA5ABF">
        <w:rPr>
          <w:rFonts w:ascii="Times New Roman" w:hAnsi="Times New Roman" w:cs="Times New Roman"/>
        </w:rPr>
        <w:t>realinhamento e modernização dos equipamentos em todas as esta</w:t>
      </w:r>
      <w:r>
        <w:rPr>
          <w:rFonts w:ascii="Times New Roman" w:hAnsi="Times New Roman"/>
        </w:rPr>
        <w:t>ções elevatórias de água</w:t>
      </w:r>
      <w:r w:rsidRPr="00FA5ABF">
        <w:rPr>
          <w:rFonts w:ascii="Times New Roman" w:hAnsi="Times New Roman" w:cs="Times New Roman"/>
        </w:rPr>
        <w:t>.</w:t>
      </w:r>
      <w:r w:rsidRPr="007D3051">
        <w:rPr>
          <w:rFonts w:ascii="Times New Roman" w:hAnsi="Times New Roman" w:cs="Times New Roman"/>
        </w:rPr>
        <w:t xml:space="preserve"> </w:t>
      </w:r>
      <w:r w:rsidRPr="00E11E1B">
        <w:rPr>
          <w:rFonts w:ascii="Times New Roman" w:hAnsi="Times New Roman" w:cs="Times New Roman"/>
        </w:rPr>
        <w:t xml:space="preserve">O município não conta com sistema de Telemetria. </w:t>
      </w:r>
    </w:p>
    <w:p w:rsidR="00E32574" w:rsidRDefault="00E32574" w:rsidP="00E32574">
      <w:pPr>
        <w:pStyle w:val="CM71"/>
        <w:spacing w:line="360" w:lineRule="auto"/>
        <w:ind w:firstLine="708"/>
        <w:jc w:val="both"/>
        <w:rPr>
          <w:rFonts w:ascii="Times New Roman" w:hAnsi="Times New Roman" w:cs="Times New Roman"/>
        </w:rPr>
      </w:pPr>
      <w:r w:rsidRPr="000B4647">
        <w:rPr>
          <w:rFonts w:ascii="Times New Roman" w:hAnsi="Times New Roman" w:cs="Times New Roman"/>
        </w:rPr>
        <w:t>A capacidade de tra</w:t>
      </w:r>
      <w:r>
        <w:rPr>
          <w:rFonts w:ascii="Times New Roman" w:hAnsi="Times New Roman" w:cs="Times New Roman"/>
        </w:rPr>
        <w:t>tamento da ETA Aimorés é de aproximadamente 53 L</w:t>
      </w:r>
      <w:r w:rsidR="00C930AA">
        <w:rPr>
          <w:rFonts w:ascii="Times New Roman" w:hAnsi="Times New Roman" w:cs="Times New Roman"/>
        </w:rPr>
        <w:t>.</w:t>
      </w:r>
      <w:r>
        <w:rPr>
          <w:rFonts w:ascii="Times New Roman" w:hAnsi="Times New Roman" w:cs="Times New Roman"/>
        </w:rPr>
        <w:t>s</w:t>
      </w:r>
      <w:r w:rsidR="00C930AA" w:rsidRPr="00C930AA">
        <w:rPr>
          <w:rFonts w:ascii="Times New Roman" w:hAnsi="Times New Roman" w:cs="Times New Roman"/>
          <w:vertAlign w:val="superscript"/>
        </w:rPr>
        <w:t>-1</w:t>
      </w:r>
      <w:r>
        <w:rPr>
          <w:rFonts w:ascii="Times New Roman" w:hAnsi="Times New Roman" w:cs="Times New Roman"/>
        </w:rPr>
        <w:t>, mas não possui controle de vazão. Há</w:t>
      </w:r>
      <w:r w:rsidRPr="000B4647">
        <w:rPr>
          <w:rFonts w:ascii="Times New Roman" w:hAnsi="Times New Roman" w:cs="Times New Roman"/>
        </w:rPr>
        <w:t xml:space="preserve"> impossibilidade de se conceber a ampliação de sua capacidade de tratamento sem que haja fornecimento adicional de </w:t>
      </w:r>
      <w:r>
        <w:rPr>
          <w:rFonts w:ascii="Times New Roman" w:hAnsi="Times New Roman" w:cs="Times New Roman"/>
        </w:rPr>
        <w:t>água bruta por outro manancial. Um dos problemas nesse reservatório é a falta de macromedição e o volume baixo do reservatório. As ETA</w:t>
      </w:r>
      <w:r w:rsidR="001D6C68">
        <w:rPr>
          <w:rFonts w:ascii="Times New Roman" w:hAnsi="Times New Roman" w:cs="Times New Roman"/>
        </w:rPr>
        <w:t>’s</w:t>
      </w:r>
      <w:r>
        <w:rPr>
          <w:rFonts w:ascii="Times New Roman" w:hAnsi="Times New Roman" w:cs="Times New Roman"/>
        </w:rPr>
        <w:t xml:space="preserve"> localizadas nos distritos de Mundo Novo de Minas, Conceição do Capim, Penha do Capim, São Sebastião da Vala, </w:t>
      </w:r>
      <w:r w:rsidRPr="00986448">
        <w:rPr>
          <w:rFonts w:ascii="Times New Roman" w:hAnsi="Times New Roman"/>
        </w:rPr>
        <w:t>Santo Antônio do Rio Doce</w:t>
      </w:r>
      <w:r>
        <w:rPr>
          <w:rFonts w:ascii="Times New Roman" w:hAnsi="Times New Roman"/>
        </w:rPr>
        <w:t xml:space="preserve">, </w:t>
      </w:r>
      <w:r w:rsidRPr="00D91967">
        <w:rPr>
          <w:rFonts w:ascii="Times New Roman" w:hAnsi="Times New Roman"/>
        </w:rPr>
        <w:t>Expedicionário Alicio</w:t>
      </w:r>
      <w:r>
        <w:rPr>
          <w:rFonts w:ascii="Times New Roman" w:hAnsi="Times New Roman"/>
        </w:rPr>
        <w:t xml:space="preserve"> e Alto Capim,</w:t>
      </w:r>
      <w:r>
        <w:rPr>
          <w:rFonts w:ascii="Times New Roman" w:hAnsi="Times New Roman" w:cs="Times New Roman"/>
        </w:rPr>
        <w:t xml:space="preserve"> n</w:t>
      </w:r>
      <w:r w:rsidRPr="00AD5E09">
        <w:rPr>
          <w:rFonts w:ascii="Times New Roman" w:hAnsi="Times New Roman" w:cs="Times New Roman"/>
        </w:rPr>
        <w:t>ecessita</w:t>
      </w:r>
      <w:r>
        <w:rPr>
          <w:rFonts w:ascii="Times New Roman" w:hAnsi="Times New Roman" w:cs="Times New Roman"/>
        </w:rPr>
        <w:t>m da</w:t>
      </w:r>
      <w:r w:rsidRPr="00AD5E09">
        <w:rPr>
          <w:rFonts w:ascii="Times New Roman" w:hAnsi="Times New Roman" w:cs="Times New Roman"/>
        </w:rPr>
        <w:t xml:space="preserve"> </w:t>
      </w:r>
      <w:r>
        <w:rPr>
          <w:rFonts w:ascii="Times New Roman" w:hAnsi="Times New Roman" w:cs="Times New Roman"/>
        </w:rPr>
        <w:t>criação de um sistema de macromedição, melhoramento</w:t>
      </w:r>
      <w:r w:rsidRPr="00AD5E09">
        <w:rPr>
          <w:rFonts w:ascii="Times New Roman" w:hAnsi="Times New Roman" w:cs="Times New Roman"/>
        </w:rPr>
        <w:t xml:space="preserve"> </w:t>
      </w:r>
      <w:r>
        <w:rPr>
          <w:rFonts w:ascii="Times New Roman" w:hAnsi="Times New Roman" w:cs="Times New Roman"/>
        </w:rPr>
        <w:t>do acesso, pavimentação</w:t>
      </w:r>
      <w:r w:rsidRPr="00AD5E09">
        <w:rPr>
          <w:rFonts w:ascii="Times New Roman" w:hAnsi="Times New Roman" w:cs="Times New Roman"/>
        </w:rPr>
        <w:t xml:space="preserve"> </w:t>
      </w:r>
      <w:r>
        <w:rPr>
          <w:rFonts w:ascii="Times New Roman" w:hAnsi="Times New Roman" w:cs="Times New Roman"/>
        </w:rPr>
        <w:t>do pátio e substituição</w:t>
      </w:r>
      <w:r w:rsidRPr="00AD5E09">
        <w:rPr>
          <w:rFonts w:ascii="Times New Roman" w:hAnsi="Times New Roman" w:cs="Times New Roman"/>
        </w:rPr>
        <w:t xml:space="preserve"> </w:t>
      </w:r>
      <w:r>
        <w:rPr>
          <w:rFonts w:ascii="Times New Roman" w:hAnsi="Times New Roman" w:cs="Times New Roman"/>
        </w:rPr>
        <w:t>d</w:t>
      </w:r>
      <w:r w:rsidRPr="00AD5E09">
        <w:rPr>
          <w:rFonts w:ascii="Times New Roman" w:hAnsi="Times New Roman" w:cs="Times New Roman"/>
        </w:rPr>
        <w:t>a bomba de captação.</w:t>
      </w:r>
      <w:r>
        <w:rPr>
          <w:rFonts w:ascii="Times New Roman" w:hAnsi="Times New Roman" w:cs="Times New Roman"/>
        </w:rPr>
        <w:t xml:space="preserve"> É realizada</w:t>
      </w:r>
      <w:r w:rsidRPr="00561948">
        <w:rPr>
          <w:rFonts w:ascii="Times New Roman" w:hAnsi="Times New Roman" w:cs="Times New Roman"/>
        </w:rPr>
        <w:t xml:space="preserve"> análise</w:t>
      </w:r>
      <w:r>
        <w:rPr>
          <w:rFonts w:ascii="Times New Roman" w:hAnsi="Times New Roman" w:cs="Times New Roman"/>
        </w:rPr>
        <w:t xml:space="preserve"> de água</w:t>
      </w:r>
      <w:r w:rsidRPr="00561948">
        <w:rPr>
          <w:rFonts w:ascii="Times New Roman" w:hAnsi="Times New Roman" w:cs="Times New Roman"/>
        </w:rPr>
        <w:t xml:space="preserve"> mensalmente e no ponto de captação a cada 6 meses</w:t>
      </w:r>
      <w:r>
        <w:rPr>
          <w:rFonts w:ascii="Times New Roman" w:hAnsi="Times New Roman" w:cs="Times New Roman"/>
        </w:rPr>
        <w:t>.</w:t>
      </w:r>
    </w:p>
    <w:p w:rsidR="00E32574" w:rsidRPr="005445E2" w:rsidRDefault="00E32574" w:rsidP="005445E2">
      <w:pPr>
        <w:pStyle w:val="CM73"/>
        <w:spacing w:line="360" w:lineRule="auto"/>
        <w:ind w:firstLine="708"/>
        <w:jc w:val="both"/>
        <w:rPr>
          <w:rFonts w:ascii="Times New Roman" w:hAnsi="Times New Roman" w:cs="Times New Roman"/>
          <w:b/>
        </w:rPr>
      </w:pPr>
      <w:r>
        <w:rPr>
          <w:rFonts w:ascii="Times New Roman" w:hAnsi="Times New Roman" w:cs="Times New Roman"/>
        </w:rPr>
        <w:t>O</w:t>
      </w:r>
      <w:r w:rsidRPr="00363FAD">
        <w:rPr>
          <w:rFonts w:ascii="Times New Roman" w:hAnsi="Times New Roman" w:cs="Times New Roman"/>
        </w:rPr>
        <w:t xml:space="preserve"> índice de perda no sistema</w:t>
      </w:r>
      <w:r>
        <w:rPr>
          <w:rFonts w:ascii="Times New Roman" w:hAnsi="Times New Roman" w:cs="Times New Roman"/>
        </w:rPr>
        <w:t xml:space="preserve"> de Aimorés não foi determinado</w:t>
      </w:r>
      <w:r w:rsidRPr="00363FAD">
        <w:rPr>
          <w:rFonts w:ascii="Times New Roman" w:hAnsi="Times New Roman" w:cs="Times New Roman"/>
        </w:rPr>
        <w:t xml:space="preserve"> com exatidão, pois o sistema não informa dados com relação ao volume produzido, volume medido e volume tratado, da mesma formam o índice de perda de fa</w:t>
      </w:r>
      <w:r>
        <w:rPr>
          <w:rFonts w:ascii="Times New Roman" w:hAnsi="Times New Roman" w:cs="Times New Roman"/>
        </w:rPr>
        <w:t>turamento. Não pô</w:t>
      </w:r>
      <w:r w:rsidRPr="00363FAD">
        <w:rPr>
          <w:rFonts w:ascii="Times New Roman" w:hAnsi="Times New Roman" w:cs="Times New Roman"/>
        </w:rPr>
        <w:t>de se obtiver o índice de volume médio per capita e volume méd</w:t>
      </w:r>
      <w:r>
        <w:rPr>
          <w:rFonts w:ascii="Times New Roman" w:hAnsi="Times New Roman" w:cs="Times New Roman"/>
        </w:rPr>
        <w:t>io disponibilizado por economia,</w:t>
      </w:r>
      <w:r w:rsidRPr="00363FAD">
        <w:rPr>
          <w:rFonts w:ascii="Times New Roman" w:hAnsi="Times New Roman" w:cs="Times New Roman"/>
        </w:rPr>
        <w:t xml:space="preserve"> </w:t>
      </w:r>
      <w:r>
        <w:rPr>
          <w:rFonts w:ascii="Times New Roman" w:hAnsi="Times New Roman" w:cs="Times New Roman"/>
        </w:rPr>
        <w:t>somente sendo possível se o SAAE instalasse</w:t>
      </w:r>
      <w:r w:rsidRPr="00363FAD">
        <w:rPr>
          <w:rFonts w:ascii="Times New Roman" w:hAnsi="Times New Roman" w:cs="Times New Roman"/>
        </w:rPr>
        <w:t xml:space="preserve"> os equipamentos de medição na adução, na saída do tratamento e nas ligações de água</w:t>
      </w:r>
      <w:r>
        <w:rPr>
          <w:rFonts w:ascii="Times New Roman" w:hAnsi="Times New Roman" w:cs="Times New Roman"/>
        </w:rPr>
        <w:t>.</w:t>
      </w:r>
      <w:r>
        <w:br w:type="page"/>
      </w:r>
      <w:bookmarkStart w:id="397" w:name="_Toc372559123"/>
      <w:r w:rsidR="00951ADD" w:rsidRPr="005445E2">
        <w:rPr>
          <w:rFonts w:ascii="Times New Roman" w:hAnsi="Times New Roman" w:cs="Times New Roman"/>
          <w:b/>
        </w:rPr>
        <w:lastRenderedPageBreak/>
        <w:t xml:space="preserve">12 </w:t>
      </w:r>
      <w:r w:rsidRPr="005445E2">
        <w:rPr>
          <w:rFonts w:ascii="Times New Roman" w:hAnsi="Times New Roman" w:cs="Times New Roman"/>
          <w:b/>
        </w:rPr>
        <w:t>ESGOTAMENTO SANITÁRIO</w:t>
      </w:r>
      <w:bookmarkEnd w:id="397"/>
    </w:p>
    <w:p w:rsidR="00E32574" w:rsidRDefault="00E32574" w:rsidP="00DF4722">
      <w:pPr>
        <w:spacing w:after="0" w:line="360" w:lineRule="auto"/>
        <w:ind w:firstLine="709"/>
        <w:jc w:val="both"/>
        <w:rPr>
          <w:bCs/>
          <w:szCs w:val="24"/>
        </w:rPr>
      </w:pPr>
      <w:r w:rsidRPr="00C24B80">
        <w:rPr>
          <w:bCs/>
          <w:szCs w:val="24"/>
        </w:rPr>
        <w:t>Como consequência da utilização de água para abastecimento há geração de esgotos: domésticos, industriais ou outros que podem poluir o solo, contaminando as águas superficiais e subterrâneas, constituindo-se em perigosos focos de disseminação de doenças, caso não seja dada destinação adequada.</w:t>
      </w:r>
    </w:p>
    <w:p w:rsidR="00E32574" w:rsidRPr="00DF4722" w:rsidRDefault="008A54BD" w:rsidP="00971B37">
      <w:pPr>
        <w:pStyle w:val="Titulo"/>
      </w:pPr>
      <w:bookmarkStart w:id="398" w:name="_Toc372559124"/>
      <w:bookmarkStart w:id="399" w:name="_Toc372789555"/>
      <w:r w:rsidRPr="00DF4722">
        <w:t xml:space="preserve">12.1 </w:t>
      </w:r>
      <w:r w:rsidR="00E32574" w:rsidRPr="00DF4722">
        <w:t xml:space="preserve">Tipos de </w:t>
      </w:r>
      <w:r w:rsidR="00E32574" w:rsidRPr="002D7309">
        <w:t>Esgoto</w:t>
      </w:r>
      <w:bookmarkEnd w:id="398"/>
      <w:bookmarkEnd w:id="399"/>
    </w:p>
    <w:p w:rsidR="00E32574" w:rsidRPr="006847FB" w:rsidRDefault="00E32574" w:rsidP="00DF4722">
      <w:pPr>
        <w:pStyle w:val="CM73"/>
        <w:spacing w:line="360" w:lineRule="auto"/>
        <w:ind w:firstLine="709"/>
        <w:jc w:val="both"/>
        <w:rPr>
          <w:rFonts w:ascii="Times New Roman" w:hAnsi="Times New Roman" w:cs="Times New Roman"/>
        </w:rPr>
      </w:pPr>
      <w:r w:rsidRPr="006847FB">
        <w:rPr>
          <w:rFonts w:ascii="Times New Roman" w:hAnsi="Times New Roman" w:cs="Times New Roman"/>
        </w:rPr>
        <w:t>A produção de esgoto corresponde aproximadamente a</w:t>
      </w:r>
      <w:r w:rsidR="00DF4722">
        <w:rPr>
          <w:rFonts w:ascii="Times New Roman" w:hAnsi="Times New Roman" w:cs="Times New Roman"/>
        </w:rPr>
        <w:t xml:space="preserve"> 80% d</w:t>
      </w:r>
      <w:r w:rsidRPr="006847FB">
        <w:rPr>
          <w:rFonts w:ascii="Times New Roman" w:hAnsi="Times New Roman" w:cs="Times New Roman"/>
        </w:rPr>
        <w:t>o consumo de água, estima-se que, pelo fato da quantidade de esgoto gerado para a rede de coleta poder variar devido alguns fatores como, por exemplo</w:t>
      </w:r>
      <w:r w:rsidR="00DF4722">
        <w:rPr>
          <w:rFonts w:ascii="Times New Roman" w:hAnsi="Times New Roman" w:cs="Times New Roman"/>
        </w:rPr>
        <w:t>:</w:t>
      </w:r>
      <w:r w:rsidRPr="006847FB">
        <w:rPr>
          <w:rFonts w:ascii="Times New Roman" w:hAnsi="Times New Roman" w:cs="Times New Roman"/>
        </w:rPr>
        <w:t xml:space="preserve"> ocorrência de ligações clandestinas e indevidas dos esgotos à rede pluvial e infiltração. </w:t>
      </w:r>
    </w:p>
    <w:p w:rsidR="00E32574" w:rsidRPr="006847FB" w:rsidRDefault="00E32574" w:rsidP="00DF4722">
      <w:pPr>
        <w:pStyle w:val="CM73"/>
        <w:spacing w:line="360" w:lineRule="auto"/>
        <w:ind w:firstLine="709"/>
        <w:jc w:val="both"/>
        <w:rPr>
          <w:rFonts w:ascii="Times New Roman" w:hAnsi="Times New Roman" w:cs="Times New Roman"/>
        </w:rPr>
      </w:pPr>
      <w:r w:rsidRPr="006847FB">
        <w:rPr>
          <w:rFonts w:ascii="Times New Roman" w:hAnsi="Times New Roman" w:cs="Times New Roman"/>
        </w:rPr>
        <w:t xml:space="preserve">A fração de água que entra na rede coletora na forma de esgoto é denominada, tecnicamente, coeficiente de retorno. Os valores típicos do coeficiente de retorno variam de </w:t>
      </w:r>
      <w:smartTag w:uri="urn:schemas-microsoft-com:office:smarttags" w:element="metricconverter">
        <w:smartTagPr>
          <w:attr w:name="ProductID" w:val="60 a"/>
        </w:smartTagPr>
        <w:r w:rsidRPr="006847FB">
          <w:rPr>
            <w:rFonts w:ascii="Times New Roman" w:hAnsi="Times New Roman" w:cs="Times New Roman"/>
          </w:rPr>
          <w:t>60 a</w:t>
        </w:r>
      </w:smartTag>
      <w:r w:rsidRPr="006847FB">
        <w:rPr>
          <w:rFonts w:ascii="Times New Roman" w:hAnsi="Times New Roman" w:cs="Times New Roman"/>
        </w:rPr>
        <w:t xml:space="preserve"> 100%, sendo usualmente adotados os de 80% (VON SPERLING,1996). </w:t>
      </w:r>
    </w:p>
    <w:p w:rsidR="00E32574" w:rsidRPr="006847FB" w:rsidRDefault="00E32574" w:rsidP="00DF4722">
      <w:pPr>
        <w:pStyle w:val="CM73"/>
        <w:spacing w:line="360" w:lineRule="auto"/>
        <w:ind w:firstLine="709"/>
        <w:jc w:val="both"/>
        <w:rPr>
          <w:rFonts w:ascii="Times New Roman" w:hAnsi="Times New Roman" w:cs="Times New Roman"/>
        </w:rPr>
      </w:pPr>
      <w:r w:rsidRPr="006847FB">
        <w:rPr>
          <w:rFonts w:ascii="Times New Roman" w:hAnsi="Times New Roman" w:cs="Times New Roman"/>
        </w:rPr>
        <w:t xml:space="preserve">Esgoto ou efluente são os termos usados para caracterizar os despejos provenientes dos diversos usos da água, tais como doméstico, comercial e industrial. </w:t>
      </w:r>
    </w:p>
    <w:p w:rsidR="00E32574" w:rsidRPr="006847FB" w:rsidRDefault="00E32574" w:rsidP="00DF4722">
      <w:pPr>
        <w:pStyle w:val="CM73"/>
        <w:spacing w:line="360" w:lineRule="auto"/>
        <w:ind w:firstLine="709"/>
        <w:jc w:val="both"/>
        <w:rPr>
          <w:rFonts w:ascii="Times New Roman" w:hAnsi="Times New Roman" w:cs="Times New Roman"/>
        </w:rPr>
      </w:pPr>
      <w:r w:rsidRPr="006847FB">
        <w:rPr>
          <w:rFonts w:ascii="Times New Roman" w:hAnsi="Times New Roman" w:cs="Times New Roman"/>
        </w:rPr>
        <w:t xml:space="preserve">Esgoto pluvial é aquele que se forma pelas águas das chuvas e águas de lavagem de pátios, carros e ruas, além de rega de jardins. Essas águas vão para as galerias construídas pela prefeitura municipal, que é a responsável pela instalação, manutenção e conservação da rede pluvial da cidade. </w:t>
      </w:r>
    </w:p>
    <w:p w:rsidR="00E32574" w:rsidRPr="006847FB" w:rsidRDefault="00E32574" w:rsidP="00DF4722">
      <w:pPr>
        <w:pStyle w:val="CM73"/>
        <w:spacing w:line="360" w:lineRule="auto"/>
        <w:ind w:firstLine="709"/>
        <w:jc w:val="both"/>
        <w:rPr>
          <w:rFonts w:ascii="Times New Roman" w:hAnsi="Times New Roman" w:cs="Times New Roman"/>
        </w:rPr>
      </w:pPr>
      <w:r w:rsidRPr="006847FB">
        <w:rPr>
          <w:rFonts w:ascii="Times New Roman" w:hAnsi="Times New Roman" w:cs="Times New Roman"/>
        </w:rPr>
        <w:t xml:space="preserve">O esgoto doméstico é aquele formado pelas águas servidas, ou seja, a água escoada pelos tanques de roupa, pias de cozinha, banheiros e descargas sanitárias. O </w:t>
      </w:r>
      <w:r w:rsidR="00DF4722">
        <w:rPr>
          <w:rFonts w:ascii="Times New Roman" w:hAnsi="Times New Roman" w:cs="Times New Roman"/>
        </w:rPr>
        <w:t>SAAE</w:t>
      </w:r>
      <w:r w:rsidRPr="006847FB">
        <w:rPr>
          <w:rFonts w:ascii="Times New Roman" w:hAnsi="Times New Roman" w:cs="Times New Roman"/>
        </w:rPr>
        <w:t xml:space="preserve"> é o órgão municipal responsável pela operacionalização do sistema e tratamento deste tipo de esgoto. </w:t>
      </w:r>
    </w:p>
    <w:p w:rsidR="00E32574" w:rsidRPr="006847FB" w:rsidRDefault="00E32574" w:rsidP="00DF4722">
      <w:pPr>
        <w:pStyle w:val="CM73"/>
        <w:spacing w:line="360" w:lineRule="auto"/>
        <w:ind w:firstLine="709"/>
        <w:jc w:val="both"/>
        <w:rPr>
          <w:rFonts w:ascii="Times New Roman" w:hAnsi="Times New Roman" w:cs="Times New Roman"/>
        </w:rPr>
      </w:pPr>
      <w:r w:rsidRPr="006847FB">
        <w:rPr>
          <w:rFonts w:ascii="Times New Roman" w:hAnsi="Times New Roman" w:cs="Times New Roman"/>
        </w:rPr>
        <w:t>Os efluentes do tipo doméstico são responsáveis pelo volume mais significativo gerado no município, já que provém principalmente de residências e edificações públicas, onde se concentram aparelhos sanitários, lavanderias e cozinhas</w:t>
      </w:r>
      <w:r w:rsidR="00DF4722">
        <w:rPr>
          <w:rFonts w:ascii="Times New Roman" w:hAnsi="Times New Roman" w:cs="Times New Roman"/>
        </w:rPr>
        <w:t>,</w:t>
      </w:r>
      <w:r w:rsidRPr="006847FB">
        <w:rPr>
          <w:rFonts w:ascii="Times New Roman" w:hAnsi="Times New Roman" w:cs="Times New Roman"/>
        </w:rPr>
        <w:t xml:space="preserve"> entre outros. Esses esgotos variam de acordo com o costume e condições socioeconômicas de cada comunidade. </w:t>
      </w:r>
    </w:p>
    <w:p w:rsidR="00E32574" w:rsidRPr="006847FB" w:rsidRDefault="00E32574" w:rsidP="00DF4722">
      <w:pPr>
        <w:pStyle w:val="CM73"/>
        <w:spacing w:line="360" w:lineRule="auto"/>
        <w:ind w:firstLine="709"/>
        <w:jc w:val="both"/>
        <w:rPr>
          <w:rFonts w:ascii="Times New Roman" w:hAnsi="Times New Roman" w:cs="Times New Roman"/>
        </w:rPr>
      </w:pPr>
      <w:r w:rsidRPr="006847FB">
        <w:rPr>
          <w:rFonts w:ascii="Times New Roman" w:hAnsi="Times New Roman" w:cs="Times New Roman"/>
        </w:rPr>
        <w:t xml:space="preserve">O tratamento dos esgotos sanitários, antes de seus lançamentos em qualquer corpo hídrico, tem como objetivo prevenir e reduzir a disseminação de doenças de veiculação </w:t>
      </w:r>
      <w:r w:rsidRPr="006847FB">
        <w:rPr>
          <w:rFonts w:ascii="Times New Roman" w:hAnsi="Times New Roman" w:cs="Times New Roman"/>
        </w:rPr>
        <w:lastRenderedPageBreak/>
        <w:t xml:space="preserve">hídrica causadas pelos microrganismos patogênicos. </w:t>
      </w:r>
    </w:p>
    <w:p w:rsidR="00E32574" w:rsidRPr="006847FB" w:rsidRDefault="00DF4722" w:rsidP="00971B37">
      <w:pPr>
        <w:pStyle w:val="Titulo"/>
      </w:pPr>
      <w:bookmarkStart w:id="400" w:name="_Toc372559125"/>
      <w:bookmarkStart w:id="401" w:name="_Toc372789556"/>
      <w:r>
        <w:t xml:space="preserve">12.2 </w:t>
      </w:r>
      <w:r w:rsidR="00E32574" w:rsidRPr="006847FB">
        <w:t>Sistema de Esgotamento Sanitário</w:t>
      </w:r>
      <w:bookmarkEnd w:id="400"/>
      <w:bookmarkEnd w:id="401"/>
    </w:p>
    <w:p w:rsidR="00E32574" w:rsidRDefault="00E32574" w:rsidP="00B84A6E">
      <w:pPr>
        <w:pStyle w:val="CM73"/>
        <w:spacing w:line="360" w:lineRule="auto"/>
        <w:ind w:firstLine="709"/>
        <w:jc w:val="both"/>
        <w:rPr>
          <w:rFonts w:ascii="Times New Roman" w:hAnsi="Times New Roman" w:cs="Times New Roman"/>
        </w:rPr>
      </w:pPr>
      <w:r w:rsidRPr="006847FB">
        <w:rPr>
          <w:rFonts w:ascii="Times New Roman" w:hAnsi="Times New Roman" w:cs="Times New Roman"/>
        </w:rPr>
        <w:t xml:space="preserve">O sistema de tratamento de esgoto de Aimorés conta hoje somente com </w:t>
      </w:r>
      <w:r>
        <w:rPr>
          <w:rFonts w:ascii="Times New Roman" w:hAnsi="Times New Roman" w:cs="Times New Roman"/>
        </w:rPr>
        <w:t xml:space="preserve">uma </w:t>
      </w:r>
      <w:r w:rsidRPr="006847FB">
        <w:rPr>
          <w:rFonts w:ascii="Times New Roman" w:hAnsi="Times New Roman" w:cs="Times New Roman"/>
        </w:rPr>
        <w:t>ETE em operação, trata-se da ETE d</w:t>
      </w:r>
      <w:r>
        <w:rPr>
          <w:rFonts w:ascii="Times New Roman" w:hAnsi="Times New Roman" w:cs="Times New Roman"/>
        </w:rPr>
        <w:t>a Sede</w:t>
      </w:r>
      <w:r w:rsidRPr="006847FB">
        <w:rPr>
          <w:rFonts w:ascii="Times New Roman" w:hAnsi="Times New Roman" w:cs="Times New Roman"/>
        </w:rPr>
        <w:t xml:space="preserve"> que terá suas características técnicas expressas mais adiante. O sistema utilizado é do tipo </w:t>
      </w:r>
      <w:r>
        <w:rPr>
          <w:rFonts w:ascii="Times New Roman" w:hAnsi="Times New Roman" w:cs="Times New Roman"/>
        </w:rPr>
        <w:t xml:space="preserve">Pactos, </w:t>
      </w:r>
      <w:r w:rsidR="00DF4722">
        <w:rPr>
          <w:rFonts w:ascii="Times New Roman" w:hAnsi="Times New Roman" w:cs="Times New Roman"/>
        </w:rPr>
        <w:t>R</w:t>
      </w:r>
      <w:r w:rsidRPr="006847FB">
        <w:rPr>
          <w:rFonts w:ascii="Times New Roman" w:hAnsi="Times New Roman" w:cs="Times New Roman"/>
        </w:rPr>
        <w:t>eator</w:t>
      </w:r>
      <w:r>
        <w:rPr>
          <w:rFonts w:ascii="Times New Roman" w:hAnsi="Times New Roman" w:cs="Times New Roman"/>
        </w:rPr>
        <w:t xml:space="preserve"> UASB</w:t>
      </w:r>
      <w:r w:rsidRPr="006847FB">
        <w:rPr>
          <w:rFonts w:ascii="Times New Roman" w:hAnsi="Times New Roman" w:cs="Times New Roman"/>
        </w:rPr>
        <w:t xml:space="preserve"> com o respectivo leito de secagem, estação elevatória, </w:t>
      </w:r>
      <w:r>
        <w:rPr>
          <w:rFonts w:ascii="Times New Roman" w:hAnsi="Times New Roman" w:cs="Times New Roman"/>
        </w:rPr>
        <w:t xml:space="preserve">compressor de ar </w:t>
      </w:r>
      <w:r w:rsidRPr="006847FB">
        <w:rPr>
          <w:rFonts w:ascii="Times New Roman" w:hAnsi="Times New Roman" w:cs="Times New Roman"/>
        </w:rPr>
        <w:t>e emissário.</w:t>
      </w:r>
      <w:r>
        <w:rPr>
          <w:rFonts w:ascii="Times New Roman" w:hAnsi="Times New Roman" w:cs="Times New Roman"/>
        </w:rPr>
        <w:t xml:space="preserve"> O nível de tratamento é secundário.</w:t>
      </w:r>
      <w:r w:rsidRPr="006847FB">
        <w:rPr>
          <w:rFonts w:ascii="Times New Roman" w:hAnsi="Times New Roman" w:cs="Times New Roman"/>
        </w:rPr>
        <w:t xml:space="preserve"> A eficiência de </w:t>
      </w:r>
      <w:r w:rsidR="00DF4722">
        <w:rPr>
          <w:rFonts w:ascii="Times New Roman" w:hAnsi="Times New Roman" w:cs="Times New Roman"/>
        </w:rPr>
        <w:t>diminuição</w:t>
      </w:r>
      <w:r w:rsidRPr="006847FB">
        <w:rPr>
          <w:rFonts w:ascii="Times New Roman" w:hAnsi="Times New Roman" w:cs="Times New Roman"/>
        </w:rPr>
        <w:t xml:space="preserve"> d</w:t>
      </w:r>
      <w:r w:rsidR="00DF4722">
        <w:rPr>
          <w:rFonts w:ascii="Times New Roman" w:hAnsi="Times New Roman" w:cs="Times New Roman"/>
        </w:rPr>
        <w:t>a</w:t>
      </w:r>
      <w:r w:rsidRPr="006847FB">
        <w:rPr>
          <w:rFonts w:ascii="Times New Roman" w:hAnsi="Times New Roman" w:cs="Times New Roman"/>
        </w:rPr>
        <w:t xml:space="preserve"> demanda bioquímica de oxigênio (DBO) </w:t>
      </w:r>
      <w:r>
        <w:rPr>
          <w:rFonts w:ascii="Times New Roman" w:hAnsi="Times New Roman" w:cs="Times New Roman"/>
        </w:rPr>
        <w:t>é de aproximadamente 70</w:t>
      </w:r>
      <w:r w:rsidRPr="006847FB">
        <w:rPr>
          <w:rFonts w:ascii="Times New Roman" w:hAnsi="Times New Roman" w:cs="Times New Roman"/>
        </w:rPr>
        <w:t xml:space="preserve">%. </w:t>
      </w:r>
      <w:r>
        <w:rPr>
          <w:rFonts w:ascii="Times New Roman" w:hAnsi="Times New Roman" w:cs="Times New Roman"/>
        </w:rPr>
        <w:t>O percentual da população atendida pela coleta de esgoto é de aproximadamente 62%. O consumo total de energia elétrica nos sistemas de esgotos é de aproximadamente 1.478.500 kWh/ano, ano base 2012. (SAAE, 2013).</w:t>
      </w:r>
    </w:p>
    <w:p w:rsidR="00E32574" w:rsidRPr="00CD1C7C" w:rsidRDefault="00DF4722" w:rsidP="00B84A6E">
      <w:pPr>
        <w:spacing w:after="0" w:line="360" w:lineRule="auto"/>
        <w:ind w:firstLine="709"/>
        <w:jc w:val="both"/>
        <w:rPr>
          <w:szCs w:val="24"/>
          <w:lang w:eastAsia="pt-BR"/>
        </w:rPr>
      </w:pPr>
      <w:r>
        <w:rPr>
          <w:szCs w:val="24"/>
          <w:lang w:eastAsia="pt-BR"/>
        </w:rPr>
        <w:t>Nos Quadros 4</w:t>
      </w:r>
      <w:r w:rsidR="00C930AA">
        <w:rPr>
          <w:szCs w:val="24"/>
          <w:lang w:eastAsia="pt-BR"/>
        </w:rPr>
        <w:t>3</w:t>
      </w:r>
      <w:r>
        <w:rPr>
          <w:szCs w:val="24"/>
          <w:lang w:eastAsia="pt-BR"/>
        </w:rPr>
        <w:t xml:space="preserve"> e 4</w:t>
      </w:r>
      <w:r w:rsidR="00C930AA">
        <w:rPr>
          <w:szCs w:val="24"/>
          <w:lang w:eastAsia="pt-BR"/>
        </w:rPr>
        <w:t>4</w:t>
      </w:r>
      <w:r w:rsidR="00E32574" w:rsidRPr="00CD1C7C">
        <w:rPr>
          <w:szCs w:val="24"/>
          <w:lang w:eastAsia="pt-BR"/>
        </w:rPr>
        <w:t xml:space="preserve"> mostra dos domicílios particulares permanentes por forma de coleta de es</w:t>
      </w:r>
      <w:r w:rsidR="00E32574">
        <w:rPr>
          <w:szCs w:val="24"/>
          <w:lang w:eastAsia="pt-BR"/>
        </w:rPr>
        <w:t>goto informado pelo IBGE (2010).</w:t>
      </w:r>
    </w:p>
    <w:p w:rsidR="00E32574" w:rsidRDefault="0075744C" w:rsidP="0075744C">
      <w:pPr>
        <w:pStyle w:val="Legenda"/>
        <w:rPr>
          <w:rFonts w:ascii="Arial" w:hAnsi="Arial" w:cs="Arial"/>
          <w:color w:val="000000"/>
          <w:sz w:val="20"/>
        </w:rPr>
      </w:pPr>
      <w:bookmarkStart w:id="402" w:name="_Toc372740549"/>
      <w:r>
        <w:t xml:space="preserve">Quadro </w:t>
      </w:r>
      <w:fldSimple w:instr=" SEQ Quadro \* ARABIC ">
        <w:r w:rsidR="004F77E2">
          <w:rPr>
            <w:noProof/>
          </w:rPr>
          <w:t>43</w:t>
        </w:r>
      </w:fldSimple>
      <w:r>
        <w:t xml:space="preserve"> - </w:t>
      </w:r>
      <w:r w:rsidRPr="002244B2">
        <w:rPr>
          <w:noProof/>
        </w:rPr>
        <w:t>Domicílios particulares permanentes por forma de coleta de esgoto doméstico em Aimorés (2010).</w:t>
      </w:r>
      <w:bookmarkEnd w:id="402"/>
    </w:p>
    <w:tbl>
      <w:tblPr>
        <w:tblW w:w="4882" w:type="dxa"/>
        <w:jc w:val="center"/>
        <w:tblLayout w:type="fixed"/>
        <w:tblLook w:val="0000" w:firstRow="0" w:lastRow="0" w:firstColumn="0" w:lastColumn="0" w:noHBand="0" w:noVBand="0"/>
      </w:tblPr>
      <w:tblGrid>
        <w:gridCol w:w="709"/>
        <w:gridCol w:w="1276"/>
        <w:gridCol w:w="1276"/>
        <w:gridCol w:w="1621"/>
      </w:tblGrid>
      <w:tr w:rsidR="00E32574" w:rsidRPr="005243F8" w:rsidTr="00E32574">
        <w:trPr>
          <w:trHeight w:val="282"/>
          <w:jc w:val="center"/>
        </w:trPr>
        <w:tc>
          <w:tcPr>
            <w:tcW w:w="4882" w:type="dxa"/>
            <w:gridSpan w:val="4"/>
            <w:tcBorders>
              <w:top w:val="single" w:sz="6" w:space="0" w:color="000000"/>
              <w:left w:val="single" w:sz="2" w:space="0" w:color="000000"/>
              <w:bottom w:val="single" w:sz="6" w:space="0" w:color="000000"/>
              <w:right w:val="single" w:sz="4" w:space="0" w:color="000000"/>
            </w:tcBorders>
            <w:shd w:val="clear" w:color="auto" w:fill="D9D9D9"/>
            <w:vAlign w:val="center"/>
          </w:tcPr>
          <w:p w:rsidR="00E32574" w:rsidRPr="00DF4722" w:rsidRDefault="00E32574" w:rsidP="005445E2">
            <w:pPr>
              <w:pStyle w:val="Default"/>
              <w:jc w:val="center"/>
              <w:rPr>
                <w:rFonts w:ascii="Times New Roman" w:hAnsi="Times New Roman" w:cs="Times New Roman"/>
                <w:b/>
                <w:sz w:val="20"/>
                <w:szCs w:val="20"/>
              </w:rPr>
            </w:pPr>
            <w:r w:rsidRPr="00DF4722">
              <w:rPr>
                <w:rFonts w:ascii="Times New Roman" w:hAnsi="Times New Roman" w:cs="Times New Roman"/>
                <w:b/>
                <w:sz w:val="20"/>
                <w:szCs w:val="20"/>
              </w:rPr>
              <w:t xml:space="preserve">Domicílios particulares permanentes </w:t>
            </w:r>
          </w:p>
        </w:tc>
      </w:tr>
      <w:tr w:rsidR="00E32574" w:rsidRPr="005243F8" w:rsidTr="00E32574">
        <w:trPr>
          <w:trHeight w:val="265"/>
          <w:jc w:val="center"/>
        </w:trPr>
        <w:tc>
          <w:tcPr>
            <w:tcW w:w="709" w:type="dxa"/>
            <w:tcBorders>
              <w:top w:val="single" w:sz="6" w:space="0" w:color="000000"/>
              <w:left w:val="single" w:sz="2" w:space="0" w:color="000000"/>
              <w:bottom w:val="single" w:sz="6" w:space="0" w:color="000000"/>
              <w:right w:val="single" w:sz="4" w:space="0" w:color="000000"/>
            </w:tcBorders>
            <w:shd w:val="clear" w:color="auto" w:fill="D9D9D9"/>
          </w:tcPr>
          <w:p w:rsidR="00E32574" w:rsidRPr="005243F8" w:rsidRDefault="00E32574" w:rsidP="005445E2">
            <w:pPr>
              <w:pStyle w:val="Default"/>
              <w:jc w:val="center"/>
              <w:rPr>
                <w:rFonts w:ascii="Times New Roman" w:hAnsi="Times New Roman" w:cs="Times New Roman"/>
                <w:color w:val="auto"/>
              </w:rPr>
            </w:pPr>
          </w:p>
        </w:tc>
        <w:tc>
          <w:tcPr>
            <w:tcW w:w="4173" w:type="dxa"/>
            <w:gridSpan w:val="3"/>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DF4722" w:rsidRDefault="00E32574" w:rsidP="005445E2">
            <w:pPr>
              <w:pStyle w:val="Default"/>
              <w:jc w:val="center"/>
              <w:rPr>
                <w:rFonts w:ascii="Times New Roman" w:hAnsi="Times New Roman" w:cs="Times New Roman"/>
                <w:b/>
                <w:sz w:val="20"/>
                <w:szCs w:val="20"/>
              </w:rPr>
            </w:pPr>
            <w:r w:rsidRPr="00DF4722">
              <w:rPr>
                <w:rFonts w:ascii="Times New Roman" w:hAnsi="Times New Roman" w:cs="Times New Roman"/>
                <w:b/>
                <w:sz w:val="20"/>
                <w:szCs w:val="20"/>
              </w:rPr>
              <w:t>Forma de coleta de esgoto</w:t>
            </w:r>
          </w:p>
        </w:tc>
      </w:tr>
      <w:tr w:rsidR="00E32574" w:rsidRPr="005243F8" w:rsidTr="00E32574">
        <w:trPr>
          <w:trHeight w:val="700"/>
          <w:jc w:val="center"/>
        </w:trPr>
        <w:tc>
          <w:tcPr>
            <w:tcW w:w="709" w:type="dxa"/>
            <w:tcBorders>
              <w:top w:val="single" w:sz="6" w:space="0" w:color="000000"/>
              <w:left w:val="single" w:sz="2" w:space="0" w:color="000000"/>
              <w:bottom w:val="single" w:sz="6" w:space="0" w:color="000000"/>
              <w:right w:val="single" w:sz="4" w:space="0" w:color="000000"/>
            </w:tcBorders>
            <w:shd w:val="clear" w:color="auto" w:fill="D9D9D9"/>
            <w:vAlign w:val="center"/>
          </w:tcPr>
          <w:p w:rsidR="00E32574" w:rsidRPr="005243F8" w:rsidRDefault="00E32574" w:rsidP="005445E2">
            <w:pPr>
              <w:pStyle w:val="Default"/>
              <w:jc w:val="center"/>
              <w:rPr>
                <w:rFonts w:ascii="Times New Roman" w:hAnsi="Times New Roman" w:cs="Times New Roman"/>
                <w:sz w:val="20"/>
                <w:szCs w:val="20"/>
              </w:rPr>
            </w:pPr>
            <w:r w:rsidRPr="005243F8">
              <w:rPr>
                <w:rFonts w:ascii="Times New Roman" w:hAnsi="Times New Roman" w:cs="Times New Roman"/>
                <w:sz w:val="20"/>
                <w:szCs w:val="20"/>
              </w:rPr>
              <w:t>Total</w:t>
            </w:r>
          </w:p>
        </w:tc>
        <w:tc>
          <w:tcPr>
            <w:tcW w:w="1276"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DF4722" w:rsidRDefault="00E32574" w:rsidP="005445E2">
            <w:pPr>
              <w:pStyle w:val="Default"/>
              <w:jc w:val="center"/>
              <w:rPr>
                <w:rFonts w:ascii="Times New Roman" w:hAnsi="Times New Roman" w:cs="Times New Roman"/>
                <w:b/>
                <w:sz w:val="20"/>
                <w:szCs w:val="20"/>
              </w:rPr>
            </w:pPr>
            <w:r w:rsidRPr="00DF4722">
              <w:rPr>
                <w:rFonts w:ascii="Times New Roman" w:hAnsi="Times New Roman" w:cs="Times New Roman"/>
                <w:b/>
                <w:sz w:val="20"/>
                <w:szCs w:val="20"/>
              </w:rPr>
              <w:t>Esgoto a céu aberto – Existe</w:t>
            </w:r>
          </w:p>
        </w:tc>
        <w:tc>
          <w:tcPr>
            <w:tcW w:w="1276"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DF4722" w:rsidRDefault="00E32574" w:rsidP="005445E2">
            <w:pPr>
              <w:pStyle w:val="Default"/>
              <w:jc w:val="center"/>
              <w:rPr>
                <w:rFonts w:ascii="Times New Roman" w:hAnsi="Times New Roman" w:cs="Times New Roman"/>
                <w:b/>
                <w:sz w:val="20"/>
                <w:szCs w:val="20"/>
              </w:rPr>
            </w:pPr>
            <w:r w:rsidRPr="00DF4722">
              <w:rPr>
                <w:rFonts w:ascii="Times New Roman" w:hAnsi="Times New Roman" w:cs="Times New Roman"/>
                <w:b/>
                <w:sz w:val="20"/>
                <w:szCs w:val="20"/>
              </w:rPr>
              <w:t>Esgoto a céu aberto – Não Existe</w:t>
            </w:r>
          </w:p>
        </w:tc>
        <w:tc>
          <w:tcPr>
            <w:tcW w:w="1621"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DF4722" w:rsidRDefault="00E32574" w:rsidP="005445E2">
            <w:pPr>
              <w:pStyle w:val="Default"/>
              <w:jc w:val="center"/>
              <w:rPr>
                <w:rFonts w:ascii="Times New Roman" w:hAnsi="Times New Roman" w:cs="Times New Roman"/>
                <w:b/>
                <w:sz w:val="20"/>
                <w:szCs w:val="20"/>
              </w:rPr>
            </w:pPr>
            <w:r w:rsidRPr="00DF4722">
              <w:rPr>
                <w:rFonts w:ascii="Times New Roman" w:hAnsi="Times New Roman" w:cs="Times New Roman"/>
                <w:b/>
                <w:sz w:val="20"/>
                <w:szCs w:val="20"/>
              </w:rPr>
              <w:t>Sem Declaração</w:t>
            </w:r>
          </w:p>
        </w:tc>
      </w:tr>
      <w:tr w:rsidR="00E32574" w:rsidRPr="005243F8" w:rsidTr="00E32574">
        <w:trPr>
          <w:trHeight w:val="455"/>
          <w:jc w:val="center"/>
        </w:trPr>
        <w:tc>
          <w:tcPr>
            <w:tcW w:w="70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5445E2">
            <w:pPr>
              <w:pStyle w:val="Default"/>
              <w:jc w:val="center"/>
              <w:rPr>
                <w:rFonts w:ascii="Times New Roman" w:hAnsi="Times New Roman" w:cs="Times New Roman"/>
                <w:sz w:val="20"/>
                <w:szCs w:val="20"/>
              </w:rPr>
            </w:pPr>
            <w:r w:rsidRPr="005243F8">
              <w:rPr>
                <w:rFonts w:ascii="Times New Roman" w:hAnsi="Times New Roman" w:cs="Times New Roman"/>
                <w:sz w:val="20"/>
                <w:szCs w:val="20"/>
              </w:rPr>
              <w:t>6.410</w:t>
            </w:r>
          </w:p>
        </w:tc>
        <w:tc>
          <w:tcPr>
            <w:tcW w:w="1276"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5445E2">
            <w:pPr>
              <w:pStyle w:val="Default"/>
              <w:jc w:val="center"/>
              <w:rPr>
                <w:rFonts w:ascii="Times New Roman" w:hAnsi="Times New Roman" w:cs="Times New Roman"/>
                <w:sz w:val="20"/>
                <w:szCs w:val="20"/>
              </w:rPr>
            </w:pPr>
            <w:r w:rsidRPr="005243F8">
              <w:rPr>
                <w:rFonts w:ascii="Times New Roman" w:hAnsi="Times New Roman" w:cs="Times New Roman"/>
                <w:sz w:val="20"/>
                <w:szCs w:val="20"/>
              </w:rPr>
              <w:t>68</w:t>
            </w:r>
          </w:p>
        </w:tc>
        <w:tc>
          <w:tcPr>
            <w:tcW w:w="1276"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5445E2">
            <w:pPr>
              <w:pStyle w:val="Default"/>
              <w:jc w:val="center"/>
              <w:rPr>
                <w:rFonts w:ascii="Times New Roman" w:hAnsi="Times New Roman" w:cs="Times New Roman"/>
                <w:sz w:val="20"/>
                <w:szCs w:val="20"/>
              </w:rPr>
            </w:pPr>
            <w:r w:rsidRPr="005243F8">
              <w:rPr>
                <w:rFonts w:ascii="Times New Roman" w:hAnsi="Times New Roman" w:cs="Times New Roman"/>
                <w:sz w:val="20"/>
                <w:szCs w:val="20"/>
              </w:rPr>
              <w:t>6.334</w:t>
            </w:r>
          </w:p>
        </w:tc>
        <w:tc>
          <w:tcPr>
            <w:tcW w:w="1621"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5445E2">
            <w:pPr>
              <w:pStyle w:val="Default"/>
              <w:jc w:val="center"/>
              <w:rPr>
                <w:rFonts w:ascii="Times New Roman" w:hAnsi="Times New Roman" w:cs="Times New Roman"/>
                <w:sz w:val="20"/>
                <w:szCs w:val="20"/>
              </w:rPr>
            </w:pPr>
            <w:r w:rsidRPr="005243F8">
              <w:rPr>
                <w:rFonts w:ascii="Times New Roman" w:hAnsi="Times New Roman" w:cs="Times New Roman"/>
                <w:sz w:val="20"/>
                <w:szCs w:val="20"/>
              </w:rPr>
              <w:t>8</w:t>
            </w:r>
          </w:p>
        </w:tc>
      </w:tr>
    </w:tbl>
    <w:p w:rsidR="00E32574" w:rsidRDefault="00AB7E80" w:rsidP="00AB7E80">
      <w:pPr>
        <w:pStyle w:val="Fonte"/>
        <w:ind w:left="708" w:firstLine="708"/>
      </w:pPr>
      <w:r>
        <w:t xml:space="preserve">        </w:t>
      </w:r>
      <w:r w:rsidR="00E32574" w:rsidRPr="00036952">
        <w:t>Fonte: IBGE, 2010.</w:t>
      </w:r>
    </w:p>
    <w:p w:rsidR="00AB7E80" w:rsidRPr="004216F9" w:rsidRDefault="0075744C" w:rsidP="0075744C">
      <w:pPr>
        <w:pStyle w:val="Legenda"/>
      </w:pPr>
      <w:bookmarkStart w:id="403" w:name="_Toc372740550"/>
      <w:r>
        <w:t xml:space="preserve">Quadro </w:t>
      </w:r>
      <w:fldSimple w:instr=" SEQ Quadro \* ARABIC ">
        <w:r w:rsidR="004F77E2">
          <w:rPr>
            <w:noProof/>
          </w:rPr>
          <w:t>44</w:t>
        </w:r>
      </w:fldSimple>
      <w:r>
        <w:t xml:space="preserve"> - </w:t>
      </w:r>
      <w:r w:rsidRPr="00C325D0">
        <w:rPr>
          <w:noProof/>
        </w:rPr>
        <w:t>Moradores em domicílios particulares permanentes por coleta de esgoto doméstico em Aimorés (2010).</w:t>
      </w:r>
      <w:bookmarkEnd w:id="403"/>
    </w:p>
    <w:tbl>
      <w:tblPr>
        <w:tblW w:w="5039" w:type="dxa"/>
        <w:jc w:val="center"/>
        <w:tblLayout w:type="fixed"/>
        <w:tblLook w:val="0000" w:firstRow="0" w:lastRow="0" w:firstColumn="0" w:lastColumn="0" w:noHBand="0" w:noVBand="0"/>
      </w:tblPr>
      <w:tblGrid>
        <w:gridCol w:w="866"/>
        <w:gridCol w:w="1276"/>
        <w:gridCol w:w="1276"/>
        <w:gridCol w:w="1621"/>
      </w:tblGrid>
      <w:tr w:rsidR="00E32574" w:rsidRPr="005243F8" w:rsidTr="00E32574">
        <w:trPr>
          <w:trHeight w:val="282"/>
          <w:jc w:val="center"/>
        </w:trPr>
        <w:tc>
          <w:tcPr>
            <w:tcW w:w="5039" w:type="dxa"/>
            <w:gridSpan w:val="4"/>
            <w:tcBorders>
              <w:top w:val="single" w:sz="6" w:space="0" w:color="000000"/>
              <w:left w:val="single" w:sz="2" w:space="0" w:color="000000"/>
              <w:bottom w:val="single" w:sz="6" w:space="0" w:color="000000"/>
              <w:right w:val="single" w:sz="4" w:space="0" w:color="000000"/>
            </w:tcBorders>
            <w:shd w:val="clear" w:color="auto" w:fill="D9D9D9"/>
            <w:vAlign w:val="center"/>
          </w:tcPr>
          <w:p w:rsidR="00E32574" w:rsidRPr="00DF4722" w:rsidRDefault="00E32574" w:rsidP="00B84A6E">
            <w:pPr>
              <w:pStyle w:val="Default"/>
              <w:spacing w:before="60" w:after="60"/>
              <w:jc w:val="center"/>
              <w:rPr>
                <w:rFonts w:ascii="Times New Roman" w:hAnsi="Times New Roman" w:cs="Times New Roman"/>
                <w:b/>
                <w:sz w:val="20"/>
                <w:szCs w:val="20"/>
              </w:rPr>
            </w:pPr>
            <w:r w:rsidRPr="00DF4722">
              <w:rPr>
                <w:rFonts w:ascii="Times New Roman" w:hAnsi="Times New Roman" w:cs="Times New Roman"/>
                <w:b/>
                <w:sz w:val="20"/>
                <w:szCs w:val="20"/>
              </w:rPr>
              <w:t xml:space="preserve">Moradores em domicílios permanentes </w:t>
            </w:r>
          </w:p>
        </w:tc>
      </w:tr>
      <w:tr w:rsidR="00E32574" w:rsidRPr="005243F8" w:rsidTr="00E32574">
        <w:trPr>
          <w:trHeight w:val="265"/>
          <w:jc w:val="center"/>
        </w:trPr>
        <w:tc>
          <w:tcPr>
            <w:tcW w:w="866" w:type="dxa"/>
            <w:tcBorders>
              <w:top w:val="single" w:sz="6" w:space="0" w:color="000000"/>
              <w:left w:val="single" w:sz="2" w:space="0" w:color="000000"/>
              <w:bottom w:val="single" w:sz="6" w:space="0" w:color="000000"/>
              <w:right w:val="single" w:sz="4" w:space="0" w:color="000000"/>
            </w:tcBorders>
            <w:shd w:val="clear" w:color="auto" w:fill="D9D9D9"/>
          </w:tcPr>
          <w:p w:rsidR="00E32574" w:rsidRPr="005243F8" w:rsidRDefault="00E32574" w:rsidP="00B84A6E">
            <w:pPr>
              <w:pStyle w:val="Default"/>
              <w:spacing w:before="60" w:after="60"/>
              <w:jc w:val="center"/>
              <w:rPr>
                <w:rFonts w:ascii="Times New Roman" w:hAnsi="Times New Roman" w:cs="Times New Roman"/>
                <w:color w:val="auto"/>
              </w:rPr>
            </w:pPr>
          </w:p>
        </w:tc>
        <w:tc>
          <w:tcPr>
            <w:tcW w:w="4173" w:type="dxa"/>
            <w:gridSpan w:val="3"/>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DF4722" w:rsidRDefault="00E32574" w:rsidP="00B84A6E">
            <w:pPr>
              <w:pStyle w:val="Default"/>
              <w:spacing w:before="60" w:after="60"/>
              <w:jc w:val="center"/>
              <w:rPr>
                <w:rFonts w:ascii="Times New Roman" w:hAnsi="Times New Roman" w:cs="Times New Roman"/>
                <w:b/>
                <w:sz w:val="20"/>
                <w:szCs w:val="20"/>
              </w:rPr>
            </w:pPr>
            <w:r w:rsidRPr="00DF4722">
              <w:rPr>
                <w:rFonts w:ascii="Times New Roman" w:hAnsi="Times New Roman" w:cs="Times New Roman"/>
                <w:b/>
                <w:sz w:val="20"/>
                <w:szCs w:val="20"/>
              </w:rPr>
              <w:t>Forma de coleta de esgoto</w:t>
            </w:r>
          </w:p>
        </w:tc>
      </w:tr>
      <w:tr w:rsidR="00E32574" w:rsidRPr="005243F8" w:rsidTr="00E32574">
        <w:trPr>
          <w:trHeight w:val="700"/>
          <w:jc w:val="center"/>
        </w:trPr>
        <w:tc>
          <w:tcPr>
            <w:tcW w:w="866" w:type="dxa"/>
            <w:tcBorders>
              <w:top w:val="single" w:sz="6" w:space="0" w:color="000000"/>
              <w:left w:val="single" w:sz="2" w:space="0" w:color="000000"/>
              <w:bottom w:val="single" w:sz="6" w:space="0" w:color="000000"/>
              <w:right w:val="single" w:sz="4" w:space="0" w:color="000000"/>
            </w:tcBorders>
            <w:shd w:val="clear" w:color="auto" w:fill="D9D9D9"/>
            <w:vAlign w:val="center"/>
          </w:tcPr>
          <w:p w:rsidR="00E32574" w:rsidRPr="00DF4722" w:rsidRDefault="00E32574" w:rsidP="00B84A6E">
            <w:pPr>
              <w:pStyle w:val="Default"/>
              <w:spacing w:before="60" w:after="60"/>
              <w:jc w:val="center"/>
              <w:rPr>
                <w:rFonts w:ascii="Times New Roman" w:hAnsi="Times New Roman" w:cs="Times New Roman"/>
                <w:b/>
                <w:sz w:val="20"/>
                <w:szCs w:val="20"/>
              </w:rPr>
            </w:pPr>
            <w:r w:rsidRPr="00DF4722">
              <w:rPr>
                <w:rFonts w:ascii="Times New Roman" w:hAnsi="Times New Roman" w:cs="Times New Roman"/>
                <w:b/>
                <w:sz w:val="20"/>
                <w:szCs w:val="20"/>
              </w:rPr>
              <w:t>Total</w:t>
            </w:r>
          </w:p>
        </w:tc>
        <w:tc>
          <w:tcPr>
            <w:tcW w:w="1276"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DF4722" w:rsidRDefault="00E32574" w:rsidP="00B84A6E">
            <w:pPr>
              <w:pStyle w:val="Default"/>
              <w:spacing w:before="60" w:after="60"/>
              <w:jc w:val="center"/>
              <w:rPr>
                <w:rFonts w:ascii="Times New Roman" w:hAnsi="Times New Roman" w:cs="Times New Roman"/>
                <w:b/>
                <w:sz w:val="20"/>
                <w:szCs w:val="20"/>
              </w:rPr>
            </w:pPr>
            <w:r w:rsidRPr="00DF4722">
              <w:rPr>
                <w:rFonts w:ascii="Times New Roman" w:hAnsi="Times New Roman" w:cs="Times New Roman"/>
                <w:b/>
                <w:sz w:val="20"/>
                <w:szCs w:val="20"/>
              </w:rPr>
              <w:t>Esgoto a céu aberto – Existe</w:t>
            </w:r>
          </w:p>
        </w:tc>
        <w:tc>
          <w:tcPr>
            <w:tcW w:w="1276"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DF4722" w:rsidRDefault="00E32574" w:rsidP="00B84A6E">
            <w:pPr>
              <w:pStyle w:val="Default"/>
              <w:spacing w:before="60" w:after="60"/>
              <w:jc w:val="center"/>
              <w:rPr>
                <w:rFonts w:ascii="Times New Roman" w:hAnsi="Times New Roman" w:cs="Times New Roman"/>
                <w:b/>
                <w:sz w:val="20"/>
                <w:szCs w:val="20"/>
              </w:rPr>
            </w:pPr>
            <w:r w:rsidRPr="00DF4722">
              <w:rPr>
                <w:rFonts w:ascii="Times New Roman" w:hAnsi="Times New Roman" w:cs="Times New Roman"/>
                <w:b/>
                <w:sz w:val="20"/>
                <w:szCs w:val="20"/>
              </w:rPr>
              <w:t>Esgoto a céu aberto – Não Existe</w:t>
            </w:r>
          </w:p>
        </w:tc>
        <w:tc>
          <w:tcPr>
            <w:tcW w:w="1621"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DF4722" w:rsidRDefault="00E32574" w:rsidP="00B84A6E">
            <w:pPr>
              <w:pStyle w:val="Default"/>
              <w:spacing w:before="60" w:after="60"/>
              <w:jc w:val="center"/>
              <w:rPr>
                <w:rFonts w:ascii="Times New Roman" w:hAnsi="Times New Roman" w:cs="Times New Roman"/>
                <w:b/>
                <w:sz w:val="20"/>
                <w:szCs w:val="20"/>
              </w:rPr>
            </w:pPr>
            <w:r w:rsidRPr="00DF4722">
              <w:rPr>
                <w:rFonts w:ascii="Times New Roman" w:hAnsi="Times New Roman" w:cs="Times New Roman"/>
                <w:b/>
                <w:sz w:val="20"/>
                <w:szCs w:val="20"/>
              </w:rPr>
              <w:t>Sem Declaração</w:t>
            </w:r>
          </w:p>
        </w:tc>
      </w:tr>
      <w:tr w:rsidR="00E32574" w:rsidRPr="005243F8" w:rsidTr="00E32574">
        <w:trPr>
          <w:trHeight w:val="455"/>
          <w:jc w:val="center"/>
        </w:trPr>
        <w:tc>
          <w:tcPr>
            <w:tcW w:w="8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B84A6E">
            <w:pPr>
              <w:pStyle w:val="Default"/>
              <w:spacing w:before="60" w:after="60"/>
              <w:jc w:val="center"/>
              <w:rPr>
                <w:rFonts w:ascii="Times New Roman" w:hAnsi="Times New Roman" w:cs="Times New Roman"/>
                <w:sz w:val="20"/>
                <w:szCs w:val="20"/>
              </w:rPr>
            </w:pPr>
            <w:r w:rsidRPr="005243F8">
              <w:rPr>
                <w:rFonts w:ascii="Times New Roman" w:hAnsi="Times New Roman" w:cs="Times New Roman"/>
                <w:sz w:val="20"/>
                <w:szCs w:val="20"/>
              </w:rPr>
              <w:t>17.990</w:t>
            </w:r>
          </w:p>
        </w:tc>
        <w:tc>
          <w:tcPr>
            <w:tcW w:w="1276"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B84A6E">
            <w:pPr>
              <w:pStyle w:val="Default"/>
              <w:spacing w:before="60" w:after="60"/>
              <w:jc w:val="center"/>
              <w:rPr>
                <w:rFonts w:ascii="Times New Roman" w:hAnsi="Times New Roman" w:cs="Times New Roman"/>
                <w:sz w:val="20"/>
                <w:szCs w:val="20"/>
              </w:rPr>
            </w:pPr>
            <w:r w:rsidRPr="005243F8">
              <w:rPr>
                <w:rFonts w:ascii="Times New Roman" w:hAnsi="Times New Roman" w:cs="Times New Roman"/>
                <w:sz w:val="20"/>
                <w:szCs w:val="20"/>
              </w:rPr>
              <w:t>185</w:t>
            </w:r>
          </w:p>
        </w:tc>
        <w:tc>
          <w:tcPr>
            <w:tcW w:w="1276"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B84A6E">
            <w:pPr>
              <w:pStyle w:val="Default"/>
              <w:spacing w:before="60" w:after="60"/>
              <w:jc w:val="center"/>
              <w:rPr>
                <w:rFonts w:ascii="Times New Roman" w:hAnsi="Times New Roman" w:cs="Times New Roman"/>
                <w:sz w:val="20"/>
                <w:szCs w:val="20"/>
              </w:rPr>
            </w:pPr>
            <w:r w:rsidRPr="005243F8">
              <w:rPr>
                <w:rFonts w:ascii="Times New Roman" w:hAnsi="Times New Roman" w:cs="Times New Roman"/>
                <w:sz w:val="20"/>
                <w:szCs w:val="20"/>
              </w:rPr>
              <w:t>17.780</w:t>
            </w:r>
          </w:p>
        </w:tc>
        <w:tc>
          <w:tcPr>
            <w:tcW w:w="1621"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B84A6E">
            <w:pPr>
              <w:pStyle w:val="Default"/>
              <w:spacing w:before="60" w:after="60"/>
              <w:jc w:val="center"/>
              <w:rPr>
                <w:rFonts w:ascii="Times New Roman" w:hAnsi="Times New Roman" w:cs="Times New Roman"/>
                <w:sz w:val="20"/>
                <w:szCs w:val="20"/>
              </w:rPr>
            </w:pPr>
            <w:r w:rsidRPr="005243F8">
              <w:rPr>
                <w:rFonts w:ascii="Times New Roman" w:hAnsi="Times New Roman" w:cs="Times New Roman"/>
                <w:sz w:val="20"/>
                <w:szCs w:val="20"/>
              </w:rPr>
              <w:t>25</w:t>
            </w:r>
          </w:p>
        </w:tc>
      </w:tr>
    </w:tbl>
    <w:p w:rsidR="00E32574" w:rsidRPr="00036952" w:rsidRDefault="00E32574" w:rsidP="00AB7E80">
      <w:pPr>
        <w:pStyle w:val="Fonte"/>
      </w:pPr>
      <w:r>
        <w:t xml:space="preserve">   </w:t>
      </w:r>
      <w:r w:rsidR="00AB7E80">
        <w:tab/>
      </w:r>
      <w:r w:rsidR="00AB7E80">
        <w:tab/>
        <w:t xml:space="preserve">      </w:t>
      </w:r>
      <w:r w:rsidRPr="00036952">
        <w:t>Fonte: IBGE, 2010.</w:t>
      </w:r>
    </w:p>
    <w:p w:rsidR="00E32574" w:rsidRDefault="00B84A6E" w:rsidP="00971B37">
      <w:pPr>
        <w:pStyle w:val="Titulo"/>
      </w:pPr>
      <w:bookmarkStart w:id="404" w:name="_Toc372559126"/>
      <w:bookmarkStart w:id="405" w:name="_Toc372789557"/>
      <w:r>
        <w:t xml:space="preserve">12.3 </w:t>
      </w:r>
      <w:r w:rsidR="00E32574" w:rsidRPr="006847FB">
        <w:t xml:space="preserve">Índices </w:t>
      </w:r>
      <w:r w:rsidR="00E32574" w:rsidRPr="002D7309">
        <w:t>de</w:t>
      </w:r>
      <w:r w:rsidR="00E32574" w:rsidRPr="006847FB">
        <w:t xml:space="preserve"> Atendimento</w:t>
      </w:r>
      <w:bookmarkEnd w:id="404"/>
      <w:bookmarkEnd w:id="405"/>
    </w:p>
    <w:p w:rsidR="00E32574" w:rsidRPr="006847FB" w:rsidRDefault="00B84A6E" w:rsidP="00B84A6E">
      <w:pPr>
        <w:pStyle w:val="CM73"/>
        <w:spacing w:line="360" w:lineRule="auto"/>
        <w:ind w:firstLine="709"/>
        <w:jc w:val="both"/>
        <w:rPr>
          <w:rFonts w:ascii="Times New Roman" w:hAnsi="Times New Roman" w:cs="Times New Roman"/>
        </w:rPr>
      </w:pPr>
      <w:r>
        <w:rPr>
          <w:rFonts w:ascii="Times New Roman" w:hAnsi="Times New Roman" w:cs="Times New Roman"/>
        </w:rPr>
        <w:t>O Quadro 4</w:t>
      </w:r>
      <w:r w:rsidR="00C930AA">
        <w:rPr>
          <w:rFonts w:ascii="Times New Roman" w:hAnsi="Times New Roman" w:cs="Times New Roman"/>
        </w:rPr>
        <w:t>5</w:t>
      </w:r>
      <w:r w:rsidR="00E32574" w:rsidRPr="006847FB">
        <w:rPr>
          <w:rFonts w:ascii="Times New Roman" w:hAnsi="Times New Roman" w:cs="Times New Roman"/>
        </w:rPr>
        <w:t xml:space="preserve"> apresenta os resultados para os indicadores selecionados para </w:t>
      </w:r>
      <w:r w:rsidR="00E32574" w:rsidRPr="006847FB">
        <w:rPr>
          <w:rFonts w:ascii="Times New Roman" w:hAnsi="Times New Roman" w:cs="Times New Roman"/>
        </w:rPr>
        <w:lastRenderedPageBreak/>
        <w:t xml:space="preserve">atendimento de serviço de esgotamento sanitário segundo o </w:t>
      </w:r>
      <w:r w:rsidR="00E32574">
        <w:rPr>
          <w:rFonts w:ascii="Times New Roman" w:hAnsi="Times New Roman" w:cs="Times New Roman"/>
        </w:rPr>
        <w:t>Sistema Nacional de Informações sobre Saneamento (SNIS)</w:t>
      </w:r>
      <w:r w:rsidR="00E32574" w:rsidRPr="006847FB">
        <w:rPr>
          <w:rFonts w:ascii="Times New Roman" w:hAnsi="Times New Roman" w:cs="Times New Roman"/>
        </w:rPr>
        <w:t xml:space="preserve"> para Aimorés, </w:t>
      </w:r>
      <w:r w:rsidR="00E32574">
        <w:rPr>
          <w:rFonts w:ascii="Times New Roman" w:hAnsi="Times New Roman" w:cs="Times New Roman"/>
        </w:rPr>
        <w:t xml:space="preserve">capital do Estado, Minas Gerais, Sudeste e o Brasil </w:t>
      </w:r>
      <w:r w:rsidR="00E32574" w:rsidRPr="006847FB">
        <w:rPr>
          <w:rFonts w:ascii="Times New Roman" w:hAnsi="Times New Roman" w:cs="Times New Roman"/>
        </w:rPr>
        <w:t>(</w:t>
      </w:r>
      <w:r w:rsidR="00E32574">
        <w:rPr>
          <w:rFonts w:ascii="Times New Roman" w:hAnsi="Times New Roman" w:cs="Times New Roman"/>
        </w:rPr>
        <w:t>SNIS</w:t>
      </w:r>
      <w:r w:rsidR="00E32574" w:rsidRPr="006847FB">
        <w:rPr>
          <w:rFonts w:ascii="Times New Roman" w:hAnsi="Times New Roman" w:cs="Times New Roman"/>
        </w:rPr>
        <w:t>, 2010</w:t>
      </w:r>
      <w:r w:rsidR="00E32574">
        <w:rPr>
          <w:rFonts w:ascii="Times New Roman" w:hAnsi="Times New Roman" w:cs="Times New Roman"/>
        </w:rPr>
        <w:t xml:space="preserve"> e 2011</w:t>
      </w:r>
      <w:r w:rsidR="00E32574" w:rsidRPr="006847FB">
        <w:rPr>
          <w:rFonts w:ascii="Times New Roman" w:hAnsi="Times New Roman" w:cs="Times New Roman"/>
        </w:rPr>
        <w:t xml:space="preserve">). </w:t>
      </w:r>
    </w:p>
    <w:p w:rsidR="00E32574" w:rsidRPr="006847FB" w:rsidRDefault="0075744C" w:rsidP="0075744C">
      <w:pPr>
        <w:pStyle w:val="Legenda"/>
        <w:rPr>
          <w:color w:val="000000"/>
          <w:szCs w:val="24"/>
        </w:rPr>
      </w:pPr>
      <w:bookmarkStart w:id="406" w:name="_Toc372740551"/>
      <w:r>
        <w:t xml:space="preserve">Quadro </w:t>
      </w:r>
      <w:fldSimple w:instr=" SEQ Quadro \* ARABIC ">
        <w:r w:rsidR="004F77E2">
          <w:rPr>
            <w:noProof/>
          </w:rPr>
          <w:t>45</w:t>
        </w:r>
      </w:fldSimple>
      <w:r>
        <w:t xml:space="preserve"> - </w:t>
      </w:r>
      <w:r w:rsidRPr="0065064F">
        <w:rPr>
          <w:noProof/>
        </w:rPr>
        <w:t>Resultados para os indicadores selecionados para atendimento de serviço de esgotamento sanitário.</w:t>
      </w:r>
      <w:bookmarkEnd w:id="406"/>
    </w:p>
    <w:tbl>
      <w:tblPr>
        <w:tblW w:w="9215" w:type="dxa"/>
        <w:tblInd w:w="108" w:type="dxa"/>
        <w:tblLayout w:type="fixed"/>
        <w:tblLook w:val="0000" w:firstRow="0" w:lastRow="0" w:firstColumn="0" w:lastColumn="0" w:noHBand="0" w:noVBand="0"/>
      </w:tblPr>
      <w:tblGrid>
        <w:gridCol w:w="1307"/>
        <w:gridCol w:w="992"/>
        <w:gridCol w:w="992"/>
        <w:gridCol w:w="993"/>
        <w:gridCol w:w="992"/>
        <w:gridCol w:w="992"/>
        <w:gridCol w:w="992"/>
        <w:gridCol w:w="993"/>
        <w:gridCol w:w="962"/>
      </w:tblGrid>
      <w:tr w:rsidR="00B84A6E" w:rsidRPr="005243F8" w:rsidTr="002C2D6F">
        <w:trPr>
          <w:trHeight w:val="902"/>
        </w:trPr>
        <w:tc>
          <w:tcPr>
            <w:tcW w:w="1307" w:type="dxa"/>
            <w:vMerge w:val="restart"/>
            <w:tcBorders>
              <w:top w:val="single" w:sz="6" w:space="0" w:color="000000"/>
              <w:left w:val="single" w:sz="2" w:space="0" w:color="000000"/>
              <w:right w:val="single" w:sz="4" w:space="0" w:color="000000"/>
            </w:tcBorders>
            <w:shd w:val="clear" w:color="auto" w:fill="D9D9D9"/>
            <w:vAlign w:val="center"/>
          </w:tcPr>
          <w:p w:rsidR="00B84A6E" w:rsidRPr="00B84A6E" w:rsidRDefault="00B84A6E" w:rsidP="00B84A6E">
            <w:pPr>
              <w:pStyle w:val="Default"/>
              <w:spacing w:before="120" w:after="120"/>
              <w:jc w:val="center"/>
              <w:rPr>
                <w:rFonts w:ascii="Times New Roman" w:hAnsi="Times New Roman" w:cs="Times New Roman"/>
                <w:b/>
                <w:sz w:val="20"/>
                <w:szCs w:val="20"/>
              </w:rPr>
            </w:pPr>
            <w:r w:rsidRPr="00B84A6E">
              <w:rPr>
                <w:rFonts w:ascii="Times New Roman" w:hAnsi="Times New Roman" w:cs="Times New Roman"/>
                <w:b/>
                <w:sz w:val="20"/>
                <w:szCs w:val="20"/>
              </w:rPr>
              <w:t>Localidade</w:t>
            </w:r>
          </w:p>
        </w:tc>
        <w:tc>
          <w:tcPr>
            <w:tcW w:w="3969" w:type="dxa"/>
            <w:gridSpan w:val="4"/>
            <w:tcBorders>
              <w:top w:val="single" w:sz="6" w:space="0" w:color="000000"/>
              <w:left w:val="single" w:sz="4" w:space="0" w:color="000000"/>
              <w:bottom w:val="single" w:sz="6" w:space="0" w:color="000000"/>
              <w:right w:val="single" w:sz="4" w:space="0" w:color="000000"/>
            </w:tcBorders>
            <w:shd w:val="clear" w:color="auto" w:fill="D9D9D9"/>
            <w:vAlign w:val="center"/>
          </w:tcPr>
          <w:p w:rsidR="00B84A6E" w:rsidRPr="00B84A6E" w:rsidRDefault="00B84A6E" w:rsidP="00B84A6E">
            <w:pPr>
              <w:pStyle w:val="Default"/>
              <w:spacing w:before="120" w:after="120"/>
              <w:jc w:val="center"/>
              <w:rPr>
                <w:rFonts w:ascii="Times New Roman" w:hAnsi="Times New Roman" w:cs="Times New Roman"/>
                <w:b/>
                <w:sz w:val="20"/>
                <w:szCs w:val="20"/>
              </w:rPr>
            </w:pPr>
            <w:r w:rsidRPr="00B84A6E">
              <w:rPr>
                <w:rFonts w:ascii="Times New Roman" w:hAnsi="Times New Roman" w:cs="Times New Roman"/>
                <w:b/>
                <w:sz w:val="20"/>
                <w:szCs w:val="20"/>
              </w:rPr>
              <w:t>Índice de atendimento com rede de esgoto (%)</w:t>
            </w:r>
          </w:p>
        </w:tc>
        <w:tc>
          <w:tcPr>
            <w:tcW w:w="3939" w:type="dxa"/>
            <w:gridSpan w:val="4"/>
            <w:tcBorders>
              <w:top w:val="single" w:sz="6" w:space="0" w:color="000000"/>
              <w:left w:val="single" w:sz="4" w:space="0" w:color="000000"/>
              <w:bottom w:val="single" w:sz="6" w:space="0" w:color="000000"/>
              <w:right w:val="single" w:sz="2" w:space="0" w:color="000000"/>
            </w:tcBorders>
            <w:shd w:val="clear" w:color="auto" w:fill="D9D9D9"/>
            <w:vAlign w:val="center"/>
          </w:tcPr>
          <w:p w:rsidR="00B84A6E" w:rsidRPr="00B84A6E" w:rsidRDefault="00B84A6E" w:rsidP="00B84A6E">
            <w:pPr>
              <w:pStyle w:val="Default"/>
              <w:spacing w:before="120" w:after="120"/>
              <w:jc w:val="center"/>
              <w:rPr>
                <w:rFonts w:ascii="Times New Roman" w:hAnsi="Times New Roman" w:cs="Times New Roman"/>
                <w:b/>
                <w:sz w:val="20"/>
                <w:szCs w:val="20"/>
              </w:rPr>
            </w:pPr>
            <w:r w:rsidRPr="00B84A6E">
              <w:rPr>
                <w:rFonts w:ascii="Times New Roman" w:hAnsi="Times New Roman" w:cs="Times New Roman"/>
                <w:b/>
                <w:sz w:val="20"/>
                <w:szCs w:val="20"/>
              </w:rPr>
              <w:t>Índice de tratamento dos esgotos (%)</w:t>
            </w:r>
          </w:p>
        </w:tc>
      </w:tr>
      <w:tr w:rsidR="00B84A6E" w:rsidRPr="005243F8" w:rsidTr="002C2D6F">
        <w:trPr>
          <w:trHeight w:val="510"/>
        </w:trPr>
        <w:tc>
          <w:tcPr>
            <w:tcW w:w="1307" w:type="dxa"/>
            <w:vMerge/>
            <w:tcBorders>
              <w:left w:val="single" w:sz="2" w:space="0" w:color="000000"/>
              <w:bottom w:val="single" w:sz="6" w:space="0" w:color="000000"/>
              <w:right w:val="single" w:sz="4" w:space="0" w:color="000000"/>
            </w:tcBorders>
            <w:shd w:val="clear" w:color="auto" w:fill="D9D9D9"/>
            <w:vAlign w:val="center"/>
          </w:tcPr>
          <w:p w:rsidR="00B84A6E" w:rsidRPr="00B84A6E" w:rsidRDefault="00B84A6E" w:rsidP="00B84A6E">
            <w:pPr>
              <w:pStyle w:val="Default"/>
              <w:spacing w:before="120" w:after="120"/>
              <w:jc w:val="center"/>
              <w:rPr>
                <w:rFonts w:ascii="Times New Roman" w:hAnsi="Times New Roman" w:cs="Times New Roman"/>
                <w:b/>
                <w:color w:val="auto"/>
                <w:sz w:val="20"/>
                <w:szCs w:val="20"/>
              </w:rPr>
            </w:pPr>
          </w:p>
        </w:tc>
        <w:tc>
          <w:tcPr>
            <w:tcW w:w="992"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B84A6E" w:rsidRPr="00B84A6E" w:rsidRDefault="00B84A6E" w:rsidP="00B84A6E">
            <w:pPr>
              <w:pStyle w:val="Default"/>
              <w:spacing w:before="120" w:after="120"/>
              <w:jc w:val="center"/>
              <w:rPr>
                <w:rFonts w:ascii="Times New Roman" w:hAnsi="Times New Roman" w:cs="Times New Roman"/>
                <w:b/>
                <w:sz w:val="20"/>
                <w:szCs w:val="20"/>
              </w:rPr>
            </w:pPr>
            <w:r w:rsidRPr="00B84A6E">
              <w:rPr>
                <w:rFonts w:ascii="Times New Roman" w:hAnsi="Times New Roman" w:cs="Times New Roman"/>
                <w:b/>
                <w:sz w:val="20"/>
                <w:szCs w:val="20"/>
              </w:rPr>
              <w:t>Total (IN056) 2010</w:t>
            </w:r>
          </w:p>
        </w:tc>
        <w:tc>
          <w:tcPr>
            <w:tcW w:w="992" w:type="dxa"/>
            <w:tcBorders>
              <w:top w:val="single" w:sz="6" w:space="0" w:color="000000"/>
              <w:left w:val="single" w:sz="4" w:space="0" w:color="000000"/>
              <w:bottom w:val="single" w:sz="6" w:space="0" w:color="000000"/>
              <w:right w:val="single" w:sz="4" w:space="0" w:color="auto"/>
            </w:tcBorders>
            <w:shd w:val="clear" w:color="auto" w:fill="D9D9D9"/>
            <w:vAlign w:val="center"/>
          </w:tcPr>
          <w:p w:rsidR="00B84A6E" w:rsidRPr="00B84A6E" w:rsidRDefault="00B84A6E" w:rsidP="00B84A6E">
            <w:pPr>
              <w:pStyle w:val="Default"/>
              <w:spacing w:before="120" w:after="120"/>
              <w:jc w:val="center"/>
              <w:rPr>
                <w:rFonts w:ascii="Times New Roman" w:hAnsi="Times New Roman" w:cs="Times New Roman"/>
                <w:b/>
                <w:sz w:val="20"/>
                <w:szCs w:val="20"/>
              </w:rPr>
            </w:pPr>
            <w:r w:rsidRPr="00B84A6E">
              <w:rPr>
                <w:rFonts w:ascii="Times New Roman" w:hAnsi="Times New Roman" w:cs="Times New Roman"/>
                <w:b/>
                <w:sz w:val="20"/>
                <w:szCs w:val="20"/>
              </w:rPr>
              <w:t>Total (IN056) 2011</w:t>
            </w:r>
          </w:p>
        </w:tc>
        <w:tc>
          <w:tcPr>
            <w:tcW w:w="993" w:type="dxa"/>
            <w:tcBorders>
              <w:top w:val="single" w:sz="4" w:space="0" w:color="auto"/>
              <w:left w:val="single" w:sz="4" w:space="0" w:color="auto"/>
              <w:bottom w:val="single" w:sz="6" w:space="0" w:color="000000"/>
              <w:right w:val="single" w:sz="4" w:space="0" w:color="auto"/>
            </w:tcBorders>
            <w:shd w:val="clear" w:color="auto" w:fill="D9D9D9"/>
            <w:vAlign w:val="center"/>
          </w:tcPr>
          <w:p w:rsidR="00B84A6E" w:rsidRPr="00B84A6E" w:rsidRDefault="00B84A6E" w:rsidP="00B84A6E">
            <w:pPr>
              <w:pStyle w:val="Default"/>
              <w:spacing w:before="120" w:after="120"/>
              <w:jc w:val="center"/>
              <w:rPr>
                <w:rFonts w:ascii="Times New Roman" w:hAnsi="Times New Roman" w:cs="Times New Roman"/>
                <w:b/>
                <w:sz w:val="20"/>
                <w:szCs w:val="20"/>
              </w:rPr>
            </w:pPr>
            <w:r w:rsidRPr="00B84A6E">
              <w:rPr>
                <w:rFonts w:ascii="Times New Roman" w:hAnsi="Times New Roman" w:cs="Times New Roman"/>
                <w:b/>
                <w:sz w:val="20"/>
                <w:szCs w:val="20"/>
              </w:rPr>
              <w:t>Urbano (IN024) 2010</w:t>
            </w:r>
          </w:p>
        </w:tc>
        <w:tc>
          <w:tcPr>
            <w:tcW w:w="992" w:type="dxa"/>
            <w:tcBorders>
              <w:top w:val="single" w:sz="4" w:space="0" w:color="auto"/>
              <w:left w:val="single" w:sz="4" w:space="0" w:color="auto"/>
              <w:bottom w:val="single" w:sz="6" w:space="0" w:color="000000"/>
              <w:right w:val="single" w:sz="4" w:space="0" w:color="000000"/>
            </w:tcBorders>
            <w:shd w:val="clear" w:color="auto" w:fill="D9D9D9"/>
            <w:vAlign w:val="center"/>
          </w:tcPr>
          <w:p w:rsidR="00B84A6E" w:rsidRPr="00B84A6E" w:rsidRDefault="00B84A6E" w:rsidP="00B84A6E">
            <w:pPr>
              <w:pStyle w:val="Default"/>
              <w:spacing w:before="120" w:after="120"/>
              <w:jc w:val="center"/>
              <w:rPr>
                <w:rFonts w:ascii="Times New Roman" w:hAnsi="Times New Roman" w:cs="Times New Roman"/>
                <w:b/>
                <w:sz w:val="20"/>
                <w:szCs w:val="20"/>
              </w:rPr>
            </w:pPr>
            <w:r w:rsidRPr="00B84A6E">
              <w:rPr>
                <w:rFonts w:ascii="Times New Roman" w:hAnsi="Times New Roman" w:cs="Times New Roman"/>
                <w:b/>
                <w:sz w:val="20"/>
                <w:szCs w:val="20"/>
              </w:rPr>
              <w:t>Urbano (IN024) 2011</w:t>
            </w:r>
          </w:p>
        </w:tc>
        <w:tc>
          <w:tcPr>
            <w:tcW w:w="992" w:type="dxa"/>
            <w:tcBorders>
              <w:top w:val="single" w:sz="6" w:space="0" w:color="000000"/>
              <w:left w:val="single" w:sz="4" w:space="0" w:color="000000"/>
              <w:bottom w:val="single" w:sz="6" w:space="0" w:color="000000"/>
              <w:right w:val="single" w:sz="4" w:space="0" w:color="auto"/>
            </w:tcBorders>
            <w:shd w:val="clear" w:color="auto" w:fill="D9D9D9"/>
            <w:vAlign w:val="center"/>
          </w:tcPr>
          <w:p w:rsidR="00B84A6E" w:rsidRPr="00B84A6E" w:rsidRDefault="00B84A6E" w:rsidP="00B84A6E">
            <w:pPr>
              <w:pStyle w:val="Default"/>
              <w:spacing w:before="120" w:after="120"/>
              <w:jc w:val="center"/>
              <w:rPr>
                <w:rFonts w:ascii="Times New Roman" w:hAnsi="Times New Roman" w:cs="Times New Roman"/>
                <w:b/>
                <w:sz w:val="20"/>
                <w:szCs w:val="20"/>
              </w:rPr>
            </w:pPr>
            <w:r w:rsidRPr="00B84A6E">
              <w:rPr>
                <w:rFonts w:ascii="Times New Roman" w:hAnsi="Times New Roman" w:cs="Times New Roman"/>
                <w:b/>
                <w:sz w:val="20"/>
                <w:szCs w:val="20"/>
              </w:rPr>
              <w:t>Esgoto coletado (IN016) 2010</w:t>
            </w:r>
          </w:p>
        </w:tc>
        <w:tc>
          <w:tcPr>
            <w:tcW w:w="992" w:type="dxa"/>
            <w:tcBorders>
              <w:top w:val="single" w:sz="6" w:space="0" w:color="000000"/>
              <w:left w:val="single" w:sz="4" w:space="0" w:color="000000"/>
              <w:bottom w:val="single" w:sz="6" w:space="0" w:color="000000"/>
              <w:right w:val="single" w:sz="4" w:space="0" w:color="auto"/>
            </w:tcBorders>
            <w:shd w:val="clear" w:color="auto" w:fill="D9D9D9"/>
            <w:vAlign w:val="center"/>
          </w:tcPr>
          <w:p w:rsidR="00B84A6E" w:rsidRPr="00B84A6E" w:rsidRDefault="00B84A6E" w:rsidP="00B84A6E">
            <w:pPr>
              <w:pStyle w:val="Default"/>
              <w:spacing w:before="120" w:after="120"/>
              <w:jc w:val="center"/>
              <w:rPr>
                <w:rFonts w:ascii="Times New Roman" w:hAnsi="Times New Roman" w:cs="Times New Roman"/>
                <w:b/>
                <w:sz w:val="20"/>
                <w:szCs w:val="20"/>
              </w:rPr>
            </w:pPr>
            <w:r w:rsidRPr="00B84A6E">
              <w:rPr>
                <w:rFonts w:ascii="Times New Roman" w:hAnsi="Times New Roman" w:cs="Times New Roman"/>
                <w:b/>
                <w:sz w:val="20"/>
                <w:szCs w:val="20"/>
              </w:rPr>
              <w:t>Esgoto coletado (IN016) 2011</w:t>
            </w:r>
          </w:p>
        </w:tc>
        <w:tc>
          <w:tcPr>
            <w:tcW w:w="993" w:type="dxa"/>
            <w:tcBorders>
              <w:top w:val="single" w:sz="6" w:space="0" w:color="000000"/>
              <w:left w:val="single" w:sz="4" w:space="0" w:color="auto"/>
              <w:bottom w:val="single" w:sz="6" w:space="0" w:color="000000"/>
              <w:right w:val="single" w:sz="2" w:space="0" w:color="000000"/>
            </w:tcBorders>
            <w:shd w:val="clear" w:color="auto" w:fill="D9D9D9"/>
            <w:vAlign w:val="center"/>
          </w:tcPr>
          <w:p w:rsidR="00B84A6E" w:rsidRPr="00B84A6E" w:rsidRDefault="00B84A6E" w:rsidP="00B84A6E">
            <w:pPr>
              <w:pStyle w:val="Default"/>
              <w:spacing w:before="120" w:after="120"/>
              <w:jc w:val="center"/>
              <w:rPr>
                <w:rFonts w:ascii="Times New Roman" w:hAnsi="Times New Roman" w:cs="Times New Roman"/>
                <w:b/>
                <w:sz w:val="20"/>
                <w:szCs w:val="20"/>
              </w:rPr>
            </w:pPr>
            <w:r w:rsidRPr="00B84A6E">
              <w:rPr>
                <w:rFonts w:ascii="Times New Roman" w:hAnsi="Times New Roman" w:cs="Times New Roman"/>
                <w:b/>
                <w:sz w:val="20"/>
                <w:szCs w:val="20"/>
              </w:rPr>
              <w:t xml:space="preserve">Esgoto Gerado </w:t>
            </w:r>
            <w:r w:rsidRPr="00B84A6E">
              <w:rPr>
                <w:rFonts w:ascii="Times New Roman" w:hAnsi="Times New Roman" w:cs="Times New Roman"/>
                <w:b/>
                <w:sz w:val="20"/>
                <w:szCs w:val="20"/>
              </w:rPr>
              <w:br/>
              <w:t>(IN046) 2010</w:t>
            </w:r>
          </w:p>
        </w:tc>
        <w:tc>
          <w:tcPr>
            <w:tcW w:w="962" w:type="dxa"/>
            <w:tcBorders>
              <w:top w:val="single" w:sz="6" w:space="0" w:color="000000"/>
              <w:left w:val="single" w:sz="4" w:space="0" w:color="auto"/>
              <w:bottom w:val="single" w:sz="6" w:space="0" w:color="000000"/>
              <w:right w:val="single" w:sz="2" w:space="0" w:color="000000"/>
            </w:tcBorders>
            <w:shd w:val="clear" w:color="auto" w:fill="D9D9D9"/>
            <w:vAlign w:val="center"/>
          </w:tcPr>
          <w:p w:rsidR="00B84A6E" w:rsidRPr="00B84A6E" w:rsidRDefault="00B84A6E" w:rsidP="00B84A6E">
            <w:pPr>
              <w:pStyle w:val="Default"/>
              <w:spacing w:before="120" w:after="120"/>
              <w:jc w:val="center"/>
              <w:rPr>
                <w:rFonts w:ascii="Times New Roman" w:hAnsi="Times New Roman" w:cs="Times New Roman"/>
                <w:b/>
                <w:sz w:val="20"/>
                <w:szCs w:val="20"/>
              </w:rPr>
            </w:pPr>
            <w:r w:rsidRPr="00B84A6E">
              <w:rPr>
                <w:rFonts w:ascii="Times New Roman" w:hAnsi="Times New Roman" w:cs="Times New Roman"/>
                <w:b/>
                <w:sz w:val="20"/>
                <w:szCs w:val="20"/>
              </w:rPr>
              <w:t xml:space="preserve">Esgoto Gerado </w:t>
            </w:r>
            <w:r w:rsidRPr="00B84A6E">
              <w:rPr>
                <w:rFonts w:ascii="Times New Roman" w:hAnsi="Times New Roman" w:cs="Times New Roman"/>
                <w:b/>
                <w:sz w:val="20"/>
                <w:szCs w:val="20"/>
              </w:rPr>
              <w:br/>
              <w:t>(IN046) 2011</w:t>
            </w:r>
          </w:p>
        </w:tc>
      </w:tr>
      <w:tr w:rsidR="00E32574" w:rsidRPr="005243F8" w:rsidTr="00E32574">
        <w:trPr>
          <w:trHeight w:val="240"/>
        </w:trPr>
        <w:tc>
          <w:tcPr>
            <w:tcW w:w="1307"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Aimorés</w:t>
            </w:r>
          </w:p>
        </w:tc>
        <w:tc>
          <w:tcPr>
            <w:tcW w:w="992"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62,1</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76,4</w:t>
            </w:r>
          </w:p>
        </w:tc>
        <w:tc>
          <w:tcPr>
            <w:tcW w:w="993" w:type="dxa"/>
            <w:tcBorders>
              <w:top w:val="single" w:sz="6" w:space="0" w:color="000000"/>
              <w:left w:val="single" w:sz="4" w:space="0" w:color="auto"/>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78,7</w:t>
            </w:r>
          </w:p>
        </w:tc>
        <w:tc>
          <w:tcPr>
            <w:tcW w:w="992" w:type="dxa"/>
            <w:tcBorders>
              <w:top w:val="single" w:sz="6" w:space="0" w:color="000000"/>
              <w:left w:val="single" w:sz="4" w:space="0" w:color="auto"/>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76,8</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100</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66,2</w:t>
            </w:r>
          </w:p>
        </w:tc>
        <w:tc>
          <w:tcPr>
            <w:tcW w:w="993" w:type="dxa"/>
            <w:tcBorders>
              <w:top w:val="single" w:sz="6" w:space="0" w:color="000000"/>
              <w:left w:val="single" w:sz="4" w:space="0" w:color="auto"/>
              <w:bottom w:val="single" w:sz="6" w:space="0" w:color="000000"/>
              <w:right w:val="single" w:sz="2"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75</w:t>
            </w:r>
          </w:p>
        </w:tc>
        <w:tc>
          <w:tcPr>
            <w:tcW w:w="962" w:type="dxa"/>
            <w:tcBorders>
              <w:top w:val="single" w:sz="6" w:space="0" w:color="000000"/>
              <w:left w:val="single" w:sz="4" w:space="0" w:color="auto"/>
              <w:bottom w:val="single" w:sz="6" w:space="0" w:color="000000"/>
              <w:right w:val="single" w:sz="2"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61,9</w:t>
            </w:r>
          </w:p>
        </w:tc>
      </w:tr>
      <w:tr w:rsidR="00E32574" w:rsidRPr="005243F8" w:rsidTr="00E32574">
        <w:trPr>
          <w:trHeight w:val="240"/>
        </w:trPr>
        <w:tc>
          <w:tcPr>
            <w:tcW w:w="1307"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Belo Horizonte</w:t>
            </w:r>
          </w:p>
        </w:tc>
        <w:tc>
          <w:tcPr>
            <w:tcW w:w="992"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100</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100</w:t>
            </w:r>
          </w:p>
        </w:tc>
        <w:tc>
          <w:tcPr>
            <w:tcW w:w="993" w:type="dxa"/>
            <w:tcBorders>
              <w:top w:val="single" w:sz="6" w:space="0" w:color="000000"/>
              <w:left w:val="single" w:sz="4" w:space="0" w:color="auto"/>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100</w:t>
            </w:r>
          </w:p>
        </w:tc>
        <w:tc>
          <w:tcPr>
            <w:tcW w:w="992" w:type="dxa"/>
            <w:tcBorders>
              <w:top w:val="single" w:sz="6" w:space="0" w:color="000000"/>
              <w:left w:val="single" w:sz="4" w:space="0" w:color="auto"/>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100</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72,9</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78,2</w:t>
            </w:r>
          </w:p>
        </w:tc>
        <w:tc>
          <w:tcPr>
            <w:tcW w:w="993" w:type="dxa"/>
            <w:tcBorders>
              <w:top w:val="single" w:sz="6" w:space="0" w:color="000000"/>
              <w:left w:val="single" w:sz="4" w:space="0" w:color="auto"/>
              <w:bottom w:val="single" w:sz="6" w:space="0" w:color="000000"/>
              <w:right w:val="single" w:sz="2"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55,1</w:t>
            </w:r>
          </w:p>
        </w:tc>
        <w:tc>
          <w:tcPr>
            <w:tcW w:w="962" w:type="dxa"/>
            <w:tcBorders>
              <w:top w:val="single" w:sz="6" w:space="0" w:color="000000"/>
              <w:left w:val="single" w:sz="4" w:space="0" w:color="auto"/>
              <w:bottom w:val="single" w:sz="6" w:space="0" w:color="000000"/>
              <w:right w:val="single" w:sz="2"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59,1</w:t>
            </w:r>
          </w:p>
        </w:tc>
      </w:tr>
      <w:tr w:rsidR="00E32574" w:rsidRPr="005243F8" w:rsidTr="00E32574">
        <w:trPr>
          <w:trHeight w:val="240"/>
        </w:trPr>
        <w:tc>
          <w:tcPr>
            <w:tcW w:w="1307"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Minas Gerais</w:t>
            </w:r>
          </w:p>
        </w:tc>
        <w:tc>
          <w:tcPr>
            <w:tcW w:w="992"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63,1</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65,5</w:t>
            </w:r>
          </w:p>
        </w:tc>
        <w:tc>
          <w:tcPr>
            <w:tcW w:w="993" w:type="dxa"/>
            <w:tcBorders>
              <w:top w:val="single" w:sz="6" w:space="0" w:color="000000"/>
              <w:left w:val="single" w:sz="4" w:space="0" w:color="auto"/>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73,1</w:t>
            </w:r>
          </w:p>
        </w:tc>
        <w:tc>
          <w:tcPr>
            <w:tcW w:w="992" w:type="dxa"/>
            <w:tcBorders>
              <w:top w:val="single" w:sz="6" w:space="0" w:color="000000"/>
              <w:left w:val="single" w:sz="4" w:space="0" w:color="auto"/>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75,5</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41,1</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43,4</w:t>
            </w:r>
          </w:p>
        </w:tc>
        <w:tc>
          <w:tcPr>
            <w:tcW w:w="993" w:type="dxa"/>
            <w:tcBorders>
              <w:top w:val="single" w:sz="6" w:space="0" w:color="000000"/>
              <w:left w:val="single" w:sz="4" w:space="0" w:color="auto"/>
              <w:bottom w:val="single" w:sz="6" w:space="0" w:color="000000"/>
              <w:right w:val="single" w:sz="2"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25,9</w:t>
            </w:r>
          </w:p>
        </w:tc>
        <w:tc>
          <w:tcPr>
            <w:tcW w:w="962" w:type="dxa"/>
            <w:tcBorders>
              <w:top w:val="single" w:sz="6" w:space="0" w:color="000000"/>
              <w:left w:val="single" w:sz="4" w:space="0" w:color="auto"/>
              <w:bottom w:val="single" w:sz="6" w:space="0" w:color="000000"/>
              <w:right w:val="single" w:sz="2"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28,2</w:t>
            </w:r>
          </w:p>
        </w:tc>
      </w:tr>
      <w:tr w:rsidR="00E32574" w:rsidRPr="005243F8" w:rsidTr="00E32574">
        <w:trPr>
          <w:trHeight w:val="240"/>
        </w:trPr>
        <w:tc>
          <w:tcPr>
            <w:tcW w:w="1307"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Sudeste</w:t>
            </w:r>
          </w:p>
        </w:tc>
        <w:tc>
          <w:tcPr>
            <w:tcW w:w="992"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71,8</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73,8</w:t>
            </w:r>
          </w:p>
        </w:tc>
        <w:tc>
          <w:tcPr>
            <w:tcW w:w="993" w:type="dxa"/>
            <w:tcBorders>
              <w:top w:val="single" w:sz="6" w:space="0" w:color="000000"/>
              <w:left w:val="single" w:sz="4" w:space="0" w:color="auto"/>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76,9</w:t>
            </w:r>
          </w:p>
        </w:tc>
        <w:tc>
          <w:tcPr>
            <w:tcW w:w="992" w:type="dxa"/>
            <w:tcBorders>
              <w:top w:val="single" w:sz="6" w:space="0" w:color="000000"/>
              <w:left w:val="single" w:sz="4" w:space="0" w:color="auto"/>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78,8</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61,2</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62,1</w:t>
            </w:r>
          </w:p>
        </w:tc>
        <w:tc>
          <w:tcPr>
            <w:tcW w:w="993" w:type="dxa"/>
            <w:tcBorders>
              <w:top w:val="single" w:sz="6" w:space="0" w:color="000000"/>
              <w:left w:val="single" w:sz="4" w:space="0" w:color="auto"/>
              <w:bottom w:val="single" w:sz="6" w:space="0" w:color="000000"/>
              <w:right w:val="single" w:sz="2"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40,8</w:t>
            </w:r>
          </w:p>
        </w:tc>
        <w:tc>
          <w:tcPr>
            <w:tcW w:w="962" w:type="dxa"/>
            <w:tcBorders>
              <w:top w:val="single" w:sz="6" w:space="0" w:color="000000"/>
              <w:left w:val="single" w:sz="4" w:space="0" w:color="auto"/>
              <w:bottom w:val="single" w:sz="6" w:space="0" w:color="000000"/>
              <w:right w:val="single" w:sz="2"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41,2</w:t>
            </w:r>
          </w:p>
        </w:tc>
      </w:tr>
      <w:tr w:rsidR="00E32574" w:rsidRPr="005243F8" w:rsidTr="00E32574">
        <w:trPr>
          <w:trHeight w:val="240"/>
        </w:trPr>
        <w:tc>
          <w:tcPr>
            <w:tcW w:w="1307"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Brasil</w:t>
            </w:r>
          </w:p>
        </w:tc>
        <w:tc>
          <w:tcPr>
            <w:tcW w:w="992"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46,2</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48,1</w:t>
            </w:r>
          </w:p>
        </w:tc>
        <w:tc>
          <w:tcPr>
            <w:tcW w:w="993" w:type="dxa"/>
            <w:tcBorders>
              <w:top w:val="single" w:sz="6" w:space="0" w:color="000000"/>
              <w:left w:val="single" w:sz="4" w:space="0" w:color="auto"/>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53,5</w:t>
            </w:r>
          </w:p>
        </w:tc>
        <w:tc>
          <w:tcPr>
            <w:tcW w:w="992" w:type="dxa"/>
            <w:tcBorders>
              <w:top w:val="single" w:sz="6" w:space="0" w:color="000000"/>
              <w:left w:val="single" w:sz="4" w:space="0" w:color="auto"/>
              <w:bottom w:val="single" w:sz="6" w:space="0" w:color="000000"/>
              <w:right w:val="single" w:sz="4"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55,5</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68,2</w:t>
            </w:r>
          </w:p>
        </w:tc>
        <w:tc>
          <w:tcPr>
            <w:tcW w:w="992" w:type="dxa"/>
            <w:tcBorders>
              <w:top w:val="single" w:sz="6" w:space="0" w:color="000000"/>
              <w:left w:val="single" w:sz="4" w:space="0" w:color="000000"/>
              <w:bottom w:val="single" w:sz="6" w:space="0" w:color="000000"/>
              <w:right w:val="single" w:sz="4" w:space="0" w:color="auto"/>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68,8</w:t>
            </w:r>
          </w:p>
        </w:tc>
        <w:tc>
          <w:tcPr>
            <w:tcW w:w="993" w:type="dxa"/>
            <w:tcBorders>
              <w:top w:val="single" w:sz="6" w:space="0" w:color="000000"/>
              <w:left w:val="single" w:sz="4" w:space="0" w:color="auto"/>
              <w:bottom w:val="single" w:sz="6" w:space="0" w:color="000000"/>
              <w:right w:val="single" w:sz="2"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37,8</w:t>
            </w:r>
          </w:p>
        </w:tc>
        <w:tc>
          <w:tcPr>
            <w:tcW w:w="962" w:type="dxa"/>
            <w:tcBorders>
              <w:top w:val="single" w:sz="6" w:space="0" w:color="000000"/>
              <w:left w:val="single" w:sz="4" w:space="0" w:color="auto"/>
              <w:bottom w:val="single" w:sz="6" w:space="0" w:color="000000"/>
              <w:right w:val="single" w:sz="2" w:space="0" w:color="000000"/>
            </w:tcBorders>
            <w:vAlign w:val="center"/>
          </w:tcPr>
          <w:p w:rsidR="00E32574" w:rsidRPr="005243F8" w:rsidRDefault="00E32574" w:rsidP="00B84A6E">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37,5</w:t>
            </w:r>
          </w:p>
        </w:tc>
      </w:tr>
    </w:tbl>
    <w:p w:rsidR="00E32574" w:rsidRPr="00DC2368" w:rsidRDefault="00E32574" w:rsidP="00AB7E80">
      <w:pPr>
        <w:pStyle w:val="Fonte"/>
      </w:pPr>
      <w:r w:rsidRPr="00DC2368">
        <w:t>Fonte: SNIS, 2010/2011.</w:t>
      </w:r>
    </w:p>
    <w:p w:rsidR="00E32574" w:rsidRPr="00CB7686" w:rsidRDefault="00B84A6E" w:rsidP="00971B37">
      <w:pPr>
        <w:pStyle w:val="Titulo"/>
      </w:pPr>
      <w:bookmarkStart w:id="407" w:name="_Toc372559127"/>
      <w:bookmarkStart w:id="408" w:name="_Toc372789558"/>
      <w:r>
        <w:t xml:space="preserve">12.4 </w:t>
      </w:r>
      <w:r w:rsidR="00E32574" w:rsidRPr="00CB7686">
        <w:t xml:space="preserve">Balanço consumos </w:t>
      </w:r>
      <w:r w:rsidR="00E32574" w:rsidRPr="000C5DD6">
        <w:rPr>
          <w:i/>
        </w:rPr>
        <w:t>versus</w:t>
      </w:r>
      <w:r w:rsidR="00E32574" w:rsidRPr="00CB7686">
        <w:t xml:space="preserve"> demandas do sistema de esgoto pelo município</w:t>
      </w:r>
      <w:bookmarkEnd w:id="407"/>
      <w:bookmarkEnd w:id="408"/>
    </w:p>
    <w:p w:rsidR="00E32574" w:rsidRPr="00901301" w:rsidRDefault="00E32574" w:rsidP="00B84A6E">
      <w:pPr>
        <w:pStyle w:val="CM71"/>
        <w:spacing w:line="360" w:lineRule="auto"/>
        <w:ind w:firstLine="709"/>
        <w:jc w:val="both"/>
        <w:rPr>
          <w:rFonts w:ascii="Times New Roman" w:hAnsi="Times New Roman" w:cs="Times New Roman"/>
        </w:rPr>
      </w:pPr>
      <w:r w:rsidRPr="00901301">
        <w:rPr>
          <w:rFonts w:ascii="Times New Roman" w:hAnsi="Times New Roman" w:cs="Times New Roman"/>
        </w:rPr>
        <w:t xml:space="preserve">É comum em estudos de planejamento, principalmente de cidades de pequeno porte onde há grande diferença entre a população atendida pelo </w:t>
      </w:r>
      <w:r>
        <w:rPr>
          <w:rFonts w:ascii="Times New Roman" w:hAnsi="Times New Roman" w:cs="Times New Roman"/>
        </w:rPr>
        <w:t>sistema de coleta e tratamento esgoto</w:t>
      </w:r>
      <w:r w:rsidRPr="00901301">
        <w:rPr>
          <w:rFonts w:ascii="Times New Roman" w:hAnsi="Times New Roman" w:cs="Times New Roman"/>
        </w:rPr>
        <w:t xml:space="preserve"> e a população total, os órgãos competentes realizarem estudos da demanda máxima diária com as duas situações (população atendida e população total) diferenciadas, para desenvolver uma análise crítica dos valores encontrados.</w:t>
      </w:r>
    </w:p>
    <w:p w:rsidR="00E32574" w:rsidRDefault="00E32574" w:rsidP="00B84A6E">
      <w:pPr>
        <w:pStyle w:val="CM71"/>
        <w:spacing w:line="360" w:lineRule="auto"/>
        <w:ind w:firstLine="709"/>
        <w:jc w:val="both"/>
        <w:rPr>
          <w:rFonts w:ascii="Times New Roman" w:hAnsi="Times New Roman" w:cs="Times New Roman"/>
        </w:rPr>
      </w:pPr>
      <w:r w:rsidRPr="00901301">
        <w:rPr>
          <w:rFonts w:ascii="Times New Roman" w:hAnsi="Times New Roman" w:cs="Times New Roman"/>
        </w:rPr>
        <w:t>Como mencionado anteriormente, a capacidade normal de produção da ET</w:t>
      </w:r>
      <w:r w:rsidR="000A3E8C">
        <w:rPr>
          <w:rFonts w:ascii="Times New Roman" w:hAnsi="Times New Roman" w:cs="Times New Roman"/>
        </w:rPr>
        <w:t>E</w:t>
      </w:r>
      <w:r>
        <w:rPr>
          <w:rFonts w:ascii="Times New Roman" w:hAnsi="Times New Roman" w:cs="Times New Roman"/>
        </w:rPr>
        <w:t xml:space="preserve"> </w:t>
      </w:r>
      <w:r w:rsidRPr="00901301">
        <w:rPr>
          <w:rFonts w:ascii="Times New Roman" w:hAnsi="Times New Roman" w:cs="Times New Roman"/>
        </w:rPr>
        <w:t>d</w:t>
      </w:r>
      <w:r>
        <w:rPr>
          <w:rFonts w:ascii="Times New Roman" w:hAnsi="Times New Roman" w:cs="Times New Roman"/>
        </w:rPr>
        <w:t>o</w:t>
      </w:r>
      <w:r w:rsidRPr="00901301">
        <w:rPr>
          <w:rFonts w:ascii="Times New Roman" w:hAnsi="Times New Roman" w:cs="Times New Roman"/>
        </w:rPr>
        <w:t xml:space="preserve"> </w:t>
      </w:r>
      <w:r>
        <w:rPr>
          <w:rFonts w:ascii="Times New Roman" w:hAnsi="Times New Roman" w:cs="Times New Roman"/>
        </w:rPr>
        <w:t>SAAE na sede de Aimorés, é de 25,0</w:t>
      </w:r>
      <w:r w:rsidR="00B84A6E">
        <w:rPr>
          <w:rFonts w:ascii="Times New Roman" w:hAnsi="Times New Roman" w:cs="Times New Roman"/>
        </w:rPr>
        <w:t xml:space="preserve"> L.</w:t>
      </w:r>
      <w:r w:rsidRPr="00901301">
        <w:rPr>
          <w:rFonts w:ascii="Times New Roman" w:hAnsi="Times New Roman" w:cs="Times New Roman"/>
        </w:rPr>
        <w:t>s</w:t>
      </w:r>
      <w:r w:rsidR="00B84A6E" w:rsidRPr="00B84A6E">
        <w:rPr>
          <w:rFonts w:ascii="Times New Roman" w:hAnsi="Times New Roman" w:cs="Times New Roman"/>
          <w:vertAlign w:val="superscript"/>
        </w:rPr>
        <w:t>-1</w:t>
      </w:r>
      <w:r>
        <w:rPr>
          <w:rFonts w:ascii="Times New Roman" w:hAnsi="Times New Roman" w:cs="Times New Roman"/>
        </w:rPr>
        <w:t>.</w:t>
      </w:r>
    </w:p>
    <w:p w:rsidR="00E32574" w:rsidRPr="00901301" w:rsidRDefault="00E32574" w:rsidP="00B84A6E">
      <w:pPr>
        <w:pStyle w:val="CM71"/>
        <w:spacing w:line="360" w:lineRule="auto"/>
        <w:ind w:firstLine="709"/>
        <w:jc w:val="both"/>
        <w:rPr>
          <w:rFonts w:ascii="Times New Roman" w:hAnsi="Times New Roman" w:cs="Times New Roman"/>
        </w:rPr>
      </w:pPr>
      <w:r w:rsidRPr="00901301">
        <w:rPr>
          <w:rFonts w:ascii="Times New Roman" w:hAnsi="Times New Roman" w:cs="Times New Roman"/>
        </w:rPr>
        <w:t>Para o cálculo da deman</w:t>
      </w:r>
      <w:r>
        <w:rPr>
          <w:rFonts w:ascii="Times New Roman" w:hAnsi="Times New Roman" w:cs="Times New Roman"/>
        </w:rPr>
        <w:t xml:space="preserve">da máxima diária do sistema de coleta e tratamento </w:t>
      </w:r>
      <w:r w:rsidRPr="00901301">
        <w:rPr>
          <w:rFonts w:ascii="Times New Roman" w:hAnsi="Times New Roman" w:cs="Times New Roman"/>
        </w:rPr>
        <w:t xml:space="preserve">de </w:t>
      </w:r>
      <w:r>
        <w:rPr>
          <w:rFonts w:ascii="Times New Roman" w:hAnsi="Times New Roman" w:cs="Times New Roman"/>
        </w:rPr>
        <w:t>esgoto do</w:t>
      </w:r>
      <w:r w:rsidRPr="00901301">
        <w:rPr>
          <w:rFonts w:ascii="Times New Roman" w:hAnsi="Times New Roman" w:cs="Times New Roman"/>
        </w:rPr>
        <w:t xml:space="preserve"> </w:t>
      </w:r>
      <w:r>
        <w:rPr>
          <w:rFonts w:ascii="Times New Roman" w:hAnsi="Times New Roman" w:cs="Times New Roman"/>
        </w:rPr>
        <w:t>SAAE</w:t>
      </w:r>
      <w:r w:rsidRPr="00901301">
        <w:rPr>
          <w:rFonts w:ascii="Times New Roman" w:hAnsi="Times New Roman" w:cs="Times New Roman"/>
        </w:rPr>
        <w:t xml:space="preserve">, considera-se a população </w:t>
      </w:r>
      <w:r>
        <w:rPr>
          <w:rFonts w:ascii="Times New Roman" w:hAnsi="Times New Roman" w:cs="Times New Roman"/>
        </w:rPr>
        <w:t>total</w:t>
      </w:r>
      <w:r w:rsidR="00160B79">
        <w:rPr>
          <w:rFonts w:ascii="Times New Roman" w:hAnsi="Times New Roman" w:cs="Times New Roman"/>
        </w:rPr>
        <w:t xml:space="preserve"> urbana</w:t>
      </w:r>
      <w:r>
        <w:rPr>
          <w:rFonts w:ascii="Times New Roman" w:hAnsi="Times New Roman" w:cs="Times New Roman"/>
        </w:rPr>
        <w:t xml:space="preserve"> </w:t>
      </w:r>
      <w:r w:rsidRPr="00901301">
        <w:rPr>
          <w:rFonts w:ascii="Times New Roman" w:hAnsi="Times New Roman" w:cs="Times New Roman"/>
        </w:rPr>
        <w:t xml:space="preserve">do município, de </w:t>
      </w:r>
      <w:r w:rsidR="00874333" w:rsidRPr="00160B79">
        <w:rPr>
          <w:rFonts w:ascii="Times New Roman" w:hAnsi="Times New Roman" w:cs="Times New Roman"/>
        </w:rPr>
        <w:t>19</w:t>
      </w:r>
      <w:r w:rsidR="00160B79" w:rsidRPr="00160B79">
        <w:rPr>
          <w:rFonts w:ascii="Times New Roman" w:hAnsi="Times New Roman" w:cs="Times New Roman"/>
        </w:rPr>
        <w:t>.</w:t>
      </w:r>
      <w:r w:rsidR="00874333" w:rsidRPr="00160B79">
        <w:rPr>
          <w:rFonts w:ascii="Times New Roman" w:hAnsi="Times New Roman" w:cs="Times New Roman"/>
        </w:rPr>
        <w:t>700</w:t>
      </w:r>
      <w:r w:rsidRPr="00160B79">
        <w:rPr>
          <w:rFonts w:ascii="Times New Roman" w:hAnsi="Times New Roman" w:cs="Times New Roman"/>
        </w:rPr>
        <w:t xml:space="preserve"> habitantes.</w:t>
      </w:r>
    </w:p>
    <w:p w:rsidR="00E32574" w:rsidRPr="00901301" w:rsidRDefault="00E32574" w:rsidP="00B84A6E">
      <w:pPr>
        <w:pStyle w:val="CM71"/>
        <w:spacing w:line="360" w:lineRule="auto"/>
        <w:ind w:firstLine="709"/>
        <w:jc w:val="both"/>
        <w:rPr>
          <w:rFonts w:ascii="Times New Roman" w:hAnsi="Times New Roman" w:cs="Times New Roman"/>
        </w:rPr>
      </w:pPr>
      <w:r w:rsidRPr="00901301">
        <w:rPr>
          <w:rFonts w:ascii="Times New Roman" w:hAnsi="Times New Roman" w:cs="Times New Roman"/>
        </w:rPr>
        <w:t xml:space="preserve">A demanda máxima diária de água é então calculada utilizando a fórmula elaborada por </w:t>
      </w:r>
      <w:r>
        <w:rPr>
          <w:rFonts w:ascii="Times New Roman" w:hAnsi="Times New Roman" w:cs="Times New Roman"/>
        </w:rPr>
        <w:t>Nuvolari (2003</w:t>
      </w:r>
      <w:r w:rsidRPr="00901301">
        <w:rPr>
          <w:rFonts w:ascii="Times New Roman" w:hAnsi="Times New Roman" w:cs="Times New Roman"/>
        </w:rPr>
        <w:t>):</w:t>
      </w:r>
    </w:p>
    <w:p w:rsidR="00E32574" w:rsidRDefault="00E32574" w:rsidP="00B84A6E">
      <w:pPr>
        <w:autoSpaceDE w:val="0"/>
        <w:autoSpaceDN w:val="0"/>
        <w:adjustRightInd w:val="0"/>
        <w:spacing w:before="120" w:after="120" w:line="240" w:lineRule="auto"/>
        <w:ind w:left="567"/>
        <w:rPr>
          <w:b/>
          <w:bCs/>
          <w:szCs w:val="24"/>
        </w:rPr>
      </w:pPr>
      <w:r>
        <w:rPr>
          <w:b/>
          <w:bCs/>
          <w:szCs w:val="24"/>
        </w:rPr>
        <w:lastRenderedPageBreak/>
        <w:t>Q = [(C.P</w:t>
      </w:r>
      <w:r w:rsidRPr="00901301">
        <w:rPr>
          <w:b/>
          <w:bCs/>
          <w:szCs w:val="24"/>
        </w:rPr>
        <w:t>.q) / 86400]</w:t>
      </w:r>
      <w:r w:rsidR="00C21828">
        <w:rPr>
          <w:b/>
          <w:bCs/>
          <w:szCs w:val="24"/>
        </w:rPr>
        <w:t>........................................................................................Eq. 4</w:t>
      </w:r>
    </w:p>
    <w:p w:rsidR="00E32574" w:rsidRPr="00901301" w:rsidRDefault="00E32574" w:rsidP="00E32574">
      <w:pPr>
        <w:autoSpaceDE w:val="0"/>
        <w:autoSpaceDN w:val="0"/>
        <w:adjustRightInd w:val="0"/>
        <w:spacing w:after="0" w:line="360" w:lineRule="auto"/>
        <w:jc w:val="both"/>
        <w:rPr>
          <w:szCs w:val="24"/>
        </w:rPr>
      </w:pPr>
      <w:r w:rsidRPr="00901301">
        <w:rPr>
          <w:szCs w:val="24"/>
        </w:rPr>
        <w:t>Onde:</w:t>
      </w:r>
    </w:p>
    <w:p w:rsidR="00E32574" w:rsidRPr="00901301" w:rsidRDefault="00E32574" w:rsidP="00E32574">
      <w:pPr>
        <w:autoSpaceDE w:val="0"/>
        <w:autoSpaceDN w:val="0"/>
        <w:adjustRightInd w:val="0"/>
        <w:spacing w:after="0" w:line="360" w:lineRule="auto"/>
        <w:jc w:val="both"/>
        <w:rPr>
          <w:szCs w:val="24"/>
        </w:rPr>
      </w:pPr>
      <w:r w:rsidRPr="00901301">
        <w:rPr>
          <w:szCs w:val="24"/>
        </w:rPr>
        <w:t xml:space="preserve">Q = </w:t>
      </w:r>
      <w:r>
        <w:rPr>
          <w:szCs w:val="24"/>
        </w:rPr>
        <w:t>vazão</w:t>
      </w:r>
      <w:r w:rsidRPr="00901301">
        <w:rPr>
          <w:szCs w:val="24"/>
        </w:rPr>
        <w:t xml:space="preserve"> máxima diária de </w:t>
      </w:r>
      <w:r>
        <w:rPr>
          <w:szCs w:val="24"/>
        </w:rPr>
        <w:t>esgoto</w:t>
      </w:r>
      <w:r w:rsidRPr="00901301">
        <w:rPr>
          <w:szCs w:val="24"/>
        </w:rPr>
        <w:t xml:space="preserve"> (L</w:t>
      </w:r>
      <w:r w:rsidR="00781FE4">
        <w:rPr>
          <w:szCs w:val="24"/>
        </w:rPr>
        <w:t>.</w:t>
      </w:r>
      <w:r w:rsidRPr="00901301">
        <w:rPr>
          <w:szCs w:val="24"/>
        </w:rPr>
        <w:t>s</w:t>
      </w:r>
      <w:r w:rsidR="00781FE4" w:rsidRPr="00781FE4">
        <w:rPr>
          <w:szCs w:val="24"/>
          <w:vertAlign w:val="superscript"/>
        </w:rPr>
        <w:t>-1</w:t>
      </w:r>
      <w:r w:rsidRPr="00901301">
        <w:rPr>
          <w:szCs w:val="24"/>
        </w:rPr>
        <w:t>);</w:t>
      </w:r>
    </w:p>
    <w:p w:rsidR="00E32574" w:rsidRPr="00901301" w:rsidRDefault="00E32574" w:rsidP="00E32574">
      <w:pPr>
        <w:autoSpaceDE w:val="0"/>
        <w:autoSpaceDN w:val="0"/>
        <w:adjustRightInd w:val="0"/>
        <w:spacing w:after="0" w:line="360" w:lineRule="auto"/>
        <w:jc w:val="both"/>
        <w:rPr>
          <w:szCs w:val="24"/>
        </w:rPr>
      </w:pPr>
      <w:r w:rsidRPr="00901301">
        <w:rPr>
          <w:szCs w:val="24"/>
        </w:rPr>
        <w:t>P = população</w:t>
      </w:r>
      <w:r>
        <w:rPr>
          <w:szCs w:val="24"/>
        </w:rPr>
        <w:t xml:space="preserve"> total = </w:t>
      </w:r>
      <w:r w:rsidR="00160B79" w:rsidRPr="00160B79">
        <w:rPr>
          <w:szCs w:val="24"/>
        </w:rPr>
        <w:t>19</w:t>
      </w:r>
      <w:r w:rsidRPr="00160B79">
        <w:rPr>
          <w:szCs w:val="24"/>
        </w:rPr>
        <w:t>.</w:t>
      </w:r>
      <w:r w:rsidR="00160B79" w:rsidRPr="00160B79">
        <w:rPr>
          <w:szCs w:val="24"/>
        </w:rPr>
        <w:t>700</w:t>
      </w:r>
      <w:r w:rsidRPr="00160B79">
        <w:rPr>
          <w:szCs w:val="24"/>
        </w:rPr>
        <w:t xml:space="preserve"> habitantes</w:t>
      </w:r>
      <w:r>
        <w:rPr>
          <w:szCs w:val="24"/>
        </w:rPr>
        <w:t>;</w:t>
      </w:r>
      <w:r w:rsidRPr="00901301">
        <w:rPr>
          <w:szCs w:val="24"/>
        </w:rPr>
        <w:t xml:space="preserve"> </w:t>
      </w:r>
    </w:p>
    <w:p w:rsidR="00E32574" w:rsidRPr="00901301" w:rsidRDefault="00E32574" w:rsidP="00E32574">
      <w:pPr>
        <w:autoSpaceDE w:val="0"/>
        <w:autoSpaceDN w:val="0"/>
        <w:adjustRightInd w:val="0"/>
        <w:spacing w:after="0" w:line="360" w:lineRule="auto"/>
        <w:jc w:val="both"/>
        <w:rPr>
          <w:szCs w:val="24"/>
        </w:rPr>
      </w:pPr>
      <w:r>
        <w:rPr>
          <w:szCs w:val="24"/>
        </w:rPr>
        <w:t>C = coeficiente de retorno (média brasileira) = 0,80</w:t>
      </w:r>
      <w:r w:rsidRPr="00901301">
        <w:rPr>
          <w:szCs w:val="24"/>
        </w:rPr>
        <w:t>;</w:t>
      </w:r>
    </w:p>
    <w:p w:rsidR="00E32574" w:rsidRPr="00901301" w:rsidRDefault="00E32574" w:rsidP="00E32574">
      <w:pPr>
        <w:autoSpaceDE w:val="0"/>
        <w:autoSpaceDN w:val="0"/>
        <w:adjustRightInd w:val="0"/>
        <w:spacing w:after="0" w:line="360" w:lineRule="auto"/>
        <w:jc w:val="both"/>
        <w:rPr>
          <w:szCs w:val="24"/>
        </w:rPr>
      </w:pPr>
      <w:r w:rsidRPr="00901301">
        <w:rPr>
          <w:szCs w:val="24"/>
        </w:rPr>
        <w:t xml:space="preserve">q = consumo médio </w:t>
      </w:r>
      <w:r w:rsidRPr="00901301">
        <w:rPr>
          <w:i/>
          <w:iCs/>
          <w:szCs w:val="24"/>
        </w:rPr>
        <w:t xml:space="preserve">per capita </w:t>
      </w:r>
      <w:r>
        <w:rPr>
          <w:szCs w:val="24"/>
        </w:rPr>
        <w:t xml:space="preserve">de água = </w:t>
      </w:r>
      <w:r w:rsidRPr="00160B79">
        <w:rPr>
          <w:szCs w:val="24"/>
        </w:rPr>
        <w:t>1</w:t>
      </w:r>
      <w:r w:rsidR="00160B79" w:rsidRPr="00160B79">
        <w:rPr>
          <w:szCs w:val="24"/>
        </w:rPr>
        <w:t>90</w:t>
      </w:r>
      <w:r w:rsidRPr="00160B79">
        <w:rPr>
          <w:szCs w:val="24"/>
        </w:rPr>
        <w:t>,</w:t>
      </w:r>
      <w:r w:rsidR="00160B79" w:rsidRPr="00160B79">
        <w:rPr>
          <w:szCs w:val="24"/>
        </w:rPr>
        <w:t>0</w:t>
      </w:r>
      <w:r w:rsidRPr="00160B79">
        <w:rPr>
          <w:szCs w:val="24"/>
        </w:rPr>
        <w:t>0 L</w:t>
      </w:r>
      <w:r w:rsidR="00781FE4">
        <w:rPr>
          <w:szCs w:val="24"/>
        </w:rPr>
        <w:t>.</w:t>
      </w:r>
      <w:r w:rsidR="00885F7E" w:rsidRPr="00160B79">
        <w:rPr>
          <w:szCs w:val="24"/>
        </w:rPr>
        <w:t>hab</w:t>
      </w:r>
      <w:r w:rsidR="00781FE4" w:rsidRPr="00781FE4">
        <w:rPr>
          <w:szCs w:val="24"/>
          <w:vertAlign w:val="superscript"/>
        </w:rPr>
        <w:t>-1</w:t>
      </w:r>
      <w:r w:rsidR="00885F7E" w:rsidRPr="00160B79">
        <w:rPr>
          <w:szCs w:val="24"/>
        </w:rPr>
        <w:t>. dia</w:t>
      </w:r>
      <w:r w:rsidRPr="00901301">
        <w:rPr>
          <w:szCs w:val="24"/>
        </w:rPr>
        <w:t xml:space="preserve"> (</w:t>
      </w:r>
      <w:r>
        <w:rPr>
          <w:szCs w:val="24"/>
        </w:rPr>
        <w:t>SAAE</w:t>
      </w:r>
      <w:r w:rsidRPr="00901301">
        <w:rPr>
          <w:szCs w:val="24"/>
        </w:rPr>
        <w:t>);</w:t>
      </w:r>
    </w:p>
    <w:p w:rsidR="00E32574" w:rsidRDefault="00E32574" w:rsidP="00E32574">
      <w:pPr>
        <w:autoSpaceDE w:val="0"/>
        <w:autoSpaceDN w:val="0"/>
        <w:adjustRightInd w:val="0"/>
        <w:spacing w:after="0" w:line="360" w:lineRule="auto"/>
        <w:jc w:val="both"/>
        <w:rPr>
          <w:szCs w:val="24"/>
        </w:rPr>
      </w:pPr>
      <w:r w:rsidRPr="00901301">
        <w:rPr>
          <w:szCs w:val="24"/>
        </w:rPr>
        <w:t>Portanto:</w:t>
      </w:r>
    </w:p>
    <w:p w:rsidR="00E32574" w:rsidRPr="00901301" w:rsidRDefault="00E32574" w:rsidP="00781FE4">
      <w:pPr>
        <w:autoSpaceDE w:val="0"/>
        <w:autoSpaceDN w:val="0"/>
        <w:adjustRightInd w:val="0"/>
        <w:spacing w:before="120" w:after="120" w:line="240" w:lineRule="auto"/>
        <w:ind w:left="567"/>
        <w:jc w:val="both"/>
        <w:rPr>
          <w:b/>
          <w:bCs/>
          <w:szCs w:val="24"/>
        </w:rPr>
      </w:pPr>
      <w:r w:rsidRPr="00901301">
        <w:rPr>
          <w:b/>
          <w:bCs/>
          <w:szCs w:val="24"/>
        </w:rPr>
        <w:t>Q = [((</w:t>
      </w:r>
      <w:r>
        <w:rPr>
          <w:b/>
          <w:bCs/>
          <w:szCs w:val="24"/>
        </w:rPr>
        <w:t>0,8).(</w:t>
      </w:r>
      <w:r w:rsidR="00160B79">
        <w:rPr>
          <w:b/>
          <w:bCs/>
          <w:szCs w:val="24"/>
        </w:rPr>
        <w:t>19</w:t>
      </w:r>
      <w:r>
        <w:rPr>
          <w:b/>
          <w:bCs/>
          <w:szCs w:val="24"/>
        </w:rPr>
        <w:t>.</w:t>
      </w:r>
      <w:r w:rsidR="00160B79">
        <w:rPr>
          <w:b/>
          <w:bCs/>
          <w:szCs w:val="24"/>
        </w:rPr>
        <w:t>700</w:t>
      </w:r>
      <w:r>
        <w:rPr>
          <w:b/>
          <w:bCs/>
          <w:szCs w:val="24"/>
        </w:rPr>
        <w:t>).(1</w:t>
      </w:r>
      <w:r w:rsidR="00160B79">
        <w:rPr>
          <w:b/>
          <w:bCs/>
          <w:szCs w:val="24"/>
        </w:rPr>
        <w:t>90</w:t>
      </w:r>
      <w:r>
        <w:rPr>
          <w:b/>
          <w:bCs/>
          <w:szCs w:val="24"/>
        </w:rPr>
        <w:t>,</w:t>
      </w:r>
      <w:r w:rsidR="00160B79">
        <w:rPr>
          <w:b/>
          <w:bCs/>
          <w:szCs w:val="24"/>
        </w:rPr>
        <w:t>0</w:t>
      </w:r>
      <w:r>
        <w:rPr>
          <w:b/>
          <w:bCs/>
          <w:szCs w:val="24"/>
        </w:rPr>
        <w:t>0</w:t>
      </w:r>
      <w:r w:rsidRPr="00901301">
        <w:rPr>
          <w:b/>
          <w:bCs/>
          <w:szCs w:val="24"/>
        </w:rPr>
        <w:t>)) / 86400]</w:t>
      </w:r>
    </w:p>
    <w:p w:rsidR="00E32574" w:rsidRDefault="00E32574" w:rsidP="00781FE4">
      <w:pPr>
        <w:autoSpaceDE w:val="0"/>
        <w:autoSpaceDN w:val="0"/>
        <w:adjustRightInd w:val="0"/>
        <w:spacing w:before="120" w:after="120" w:line="240" w:lineRule="auto"/>
        <w:ind w:left="567"/>
        <w:jc w:val="both"/>
        <w:rPr>
          <w:b/>
          <w:bCs/>
          <w:szCs w:val="24"/>
        </w:rPr>
      </w:pPr>
      <w:r w:rsidRPr="00901301">
        <w:rPr>
          <w:b/>
          <w:bCs/>
          <w:szCs w:val="24"/>
        </w:rPr>
        <w:t xml:space="preserve">Q = </w:t>
      </w:r>
      <w:r w:rsidR="00160B79">
        <w:rPr>
          <w:b/>
          <w:bCs/>
          <w:szCs w:val="24"/>
        </w:rPr>
        <w:t>34</w:t>
      </w:r>
      <w:r>
        <w:rPr>
          <w:b/>
          <w:bCs/>
          <w:szCs w:val="24"/>
        </w:rPr>
        <w:t>,</w:t>
      </w:r>
      <w:r w:rsidR="00160B79">
        <w:rPr>
          <w:b/>
          <w:bCs/>
          <w:szCs w:val="24"/>
        </w:rPr>
        <w:t>6</w:t>
      </w:r>
      <w:r>
        <w:rPr>
          <w:b/>
          <w:bCs/>
          <w:szCs w:val="24"/>
        </w:rPr>
        <w:t>6</w:t>
      </w:r>
      <w:r w:rsidRPr="00901301">
        <w:rPr>
          <w:b/>
          <w:bCs/>
          <w:szCs w:val="24"/>
        </w:rPr>
        <w:t xml:space="preserve"> L/s</w:t>
      </w:r>
    </w:p>
    <w:p w:rsidR="00E32574" w:rsidRDefault="00E32574" w:rsidP="00903AC6">
      <w:pPr>
        <w:pStyle w:val="CM71"/>
        <w:spacing w:line="360" w:lineRule="auto"/>
        <w:ind w:firstLine="709"/>
        <w:jc w:val="both"/>
        <w:rPr>
          <w:rFonts w:ascii="Times New Roman" w:hAnsi="Times New Roman" w:cs="Times New Roman"/>
        </w:rPr>
      </w:pPr>
      <w:r w:rsidRPr="00901301">
        <w:rPr>
          <w:rFonts w:ascii="Times New Roman" w:hAnsi="Times New Roman" w:cs="Times New Roman"/>
        </w:rPr>
        <w:t xml:space="preserve">A demanda máxima diária é de </w:t>
      </w:r>
      <w:r w:rsidR="00160B79">
        <w:rPr>
          <w:rFonts w:ascii="Times New Roman" w:hAnsi="Times New Roman" w:cs="Times New Roman"/>
        </w:rPr>
        <w:t>34</w:t>
      </w:r>
      <w:r>
        <w:rPr>
          <w:rFonts w:ascii="Times New Roman" w:hAnsi="Times New Roman" w:cs="Times New Roman"/>
        </w:rPr>
        <w:t>,</w:t>
      </w:r>
      <w:r w:rsidR="00160B79">
        <w:rPr>
          <w:rFonts w:ascii="Times New Roman" w:hAnsi="Times New Roman" w:cs="Times New Roman"/>
        </w:rPr>
        <w:t>66</w:t>
      </w:r>
      <w:r w:rsidRPr="00901301">
        <w:rPr>
          <w:rFonts w:ascii="Times New Roman" w:hAnsi="Times New Roman" w:cs="Times New Roman"/>
        </w:rPr>
        <w:t xml:space="preserve"> L/s,</w:t>
      </w:r>
      <w:r>
        <w:rPr>
          <w:rFonts w:ascii="Times New Roman" w:hAnsi="Times New Roman" w:cs="Times New Roman"/>
        </w:rPr>
        <w:t xml:space="preserve"> o</w:t>
      </w:r>
      <w:r w:rsidRPr="00901301">
        <w:rPr>
          <w:rFonts w:ascii="Times New Roman" w:hAnsi="Times New Roman" w:cs="Times New Roman"/>
        </w:rPr>
        <w:t xml:space="preserve">u seja, o sistema hoje em utilização com </w:t>
      </w:r>
      <w:r>
        <w:rPr>
          <w:rFonts w:ascii="Times New Roman" w:hAnsi="Times New Roman" w:cs="Times New Roman"/>
        </w:rPr>
        <w:t xml:space="preserve">tratamento e coleta é </w:t>
      </w:r>
      <w:r w:rsidRPr="00901301">
        <w:rPr>
          <w:rFonts w:ascii="Times New Roman" w:hAnsi="Times New Roman" w:cs="Times New Roman"/>
        </w:rPr>
        <w:t xml:space="preserve">de </w:t>
      </w:r>
      <w:r>
        <w:rPr>
          <w:rFonts w:ascii="Times New Roman" w:hAnsi="Times New Roman" w:cs="Times New Roman"/>
        </w:rPr>
        <w:t>25,0</w:t>
      </w:r>
      <w:r w:rsidRPr="00901301">
        <w:rPr>
          <w:rFonts w:ascii="Times New Roman" w:hAnsi="Times New Roman" w:cs="Times New Roman"/>
        </w:rPr>
        <w:t xml:space="preserve"> L</w:t>
      </w:r>
      <w:r w:rsidR="00781FE4">
        <w:rPr>
          <w:rFonts w:ascii="Times New Roman" w:hAnsi="Times New Roman" w:cs="Times New Roman"/>
        </w:rPr>
        <w:t>.</w:t>
      </w:r>
      <w:r w:rsidRPr="00901301">
        <w:rPr>
          <w:rFonts w:ascii="Times New Roman" w:hAnsi="Times New Roman" w:cs="Times New Roman"/>
        </w:rPr>
        <w:t>s</w:t>
      </w:r>
      <w:r w:rsidR="00781FE4" w:rsidRPr="00781FE4">
        <w:rPr>
          <w:rFonts w:ascii="Times New Roman" w:hAnsi="Times New Roman" w:cs="Times New Roman"/>
          <w:vertAlign w:val="superscript"/>
        </w:rPr>
        <w:t>-1</w:t>
      </w:r>
      <w:r w:rsidRPr="00901301">
        <w:rPr>
          <w:rFonts w:ascii="Times New Roman" w:hAnsi="Times New Roman" w:cs="Times New Roman"/>
        </w:rPr>
        <w:t xml:space="preserve"> da</w:t>
      </w:r>
      <w:r>
        <w:rPr>
          <w:rFonts w:ascii="Times New Roman" w:hAnsi="Times New Roman" w:cs="Times New Roman"/>
        </w:rPr>
        <w:t xml:space="preserve"> ETE</w:t>
      </w:r>
      <w:r w:rsidRPr="00901301">
        <w:rPr>
          <w:rFonts w:ascii="Times New Roman" w:hAnsi="Times New Roman" w:cs="Times New Roman"/>
        </w:rPr>
        <w:t xml:space="preserve">, </w:t>
      </w:r>
      <w:r w:rsidR="00781FE4">
        <w:rPr>
          <w:rFonts w:ascii="Times New Roman" w:hAnsi="Times New Roman" w:cs="Times New Roman"/>
        </w:rPr>
        <w:t xml:space="preserve">isso implica que o sistema de tratamento de esgoto </w:t>
      </w:r>
      <w:r>
        <w:rPr>
          <w:rFonts w:ascii="Times New Roman" w:hAnsi="Times New Roman" w:cs="Times New Roman"/>
        </w:rPr>
        <w:t xml:space="preserve">não </w:t>
      </w:r>
      <w:r w:rsidRPr="00901301">
        <w:rPr>
          <w:rFonts w:ascii="Times New Roman" w:hAnsi="Times New Roman" w:cs="Times New Roman"/>
        </w:rPr>
        <w:t>suporta a</w:t>
      </w:r>
      <w:r>
        <w:rPr>
          <w:rFonts w:ascii="Times New Roman" w:hAnsi="Times New Roman" w:cs="Times New Roman"/>
        </w:rPr>
        <w:t xml:space="preserve"> </w:t>
      </w:r>
      <w:r w:rsidRPr="00901301">
        <w:rPr>
          <w:rFonts w:ascii="Times New Roman" w:hAnsi="Times New Roman" w:cs="Times New Roman"/>
        </w:rPr>
        <w:t xml:space="preserve">capacidade de vazão </w:t>
      </w:r>
      <w:r w:rsidR="00903AC6">
        <w:rPr>
          <w:rFonts w:ascii="Times New Roman" w:hAnsi="Times New Roman" w:cs="Times New Roman"/>
        </w:rPr>
        <w:t>gerada pelos</w:t>
      </w:r>
      <w:r w:rsidRPr="00901301">
        <w:rPr>
          <w:rFonts w:ascii="Times New Roman" w:hAnsi="Times New Roman" w:cs="Times New Roman"/>
        </w:rPr>
        <w:t xml:space="preserve"> consumidores</w:t>
      </w:r>
      <w:r>
        <w:rPr>
          <w:rFonts w:ascii="Times New Roman" w:hAnsi="Times New Roman" w:cs="Times New Roman"/>
        </w:rPr>
        <w:t>, já que somente a sede de Aimorés possui ETE.</w:t>
      </w:r>
    </w:p>
    <w:p w:rsidR="00E32574" w:rsidRDefault="00E32574" w:rsidP="00903AC6">
      <w:pPr>
        <w:pStyle w:val="CM71"/>
        <w:spacing w:line="360" w:lineRule="auto"/>
        <w:ind w:firstLine="709"/>
        <w:jc w:val="both"/>
        <w:rPr>
          <w:rFonts w:ascii="Times New Roman" w:hAnsi="Times New Roman" w:cs="Times New Roman"/>
        </w:rPr>
      </w:pPr>
      <w:r>
        <w:rPr>
          <w:rFonts w:ascii="Times New Roman" w:hAnsi="Times New Roman" w:cs="Times New Roman"/>
        </w:rPr>
        <w:t>Levando em consideração somente a população atendida com coleta de esgoto na sede de Aimorés, aproximadamente 1</w:t>
      </w:r>
      <w:r w:rsidR="000A3E8C">
        <w:rPr>
          <w:rFonts w:ascii="Times New Roman" w:hAnsi="Times New Roman" w:cs="Times New Roman"/>
        </w:rPr>
        <w:t>3</w:t>
      </w:r>
      <w:r>
        <w:rPr>
          <w:rFonts w:ascii="Times New Roman" w:hAnsi="Times New Roman" w:cs="Times New Roman"/>
        </w:rPr>
        <w:t>.</w:t>
      </w:r>
      <w:r w:rsidR="000A3E8C">
        <w:rPr>
          <w:rFonts w:ascii="Times New Roman" w:hAnsi="Times New Roman" w:cs="Times New Roman"/>
        </w:rPr>
        <w:t>000</w:t>
      </w:r>
      <w:r>
        <w:rPr>
          <w:rFonts w:ascii="Times New Roman" w:hAnsi="Times New Roman" w:cs="Times New Roman"/>
        </w:rPr>
        <w:t xml:space="preserve"> habitantes, a vazão máxima é de 2</w:t>
      </w:r>
      <w:r w:rsidR="000A3E8C">
        <w:rPr>
          <w:rFonts w:ascii="Times New Roman" w:hAnsi="Times New Roman" w:cs="Times New Roman"/>
        </w:rPr>
        <w:t>2</w:t>
      </w:r>
      <w:r>
        <w:rPr>
          <w:rFonts w:ascii="Times New Roman" w:hAnsi="Times New Roman" w:cs="Times New Roman"/>
        </w:rPr>
        <w:t>,</w:t>
      </w:r>
      <w:r w:rsidR="000A3E8C">
        <w:rPr>
          <w:rFonts w:ascii="Times New Roman" w:hAnsi="Times New Roman" w:cs="Times New Roman"/>
        </w:rPr>
        <w:t>87</w:t>
      </w:r>
      <w:r>
        <w:rPr>
          <w:rFonts w:ascii="Times New Roman" w:hAnsi="Times New Roman" w:cs="Times New Roman"/>
        </w:rPr>
        <w:t xml:space="preserve"> L</w:t>
      </w:r>
      <w:r w:rsidR="00903AC6">
        <w:rPr>
          <w:rFonts w:ascii="Times New Roman" w:hAnsi="Times New Roman" w:cs="Times New Roman"/>
        </w:rPr>
        <w:t>.</w:t>
      </w:r>
      <w:r>
        <w:rPr>
          <w:rFonts w:ascii="Times New Roman" w:hAnsi="Times New Roman" w:cs="Times New Roman"/>
        </w:rPr>
        <w:t>s</w:t>
      </w:r>
      <w:r w:rsidR="00903AC6" w:rsidRPr="00903AC6">
        <w:rPr>
          <w:rFonts w:ascii="Times New Roman" w:hAnsi="Times New Roman" w:cs="Times New Roman"/>
          <w:vertAlign w:val="superscript"/>
        </w:rPr>
        <w:t>-1</w:t>
      </w:r>
      <w:r>
        <w:rPr>
          <w:rFonts w:ascii="Times New Roman" w:hAnsi="Times New Roman" w:cs="Times New Roman"/>
        </w:rPr>
        <w:t xml:space="preserve">, sendo assim que a ETE </w:t>
      </w:r>
      <w:r w:rsidR="00903AC6">
        <w:rPr>
          <w:rFonts w:ascii="Times New Roman" w:hAnsi="Times New Roman" w:cs="Times New Roman"/>
        </w:rPr>
        <w:t xml:space="preserve">de </w:t>
      </w:r>
      <w:r>
        <w:rPr>
          <w:rFonts w:ascii="Times New Roman" w:hAnsi="Times New Roman" w:cs="Times New Roman"/>
        </w:rPr>
        <w:t xml:space="preserve">Aimorés </w:t>
      </w:r>
      <w:r w:rsidR="00903AC6">
        <w:rPr>
          <w:rFonts w:ascii="Times New Roman" w:hAnsi="Times New Roman" w:cs="Times New Roman"/>
        </w:rPr>
        <w:t>satisfaz</w:t>
      </w:r>
      <w:r>
        <w:rPr>
          <w:rFonts w:ascii="Times New Roman" w:hAnsi="Times New Roman" w:cs="Times New Roman"/>
        </w:rPr>
        <w:t xml:space="preserve"> a população atendida atualmente</w:t>
      </w:r>
      <w:r w:rsidR="00160B79">
        <w:rPr>
          <w:rFonts w:ascii="Times New Roman" w:hAnsi="Times New Roman" w:cs="Times New Roman"/>
        </w:rPr>
        <w:t>, somente na sede</w:t>
      </w:r>
      <w:r>
        <w:rPr>
          <w:rFonts w:ascii="Times New Roman" w:hAnsi="Times New Roman" w:cs="Times New Roman"/>
        </w:rPr>
        <w:t>.</w:t>
      </w:r>
    </w:p>
    <w:p w:rsidR="00E32574" w:rsidRPr="00CB7686" w:rsidRDefault="00903AC6" w:rsidP="00971B37">
      <w:pPr>
        <w:pStyle w:val="Titulo"/>
      </w:pPr>
      <w:bookmarkStart w:id="409" w:name="_Toc372559128"/>
      <w:bookmarkStart w:id="410" w:name="_Toc372789559"/>
      <w:r>
        <w:t xml:space="preserve">12.5 </w:t>
      </w:r>
      <w:r w:rsidR="00E32574" w:rsidRPr="00CB7686">
        <w:t>Ligações</w:t>
      </w:r>
      <w:bookmarkEnd w:id="409"/>
      <w:bookmarkEnd w:id="410"/>
    </w:p>
    <w:p w:rsidR="00E32574" w:rsidRDefault="00E32574" w:rsidP="00903AC6">
      <w:pPr>
        <w:pStyle w:val="CM73"/>
        <w:spacing w:line="360" w:lineRule="auto"/>
        <w:ind w:firstLine="709"/>
        <w:jc w:val="both"/>
        <w:rPr>
          <w:rFonts w:ascii="Times New Roman" w:hAnsi="Times New Roman" w:cs="Times New Roman"/>
        </w:rPr>
      </w:pPr>
      <w:r w:rsidRPr="006847FB">
        <w:rPr>
          <w:rFonts w:ascii="Times New Roman" w:hAnsi="Times New Roman" w:cs="Times New Roman"/>
        </w:rPr>
        <w:t xml:space="preserve">O sistema de esgoto da sede urbana de Aimorés e dos distritos conta com </w:t>
      </w:r>
      <w:r>
        <w:rPr>
          <w:rFonts w:ascii="Times New Roman" w:hAnsi="Times New Roman" w:cs="Times New Roman"/>
        </w:rPr>
        <w:t xml:space="preserve">8.032 </w:t>
      </w:r>
      <w:r w:rsidRPr="006847FB">
        <w:rPr>
          <w:rFonts w:ascii="Times New Roman" w:hAnsi="Times New Roman" w:cs="Times New Roman"/>
        </w:rPr>
        <w:t>ligações de esgoto (</w:t>
      </w:r>
      <w:r w:rsidR="00903AC6">
        <w:rPr>
          <w:rFonts w:ascii="Times New Roman" w:hAnsi="Times New Roman" w:cs="Times New Roman"/>
        </w:rPr>
        <w:t>Quadro 4</w:t>
      </w:r>
      <w:r w:rsidR="00C930AA">
        <w:rPr>
          <w:rFonts w:ascii="Times New Roman" w:hAnsi="Times New Roman" w:cs="Times New Roman"/>
        </w:rPr>
        <w:t>6</w:t>
      </w:r>
      <w:r>
        <w:rPr>
          <w:rFonts w:ascii="Times New Roman" w:hAnsi="Times New Roman" w:cs="Times New Roman"/>
        </w:rPr>
        <w:t xml:space="preserve">), ou seja, o sistema atende 52,1% </w:t>
      </w:r>
      <w:r w:rsidRPr="006847FB">
        <w:rPr>
          <w:rFonts w:ascii="Times New Roman" w:hAnsi="Times New Roman" w:cs="Times New Roman"/>
        </w:rPr>
        <w:t xml:space="preserve">a população </w:t>
      </w:r>
      <w:r>
        <w:rPr>
          <w:rFonts w:ascii="Times New Roman" w:hAnsi="Times New Roman" w:cs="Times New Roman"/>
        </w:rPr>
        <w:t>aimore</w:t>
      </w:r>
      <w:r w:rsidR="00903AC6">
        <w:rPr>
          <w:rFonts w:ascii="Times New Roman" w:hAnsi="Times New Roman" w:cs="Times New Roman"/>
        </w:rPr>
        <w:t>e</w:t>
      </w:r>
      <w:r>
        <w:rPr>
          <w:rFonts w:ascii="Times New Roman" w:hAnsi="Times New Roman" w:cs="Times New Roman"/>
        </w:rPr>
        <w:t>nse</w:t>
      </w:r>
      <w:r w:rsidRPr="006847FB">
        <w:rPr>
          <w:rFonts w:ascii="Times New Roman" w:hAnsi="Times New Roman" w:cs="Times New Roman"/>
        </w:rPr>
        <w:t xml:space="preserve"> da sede com coleta de esgoto. O tratamento é realizado some</w:t>
      </w:r>
      <w:r>
        <w:rPr>
          <w:rFonts w:ascii="Times New Roman" w:hAnsi="Times New Roman" w:cs="Times New Roman"/>
        </w:rPr>
        <w:t>n</w:t>
      </w:r>
      <w:r w:rsidRPr="006847FB">
        <w:rPr>
          <w:rFonts w:ascii="Times New Roman" w:hAnsi="Times New Roman" w:cs="Times New Roman"/>
        </w:rPr>
        <w:t>te n</w:t>
      </w:r>
      <w:r>
        <w:rPr>
          <w:rFonts w:ascii="Times New Roman" w:hAnsi="Times New Roman" w:cs="Times New Roman"/>
        </w:rPr>
        <w:t xml:space="preserve">a sede </w:t>
      </w:r>
      <w:r w:rsidR="00903AC6">
        <w:rPr>
          <w:rFonts w:ascii="Times New Roman" w:hAnsi="Times New Roman" w:cs="Times New Roman"/>
        </w:rPr>
        <w:t>p</w:t>
      </w:r>
      <w:r w:rsidRPr="006847FB">
        <w:rPr>
          <w:rFonts w:ascii="Times New Roman" w:hAnsi="Times New Roman" w:cs="Times New Roman"/>
        </w:rPr>
        <w:t xml:space="preserve">ara uma população de </w:t>
      </w:r>
      <w:r>
        <w:rPr>
          <w:rFonts w:ascii="Times New Roman" w:hAnsi="Times New Roman" w:cs="Times New Roman"/>
        </w:rPr>
        <w:t>13.000</w:t>
      </w:r>
      <w:r w:rsidRPr="006847FB">
        <w:rPr>
          <w:rFonts w:ascii="Times New Roman" w:hAnsi="Times New Roman" w:cs="Times New Roman"/>
        </w:rPr>
        <w:t xml:space="preserve"> pessoas através de </w:t>
      </w:r>
      <w:r>
        <w:rPr>
          <w:rFonts w:ascii="Times New Roman" w:hAnsi="Times New Roman" w:cs="Times New Roman"/>
        </w:rPr>
        <w:t xml:space="preserve">8.032 </w:t>
      </w:r>
      <w:r w:rsidRPr="006847FB">
        <w:rPr>
          <w:rFonts w:ascii="Times New Roman" w:hAnsi="Times New Roman" w:cs="Times New Roman"/>
        </w:rPr>
        <w:t xml:space="preserve">ligações. </w:t>
      </w:r>
    </w:p>
    <w:p w:rsidR="00903AC6" w:rsidRDefault="00903AC6">
      <w:pPr>
        <w:spacing w:after="200" w:line="276" w:lineRule="auto"/>
        <w:rPr>
          <w:rFonts w:eastAsiaTheme="minorEastAsia" w:cs="Times New Roman"/>
          <w:b/>
          <w:bCs/>
          <w:szCs w:val="24"/>
          <w:lang w:eastAsia="pt-BR"/>
        </w:rPr>
      </w:pPr>
      <w:bookmarkStart w:id="411" w:name="_Toc372117296"/>
      <w:r>
        <w:rPr>
          <w:b/>
        </w:rPr>
        <w:br w:type="page"/>
      </w:r>
    </w:p>
    <w:p w:rsidR="00E32574" w:rsidRPr="006847FB" w:rsidRDefault="0075744C" w:rsidP="0075744C">
      <w:pPr>
        <w:pStyle w:val="Legenda"/>
        <w:rPr>
          <w:color w:val="000000"/>
        </w:rPr>
      </w:pPr>
      <w:bookmarkStart w:id="412" w:name="_Toc372740552"/>
      <w:bookmarkEnd w:id="411"/>
      <w:r>
        <w:lastRenderedPageBreak/>
        <w:t xml:space="preserve">Quadro </w:t>
      </w:r>
      <w:fldSimple w:instr=" SEQ Quadro \* ARABIC ">
        <w:r w:rsidR="004F77E2">
          <w:rPr>
            <w:noProof/>
          </w:rPr>
          <w:t>46</w:t>
        </w:r>
      </w:fldSimple>
      <w:r>
        <w:t xml:space="preserve"> - </w:t>
      </w:r>
      <w:r w:rsidRPr="00737295">
        <w:rPr>
          <w:noProof/>
        </w:rPr>
        <w:t>Número de ligações de esgoto por distrito no município de Aimorés.</w:t>
      </w:r>
      <w:bookmarkEnd w:id="412"/>
    </w:p>
    <w:tbl>
      <w:tblPr>
        <w:tblW w:w="8505" w:type="dxa"/>
        <w:tblInd w:w="108" w:type="dxa"/>
        <w:tblLayout w:type="fixed"/>
        <w:tblLook w:val="0000" w:firstRow="0" w:lastRow="0" w:firstColumn="0" w:lastColumn="0" w:noHBand="0" w:noVBand="0"/>
      </w:tblPr>
      <w:tblGrid>
        <w:gridCol w:w="4097"/>
        <w:gridCol w:w="4408"/>
      </w:tblGrid>
      <w:tr w:rsidR="00E32574" w:rsidRPr="005243F8" w:rsidTr="00E32574">
        <w:trPr>
          <w:trHeight w:val="495"/>
        </w:trPr>
        <w:tc>
          <w:tcPr>
            <w:tcW w:w="4097" w:type="dxa"/>
            <w:tcBorders>
              <w:top w:val="single" w:sz="10" w:space="0" w:color="000000"/>
              <w:left w:val="single" w:sz="2" w:space="0" w:color="000000"/>
              <w:bottom w:val="single" w:sz="10" w:space="0" w:color="000000"/>
              <w:right w:val="single" w:sz="8" w:space="0" w:color="000000"/>
            </w:tcBorders>
            <w:shd w:val="clear" w:color="auto" w:fill="C0C0C0"/>
            <w:vAlign w:val="center"/>
          </w:tcPr>
          <w:p w:rsidR="00E32574" w:rsidRPr="005243F8" w:rsidRDefault="00E32574" w:rsidP="00903AC6">
            <w:pPr>
              <w:pStyle w:val="Default"/>
              <w:spacing w:before="120" w:after="120"/>
              <w:rPr>
                <w:rFonts w:ascii="Times New Roman" w:hAnsi="Times New Roman" w:cs="Times New Roman"/>
              </w:rPr>
            </w:pPr>
            <w:r w:rsidRPr="005243F8">
              <w:rPr>
                <w:rFonts w:ascii="Times New Roman" w:hAnsi="Times New Roman" w:cs="Times New Roman"/>
                <w:bCs/>
              </w:rPr>
              <w:t xml:space="preserve">Localidade </w:t>
            </w:r>
          </w:p>
        </w:tc>
        <w:tc>
          <w:tcPr>
            <w:tcW w:w="4408" w:type="dxa"/>
            <w:tcBorders>
              <w:top w:val="single" w:sz="10" w:space="0" w:color="000000"/>
              <w:left w:val="single" w:sz="8" w:space="0" w:color="000000"/>
              <w:bottom w:val="single" w:sz="10" w:space="0" w:color="000000"/>
              <w:right w:val="single" w:sz="2" w:space="0" w:color="000000"/>
            </w:tcBorders>
            <w:shd w:val="clear" w:color="auto" w:fill="C0C0C0"/>
            <w:vAlign w:val="center"/>
          </w:tcPr>
          <w:p w:rsidR="00E32574" w:rsidRPr="005243F8" w:rsidRDefault="00E32574" w:rsidP="00903AC6">
            <w:pPr>
              <w:pStyle w:val="Default"/>
              <w:spacing w:before="120" w:after="120"/>
              <w:jc w:val="center"/>
              <w:rPr>
                <w:rFonts w:ascii="Times New Roman" w:hAnsi="Times New Roman" w:cs="Times New Roman"/>
              </w:rPr>
            </w:pPr>
            <w:r w:rsidRPr="005243F8">
              <w:rPr>
                <w:rFonts w:ascii="Times New Roman" w:hAnsi="Times New Roman" w:cs="Times New Roman"/>
                <w:bCs/>
              </w:rPr>
              <w:t xml:space="preserve">Ligações de esgoto </w:t>
            </w:r>
          </w:p>
        </w:tc>
      </w:tr>
      <w:tr w:rsidR="00E32574" w:rsidRPr="005243F8" w:rsidTr="00E32574">
        <w:trPr>
          <w:trHeight w:val="350"/>
        </w:trPr>
        <w:tc>
          <w:tcPr>
            <w:tcW w:w="4097"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903AC6">
            <w:pPr>
              <w:pStyle w:val="Default"/>
              <w:spacing w:before="120" w:after="120"/>
              <w:rPr>
                <w:rFonts w:ascii="Times New Roman" w:hAnsi="Times New Roman" w:cs="Times New Roman"/>
              </w:rPr>
            </w:pPr>
            <w:r w:rsidRPr="005243F8">
              <w:rPr>
                <w:rFonts w:ascii="Times New Roman" w:hAnsi="Times New Roman" w:cs="Times New Roman"/>
              </w:rPr>
              <w:t>Sede</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903AC6">
            <w:pPr>
              <w:pStyle w:val="Default"/>
              <w:spacing w:before="120" w:after="120"/>
              <w:jc w:val="center"/>
              <w:rPr>
                <w:rFonts w:ascii="Times New Roman" w:hAnsi="Times New Roman" w:cs="Times New Roman"/>
              </w:rPr>
            </w:pPr>
            <w:r w:rsidRPr="005243F8">
              <w:rPr>
                <w:rFonts w:ascii="Times New Roman" w:hAnsi="Times New Roman" w:cs="Times New Roman"/>
              </w:rPr>
              <w:t>8.032</w:t>
            </w:r>
          </w:p>
        </w:tc>
      </w:tr>
      <w:tr w:rsidR="00E32574" w:rsidRPr="005243F8" w:rsidTr="00E32574">
        <w:trPr>
          <w:trHeight w:val="270"/>
        </w:trPr>
        <w:tc>
          <w:tcPr>
            <w:tcW w:w="4097"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903AC6">
            <w:pPr>
              <w:pStyle w:val="Default"/>
              <w:spacing w:before="120" w:after="120"/>
              <w:rPr>
                <w:rFonts w:ascii="Times New Roman" w:hAnsi="Times New Roman" w:cs="Times New Roman"/>
              </w:rPr>
            </w:pPr>
            <w:r w:rsidRPr="005243F8">
              <w:rPr>
                <w:rFonts w:ascii="Times New Roman" w:hAnsi="Times New Roman" w:cs="Times New Roman"/>
              </w:rPr>
              <w:t>Conceição do Capim</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903AC6">
            <w:pPr>
              <w:pStyle w:val="Default"/>
              <w:spacing w:before="120" w:after="120"/>
              <w:jc w:val="center"/>
              <w:rPr>
                <w:rFonts w:ascii="Times New Roman" w:hAnsi="Times New Roman" w:cs="Times New Roman"/>
              </w:rPr>
            </w:pPr>
            <w:r w:rsidRPr="005243F8">
              <w:rPr>
                <w:rFonts w:ascii="Times New Roman" w:hAnsi="Times New Roman" w:cs="Times New Roman"/>
              </w:rPr>
              <w:t>312</w:t>
            </w:r>
          </w:p>
        </w:tc>
      </w:tr>
      <w:tr w:rsidR="00E32574" w:rsidRPr="005243F8" w:rsidTr="00E32574">
        <w:trPr>
          <w:trHeight w:val="312"/>
        </w:trPr>
        <w:tc>
          <w:tcPr>
            <w:tcW w:w="4097"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903AC6">
            <w:pPr>
              <w:pStyle w:val="Default"/>
              <w:spacing w:before="120" w:after="120"/>
              <w:rPr>
                <w:rFonts w:ascii="Times New Roman" w:hAnsi="Times New Roman" w:cs="Times New Roman"/>
              </w:rPr>
            </w:pPr>
            <w:r w:rsidRPr="005243F8">
              <w:rPr>
                <w:rFonts w:ascii="Times New Roman" w:hAnsi="Times New Roman" w:cs="Times New Roman"/>
              </w:rPr>
              <w:t>Penha do Capim</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903AC6">
            <w:pPr>
              <w:pStyle w:val="Default"/>
              <w:spacing w:before="120" w:after="120"/>
              <w:jc w:val="center"/>
              <w:rPr>
                <w:rFonts w:ascii="Times New Roman" w:hAnsi="Times New Roman" w:cs="Times New Roman"/>
              </w:rPr>
            </w:pPr>
            <w:r w:rsidRPr="005243F8">
              <w:rPr>
                <w:rFonts w:ascii="Times New Roman" w:hAnsi="Times New Roman" w:cs="Times New Roman"/>
              </w:rPr>
              <w:t>266</w:t>
            </w:r>
          </w:p>
        </w:tc>
      </w:tr>
      <w:tr w:rsidR="00E32574" w:rsidRPr="005243F8" w:rsidTr="00E32574">
        <w:trPr>
          <w:trHeight w:val="312"/>
        </w:trPr>
        <w:tc>
          <w:tcPr>
            <w:tcW w:w="4097"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903AC6">
            <w:pPr>
              <w:pStyle w:val="Default"/>
              <w:spacing w:before="120" w:after="120"/>
              <w:rPr>
                <w:rFonts w:ascii="Times New Roman" w:hAnsi="Times New Roman" w:cs="Times New Roman"/>
              </w:rPr>
            </w:pPr>
            <w:r w:rsidRPr="005243F8">
              <w:rPr>
                <w:rFonts w:ascii="Times New Roman" w:hAnsi="Times New Roman" w:cs="Times New Roman"/>
              </w:rPr>
              <w:t>Alto Capim</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903AC6">
            <w:pPr>
              <w:pStyle w:val="Default"/>
              <w:spacing w:before="120" w:after="120"/>
              <w:jc w:val="center"/>
              <w:rPr>
                <w:rFonts w:ascii="Times New Roman" w:hAnsi="Times New Roman" w:cs="Times New Roman"/>
              </w:rPr>
            </w:pPr>
            <w:r w:rsidRPr="005243F8">
              <w:rPr>
                <w:rFonts w:ascii="Times New Roman" w:hAnsi="Times New Roman" w:cs="Times New Roman"/>
              </w:rPr>
              <w:t>67</w:t>
            </w:r>
          </w:p>
        </w:tc>
      </w:tr>
      <w:tr w:rsidR="00E32574" w:rsidRPr="005243F8" w:rsidTr="00E32574">
        <w:trPr>
          <w:trHeight w:val="312"/>
        </w:trPr>
        <w:tc>
          <w:tcPr>
            <w:tcW w:w="4097"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903AC6">
            <w:pPr>
              <w:pStyle w:val="Default"/>
              <w:spacing w:before="120" w:after="120"/>
              <w:rPr>
                <w:rFonts w:ascii="Times New Roman" w:hAnsi="Times New Roman" w:cs="Times New Roman"/>
              </w:rPr>
            </w:pPr>
            <w:r w:rsidRPr="005243F8">
              <w:rPr>
                <w:rFonts w:ascii="Times New Roman" w:hAnsi="Times New Roman" w:cs="Times New Roman"/>
              </w:rPr>
              <w:t>Expedicionário Alicio</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903AC6">
            <w:pPr>
              <w:pStyle w:val="Default"/>
              <w:spacing w:before="120" w:after="120"/>
              <w:jc w:val="center"/>
              <w:rPr>
                <w:rFonts w:ascii="Times New Roman" w:hAnsi="Times New Roman" w:cs="Times New Roman"/>
              </w:rPr>
            </w:pPr>
            <w:r w:rsidRPr="005243F8">
              <w:rPr>
                <w:rFonts w:ascii="Times New Roman" w:hAnsi="Times New Roman" w:cs="Times New Roman"/>
              </w:rPr>
              <w:t>169</w:t>
            </w:r>
          </w:p>
        </w:tc>
      </w:tr>
      <w:tr w:rsidR="00E32574" w:rsidRPr="005243F8" w:rsidTr="00E32574">
        <w:trPr>
          <w:trHeight w:val="307"/>
        </w:trPr>
        <w:tc>
          <w:tcPr>
            <w:tcW w:w="4097"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903AC6">
            <w:pPr>
              <w:pStyle w:val="Default"/>
              <w:spacing w:before="120" w:after="120"/>
              <w:rPr>
                <w:rFonts w:ascii="Times New Roman" w:hAnsi="Times New Roman" w:cs="Times New Roman"/>
              </w:rPr>
            </w:pPr>
            <w:r w:rsidRPr="005243F8">
              <w:rPr>
                <w:rFonts w:ascii="Times New Roman" w:hAnsi="Times New Roman" w:cs="Times New Roman"/>
              </w:rPr>
              <w:t>São Sebastião da Vala</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903AC6">
            <w:pPr>
              <w:pStyle w:val="Default"/>
              <w:spacing w:before="120" w:after="120"/>
              <w:jc w:val="center"/>
              <w:rPr>
                <w:rFonts w:ascii="Times New Roman" w:hAnsi="Times New Roman" w:cs="Times New Roman"/>
              </w:rPr>
            </w:pPr>
            <w:r w:rsidRPr="005243F8">
              <w:rPr>
                <w:rFonts w:ascii="Times New Roman" w:hAnsi="Times New Roman" w:cs="Times New Roman"/>
              </w:rPr>
              <w:t>306</w:t>
            </w:r>
          </w:p>
        </w:tc>
      </w:tr>
      <w:tr w:rsidR="00E32574" w:rsidRPr="005243F8" w:rsidTr="00E32574">
        <w:trPr>
          <w:trHeight w:val="312"/>
        </w:trPr>
        <w:tc>
          <w:tcPr>
            <w:tcW w:w="4097"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903AC6">
            <w:pPr>
              <w:pStyle w:val="Default"/>
              <w:spacing w:before="120" w:after="120"/>
              <w:rPr>
                <w:rFonts w:ascii="Times New Roman" w:hAnsi="Times New Roman" w:cs="Times New Roman"/>
              </w:rPr>
            </w:pPr>
            <w:r w:rsidRPr="005243F8">
              <w:rPr>
                <w:rFonts w:ascii="Times New Roman" w:hAnsi="Times New Roman" w:cs="Times New Roman"/>
              </w:rPr>
              <w:t>Mundo Novo de Minas</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903AC6">
            <w:pPr>
              <w:pStyle w:val="Default"/>
              <w:spacing w:before="120" w:after="120"/>
              <w:jc w:val="center"/>
              <w:rPr>
                <w:rFonts w:ascii="Times New Roman" w:hAnsi="Times New Roman" w:cs="Times New Roman"/>
              </w:rPr>
            </w:pPr>
            <w:r w:rsidRPr="005243F8">
              <w:rPr>
                <w:rFonts w:ascii="Times New Roman" w:hAnsi="Times New Roman" w:cs="Times New Roman"/>
              </w:rPr>
              <w:t>56</w:t>
            </w:r>
          </w:p>
        </w:tc>
      </w:tr>
      <w:tr w:rsidR="00E32574" w:rsidRPr="005243F8" w:rsidTr="00E32574">
        <w:trPr>
          <w:trHeight w:val="312"/>
        </w:trPr>
        <w:tc>
          <w:tcPr>
            <w:tcW w:w="4097"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903AC6">
            <w:pPr>
              <w:pStyle w:val="Default"/>
              <w:spacing w:before="120" w:after="120"/>
              <w:rPr>
                <w:rFonts w:ascii="Times New Roman" w:hAnsi="Times New Roman" w:cs="Times New Roman"/>
              </w:rPr>
            </w:pPr>
            <w:r w:rsidRPr="005243F8">
              <w:rPr>
                <w:rFonts w:ascii="Times New Roman" w:hAnsi="Times New Roman" w:cs="Times New Roman"/>
              </w:rPr>
              <w:t>Santo Antônio do Rio Doce</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903AC6">
            <w:pPr>
              <w:pStyle w:val="Default"/>
              <w:spacing w:before="120" w:after="120"/>
              <w:jc w:val="center"/>
              <w:rPr>
                <w:rFonts w:ascii="Times New Roman" w:hAnsi="Times New Roman" w:cs="Times New Roman"/>
              </w:rPr>
            </w:pPr>
            <w:r w:rsidRPr="005243F8">
              <w:rPr>
                <w:rFonts w:ascii="Times New Roman" w:hAnsi="Times New Roman" w:cs="Times New Roman"/>
              </w:rPr>
              <w:t>476</w:t>
            </w:r>
          </w:p>
        </w:tc>
      </w:tr>
      <w:tr w:rsidR="00E32574" w:rsidRPr="005243F8" w:rsidTr="00E32574">
        <w:trPr>
          <w:trHeight w:val="312"/>
        </w:trPr>
        <w:tc>
          <w:tcPr>
            <w:tcW w:w="4097"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903AC6">
            <w:pPr>
              <w:pStyle w:val="Default"/>
              <w:spacing w:before="120" w:after="120"/>
              <w:rPr>
                <w:rFonts w:ascii="Times New Roman" w:hAnsi="Times New Roman" w:cs="Times New Roman"/>
              </w:rPr>
            </w:pPr>
            <w:r w:rsidRPr="005243F8">
              <w:rPr>
                <w:rFonts w:ascii="Times New Roman" w:hAnsi="Times New Roman" w:cs="Times New Roman"/>
              </w:rPr>
              <w:t>Tabaúna</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903AC6">
            <w:pPr>
              <w:pStyle w:val="Default"/>
              <w:spacing w:before="120" w:after="120"/>
              <w:jc w:val="center"/>
              <w:rPr>
                <w:rFonts w:ascii="Times New Roman" w:hAnsi="Times New Roman" w:cs="Times New Roman"/>
              </w:rPr>
            </w:pPr>
            <w:r w:rsidRPr="005243F8">
              <w:rPr>
                <w:rFonts w:ascii="Times New Roman" w:hAnsi="Times New Roman" w:cs="Times New Roman"/>
              </w:rPr>
              <w:t>133</w:t>
            </w:r>
          </w:p>
        </w:tc>
      </w:tr>
      <w:tr w:rsidR="00E32574" w:rsidRPr="005243F8" w:rsidTr="00E32574">
        <w:trPr>
          <w:trHeight w:val="312"/>
        </w:trPr>
        <w:tc>
          <w:tcPr>
            <w:tcW w:w="4097"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903AC6">
            <w:pPr>
              <w:pStyle w:val="Default"/>
              <w:spacing w:before="120" w:after="120"/>
              <w:rPr>
                <w:rFonts w:ascii="Times New Roman" w:hAnsi="Times New Roman" w:cs="Times New Roman"/>
              </w:rPr>
            </w:pPr>
            <w:r w:rsidRPr="005243F8">
              <w:rPr>
                <w:rFonts w:ascii="Times New Roman" w:hAnsi="Times New Roman" w:cs="Times New Roman"/>
              </w:rPr>
              <w:t>Povoado de São João do Capim</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903AC6">
            <w:pPr>
              <w:pStyle w:val="Default"/>
              <w:spacing w:before="120" w:after="120"/>
              <w:jc w:val="center"/>
              <w:rPr>
                <w:rFonts w:ascii="Times New Roman" w:hAnsi="Times New Roman" w:cs="Times New Roman"/>
              </w:rPr>
            </w:pPr>
            <w:r w:rsidRPr="005243F8">
              <w:rPr>
                <w:rFonts w:ascii="Times New Roman" w:hAnsi="Times New Roman" w:cs="Times New Roman"/>
              </w:rPr>
              <w:t>16</w:t>
            </w:r>
          </w:p>
        </w:tc>
      </w:tr>
      <w:tr w:rsidR="00E32574" w:rsidRPr="005243F8" w:rsidTr="00E32574">
        <w:trPr>
          <w:trHeight w:val="327"/>
        </w:trPr>
        <w:tc>
          <w:tcPr>
            <w:tcW w:w="4097" w:type="dxa"/>
            <w:tcBorders>
              <w:top w:val="single" w:sz="10" w:space="0" w:color="000000"/>
              <w:left w:val="single" w:sz="2" w:space="0" w:color="000000"/>
              <w:bottom w:val="single" w:sz="10" w:space="0" w:color="000000"/>
              <w:right w:val="single" w:sz="8" w:space="0" w:color="000000"/>
            </w:tcBorders>
            <w:vAlign w:val="bottom"/>
          </w:tcPr>
          <w:p w:rsidR="00E32574" w:rsidRPr="005243F8" w:rsidRDefault="00E32574" w:rsidP="00903AC6">
            <w:pPr>
              <w:pStyle w:val="Default"/>
              <w:spacing w:before="120" w:after="120"/>
              <w:rPr>
                <w:rFonts w:ascii="Times New Roman" w:hAnsi="Times New Roman" w:cs="Times New Roman"/>
              </w:rPr>
            </w:pPr>
            <w:r w:rsidRPr="005243F8">
              <w:rPr>
                <w:rFonts w:ascii="Times New Roman" w:hAnsi="Times New Roman" w:cs="Times New Roman"/>
                <w:b/>
                <w:bCs/>
              </w:rPr>
              <w:t xml:space="preserve">TOTAL </w:t>
            </w:r>
          </w:p>
        </w:tc>
        <w:tc>
          <w:tcPr>
            <w:tcW w:w="4408" w:type="dxa"/>
            <w:tcBorders>
              <w:top w:val="single" w:sz="10" w:space="0" w:color="000000"/>
              <w:left w:val="single" w:sz="8" w:space="0" w:color="000000"/>
              <w:bottom w:val="single" w:sz="10" w:space="0" w:color="000000"/>
              <w:right w:val="single" w:sz="2" w:space="0" w:color="000000"/>
            </w:tcBorders>
            <w:vAlign w:val="bottom"/>
          </w:tcPr>
          <w:p w:rsidR="00E32574" w:rsidRPr="005243F8" w:rsidRDefault="00E32574" w:rsidP="00903AC6">
            <w:pPr>
              <w:pStyle w:val="Default"/>
              <w:spacing w:before="120" w:after="120"/>
              <w:jc w:val="center"/>
              <w:rPr>
                <w:rFonts w:ascii="Times New Roman" w:hAnsi="Times New Roman" w:cs="Times New Roman"/>
              </w:rPr>
            </w:pPr>
            <w:r w:rsidRPr="005243F8">
              <w:rPr>
                <w:rFonts w:ascii="Times New Roman" w:hAnsi="Times New Roman" w:cs="Times New Roman"/>
              </w:rPr>
              <w:t>9.833</w:t>
            </w:r>
          </w:p>
        </w:tc>
      </w:tr>
    </w:tbl>
    <w:p w:rsidR="00E32574" w:rsidRPr="00DC2368" w:rsidRDefault="00E32574" w:rsidP="00AB7E80">
      <w:pPr>
        <w:pStyle w:val="Fonte"/>
        <w:rPr>
          <w:lang w:eastAsia="pt-BR"/>
        </w:rPr>
      </w:pPr>
      <w:r w:rsidRPr="00DC2368">
        <w:rPr>
          <w:lang w:eastAsia="pt-BR"/>
        </w:rPr>
        <w:t>Fonte: SAAE, 2013.</w:t>
      </w:r>
    </w:p>
    <w:p w:rsidR="00E32574" w:rsidRPr="006847FB" w:rsidRDefault="00E32574" w:rsidP="00E32574">
      <w:pPr>
        <w:pStyle w:val="CM73"/>
        <w:spacing w:line="360" w:lineRule="auto"/>
        <w:ind w:firstLine="708"/>
        <w:jc w:val="both"/>
        <w:rPr>
          <w:rFonts w:ascii="Times New Roman" w:hAnsi="Times New Roman" w:cs="Times New Roman"/>
        </w:rPr>
      </w:pPr>
      <w:r w:rsidRPr="006847FB">
        <w:rPr>
          <w:rFonts w:ascii="Times New Roman" w:hAnsi="Times New Roman" w:cs="Times New Roman"/>
        </w:rPr>
        <w:t>O SAAE tem uma preocupação co</w:t>
      </w:r>
      <w:r>
        <w:rPr>
          <w:rFonts w:ascii="Times New Roman" w:hAnsi="Times New Roman" w:cs="Times New Roman"/>
        </w:rPr>
        <w:t xml:space="preserve">m relação às ligações de esgoto </w:t>
      </w:r>
      <w:r w:rsidRPr="006847FB">
        <w:rPr>
          <w:rFonts w:ascii="Times New Roman" w:hAnsi="Times New Roman" w:cs="Times New Roman"/>
        </w:rPr>
        <w:t>sanitário</w:t>
      </w:r>
      <w:r w:rsidR="00903AC6">
        <w:rPr>
          <w:rFonts w:ascii="Times New Roman" w:hAnsi="Times New Roman" w:cs="Times New Roman"/>
        </w:rPr>
        <w:t>,</w:t>
      </w:r>
      <w:r w:rsidRPr="006847FB">
        <w:rPr>
          <w:rFonts w:ascii="Times New Roman" w:hAnsi="Times New Roman" w:cs="Times New Roman"/>
        </w:rPr>
        <w:t xml:space="preserve"> principalmente</w:t>
      </w:r>
      <w:r w:rsidR="00903AC6">
        <w:rPr>
          <w:rFonts w:ascii="Times New Roman" w:hAnsi="Times New Roman" w:cs="Times New Roman"/>
        </w:rPr>
        <w:t>,</w:t>
      </w:r>
      <w:r w:rsidRPr="006847FB">
        <w:rPr>
          <w:rFonts w:ascii="Times New Roman" w:hAnsi="Times New Roman" w:cs="Times New Roman"/>
        </w:rPr>
        <w:t xml:space="preserve"> das residências, por isso todo pedido de ligação é tratado com prioridade nas ordens de serviços, o mesmo acontece quando há expansões de rede, há prioridade para respectivas ligações no decorrer do trecho expandido. </w:t>
      </w:r>
    </w:p>
    <w:p w:rsidR="00E32574" w:rsidRPr="00AB7E80" w:rsidRDefault="00E32574" w:rsidP="00E32574">
      <w:pPr>
        <w:pStyle w:val="CM73"/>
        <w:spacing w:line="360" w:lineRule="auto"/>
        <w:ind w:firstLine="708"/>
        <w:jc w:val="both"/>
        <w:rPr>
          <w:rFonts w:ascii="Times New Roman" w:hAnsi="Times New Roman" w:cs="Times New Roman"/>
          <w:spacing w:val="-4"/>
        </w:rPr>
      </w:pPr>
      <w:r w:rsidRPr="00AB7E80">
        <w:rPr>
          <w:rFonts w:ascii="Times New Roman" w:hAnsi="Times New Roman" w:cs="Times New Roman"/>
          <w:spacing w:val="-4"/>
        </w:rPr>
        <w:t xml:space="preserve">As ligações de esgoto são solicitadas pelo usuário através de pedido feito na autarquia o qual gera uma ordem de serviço, onde contém dados da localização do imóvel, informações do proprietário ou locatário e viabilidade do pedido. Os servidores do SAAE dirigem-se ao local munidos de tubos e conexões de DN </w:t>
      </w:r>
      <w:smartTag w:uri="urn:schemas-microsoft-com:office:smarttags" w:element="metricconverter">
        <w:smartTagPr>
          <w:attr w:name="ProductID" w:val="100 mm"/>
        </w:smartTagPr>
        <w:r w:rsidRPr="00AB7E80">
          <w:rPr>
            <w:rFonts w:ascii="Times New Roman" w:hAnsi="Times New Roman" w:cs="Times New Roman"/>
            <w:spacing w:val="-4"/>
          </w:rPr>
          <w:t>100 mm</w:t>
        </w:r>
      </w:smartTag>
      <w:r w:rsidRPr="00AB7E80">
        <w:rPr>
          <w:rFonts w:ascii="Times New Roman" w:hAnsi="Times New Roman" w:cs="Times New Roman"/>
          <w:spacing w:val="-4"/>
        </w:rPr>
        <w:t xml:space="preserve"> de PVC ou cerâmica própria para esgoto para realizarem a interligação do imóvel com a rede coletora. </w:t>
      </w:r>
    </w:p>
    <w:p w:rsidR="00E32574" w:rsidRPr="006847FB" w:rsidRDefault="00E32574" w:rsidP="00E32574">
      <w:pPr>
        <w:pStyle w:val="CM73"/>
        <w:spacing w:line="360" w:lineRule="auto"/>
        <w:ind w:firstLine="708"/>
        <w:jc w:val="both"/>
        <w:rPr>
          <w:rFonts w:ascii="Times New Roman" w:hAnsi="Times New Roman" w:cs="Times New Roman"/>
        </w:rPr>
      </w:pPr>
      <w:r w:rsidRPr="006847FB">
        <w:rPr>
          <w:rFonts w:ascii="Times New Roman" w:hAnsi="Times New Roman" w:cs="Times New Roman"/>
        </w:rPr>
        <w:t xml:space="preserve">O proprietário por sua vez deve direcionar todas as tubulações que fazem a coleta interna dos efluentes da propriedade para a frente e no ponto mais baixo da testada do terreno, a partir daí os funcionários da autarquia interligam a rede interna à rede coletora por intermédio de uma pequena caixa de passagem. </w:t>
      </w:r>
    </w:p>
    <w:p w:rsidR="00E32574" w:rsidRPr="00CB7686" w:rsidRDefault="00903AC6" w:rsidP="00971B37">
      <w:pPr>
        <w:pStyle w:val="Titulo"/>
      </w:pPr>
      <w:bookmarkStart w:id="413" w:name="_Toc372559129"/>
      <w:bookmarkStart w:id="414" w:name="_Toc372789560"/>
      <w:r>
        <w:lastRenderedPageBreak/>
        <w:t xml:space="preserve">12.6 </w:t>
      </w:r>
      <w:r w:rsidR="00E32574" w:rsidRPr="00CB7686">
        <w:t>Sistema Coletor, Interceptor e Emissário</w:t>
      </w:r>
      <w:bookmarkEnd w:id="413"/>
      <w:bookmarkEnd w:id="414"/>
    </w:p>
    <w:p w:rsidR="00E32574" w:rsidRPr="006847FB" w:rsidRDefault="00E32574" w:rsidP="00903AC6">
      <w:pPr>
        <w:pStyle w:val="CM73"/>
        <w:spacing w:line="360" w:lineRule="auto"/>
        <w:ind w:firstLine="709"/>
        <w:jc w:val="both"/>
        <w:rPr>
          <w:rFonts w:ascii="Times New Roman" w:hAnsi="Times New Roman" w:cs="Times New Roman"/>
        </w:rPr>
      </w:pPr>
      <w:r w:rsidRPr="006847FB">
        <w:rPr>
          <w:rFonts w:ascii="Times New Roman" w:hAnsi="Times New Roman" w:cs="Times New Roman"/>
        </w:rPr>
        <w:t>A ausência de cadastro técnico fidedigno que registr</w:t>
      </w:r>
      <w:r w:rsidR="003B53D7">
        <w:rPr>
          <w:rFonts w:ascii="Times New Roman" w:hAnsi="Times New Roman" w:cs="Times New Roman"/>
        </w:rPr>
        <w:t>e</w:t>
      </w:r>
      <w:r w:rsidRPr="006847FB">
        <w:rPr>
          <w:rFonts w:ascii="Times New Roman" w:hAnsi="Times New Roman" w:cs="Times New Roman"/>
        </w:rPr>
        <w:t xml:space="preserve"> de forma precisa a característica e a locação dos trechos da rede coletora, e ainda, a carência de informações complementares específicas sobre o funcionamento dos vários trechos da malha de rede, prejudicam consideravelmente o levantamento quantitativo/qualitativo da estrutura total do sistema coletor de esgotamento sanitário do município. Sabe-se que tal levantamento é fundamental para melhoria do sistema. </w:t>
      </w:r>
    </w:p>
    <w:p w:rsidR="00E32574" w:rsidRDefault="00E32574" w:rsidP="00903AC6">
      <w:pPr>
        <w:pStyle w:val="CM73"/>
        <w:spacing w:line="360" w:lineRule="auto"/>
        <w:ind w:firstLine="709"/>
        <w:jc w:val="both"/>
        <w:rPr>
          <w:rFonts w:ascii="Times New Roman" w:hAnsi="Times New Roman" w:cs="Times New Roman"/>
        </w:rPr>
      </w:pPr>
      <w:r w:rsidRPr="006847FB">
        <w:rPr>
          <w:rFonts w:ascii="Times New Roman" w:hAnsi="Times New Roman" w:cs="Times New Roman"/>
        </w:rPr>
        <w:t xml:space="preserve">Devido a carência de dados qualitativos e quantitativos não foi possíveis descrever mais precisamente o sistema de esgotamento sanitário, dessa maneira buscou-se através de entrevista, no departamento de engenharia SAAE, informações sobre a situação geral da malha de maneira mais superficial, como segue abaixo: </w:t>
      </w:r>
    </w:p>
    <w:p w:rsidR="00E32574" w:rsidRDefault="00E32574" w:rsidP="0053477A">
      <w:pPr>
        <w:pStyle w:val="CM73"/>
        <w:numPr>
          <w:ilvl w:val="0"/>
          <w:numId w:val="5"/>
        </w:numPr>
        <w:spacing w:line="360" w:lineRule="auto"/>
        <w:ind w:left="567" w:hanging="283"/>
        <w:jc w:val="both"/>
        <w:rPr>
          <w:rFonts w:ascii="Times New Roman" w:hAnsi="Times New Roman" w:cs="Times New Roman"/>
        </w:rPr>
      </w:pPr>
      <w:r w:rsidRPr="008129AE">
        <w:rPr>
          <w:rFonts w:ascii="Times New Roman" w:hAnsi="Times New Roman" w:cs="Times New Roman"/>
        </w:rPr>
        <w:t>A extensão da rede coletora de esgoto doméstico no município em 2011 er</w:t>
      </w:r>
      <w:r>
        <w:rPr>
          <w:rFonts w:ascii="Times New Roman" w:hAnsi="Times New Roman" w:cs="Times New Roman"/>
        </w:rPr>
        <w:t xml:space="preserve">a 59 km, enquanto em 2012 foi 61,5 km, segundo </w:t>
      </w:r>
      <w:r w:rsidR="00C930AA">
        <w:rPr>
          <w:rFonts w:ascii="Times New Roman" w:hAnsi="Times New Roman" w:cs="Times New Roman"/>
        </w:rPr>
        <w:t>o</w:t>
      </w:r>
      <w:r>
        <w:rPr>
          <w:rFonts w:ascii="Times New Roman" w:hAnsi="Times New Roman" w:cs="Times New Roman"/>
        </w:rPr>
        <w:t xml:space="preserve"> </w:t>
      </w:r>
      <w:r w:rsidR="003B53D7">
        <w:rPr>
          <w:rFonts w:ascii="Times New Roman" w:hAnsi="Times New Roman" w:cs="Times New Roman"/>
        </w:rPr>
        <w:t>Quadro 4</w:t>
      </w:r>
      <w:r w:rsidR="00C930AA">
        <w:rPr>
          <w:rFonts w:ascii="Times New Roman" w:hAnsi="Times New Roman" w:cs="Times New Roman"/>
        </w:rPr>
        <w:t>7</w:t>
      </w:r>
      <w:r>
        <w:rPr>
          <w:rFonts w:ascii="Times New Roman" w:hAnsi="Times New Roman" w:cs="Times New Roman"/>
        </w:rPr>
        <w:t>.</w:t>
      </w:r>
    </w:p>
    <w:p w:rsidR="00AB7E80" w:rsidRPr="001D22C7" w:rsidRDefault="0075744C" w:rsidP="0075744C">
      <w:pPr>
        <w:pStyle w:val="Legenda"/>
      </w:pPr>
      <w:bookmarkStart w:id="415" w:name="_Toc372740553"/>
      <w:r>
        <w:t xml:space="preserve">Quadro </w:t>
      </w:r>
      <w:fldSimple w:instr=" SEQ Quadro \* ARABIC ">
        <w:r w:rsidR="004F77E2">
          <w:rPr>
            <w:noProof/>
          </w:rPr>
          <w:t>47</w:t>
        </w:r>
      </w:fldSimple>
      <w:r>
        <w:t xml:space="preserve"> - </w:t>
      </w:r>
      <w:r w:rsidRPr="00FD1DD3">
        <w:rPr>
          <w:noProof/>
        </w:rPr>
        <w:t>Rede Coletora de Esgoto do município de Aimorés em 2012.</w:t>
      </w:r>
      <w:bookmarkEnd w:id="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1"/>
        <w:gridCol w:w="4253"/>
      </w:tblGrid>
      <w:tr w:rsidR="00E32574" w:rsidRPr="005243F8" w:rsidTr="00E32574">
        <w:trPr>
          <w:jc w:val="center"/>
        </w:trPr>
        <w:tc>
          <w:tcPr>
            <w:tcW w:w="4322" w:type="dxa"/>
            <w:shd w:val="clear" w:color="auto" w:fill="D9D9D9"/>
            <w:vAlign w:val="center"/>
          </w:tcPr>
          <w:p w:rsidR="00E32574" w:rsidRPr="005243F8" w:rsidRDefault="00E32574" w:rsidP="003B53D7">
            <w:pPr>
              <w:spacing w:before="120" w:after="120" w:line="240" w:lineRule="auto"/>
              <w:jc w:val="center"/>
              <w:rPr>
                <w:b/>
                <w:szCs w:val="24"/>
                <w:lang w:eastAsia="pt-BR"/>
              </w:rPr>
            </w:pPr>
            <w:r w:rsidRPr="005243F8">
              <w:rPr>
                <w:b/>
                <w:szCs w:val="24"/>
                <w:lang w:eastAsia="pt-BR"/>
              </w:rPr>
              <w:t>Dimensão Rede Coletora de Esgoto (mm)</w:t>
            </w:r>
          </w:p>
        </w:tc>
        <w:tc>
          <w:tcPr>
            <w:tcW w:w="4322" w:type="dxa"/>
            <w:shd w:val="clear" w:color="auto" w:fill="D9D9D9"/>
            <w:vAlign w:val="center"/>
          </w:tcPr>
          <w:p w:rsidR="00E32574" w:rsidRPr="005243F8" w:rsidRDefault="00E32574" w:rsidP="003B53D7">
            <w:pPr>
              <w:spacing w:before="120" w:after="120" w:line="240" w:lineRule="auto"/>
              <w:jc w:val="center"/>
              <w:rPr>
                <w:b/>
                <w:szCs w:val="24"/>
                <w:lang w:eastAsia="pt-BR"/>
              </w:rPr>
            </w:pPr>
            <w:r w:rsidRPr="005243F8">
              <w:rPr>
                <w:b/>
                <w:szCs w:val="24"/>
                <w:lang w:eastAsia="pt-BR"/>
              </w:rPr>
              <w:t>Comprimento Rede Coletora de Esgoto (m)</w:t>
            </w:r>
          </w:p>
        </w:tc>
      </w:tr>
      <w:tr w:rsidR="00E32574" w:rsidRPr="005243F8" w:rsidTr="00E32574">
        <w:trPr>
          <w:jc w:val="center"/>
        </w:trPr>
        <w:tc>
          <w:tcPr>
            <w:tcW w:w="4322" w:type="dxa"/>
          </w:tcPr>
          <w:p w:rsidR="00E32574" w:rsidRPr="005243F8" w:rsidRDefault="00E32574" w:rsidP="003B53D7">
            <w:pPr>
              <w:spacing w:before="120" w:after="120" w:line="240" w:lineRule="auto"/>
              <w:jc w:val="center"/>
              <w:rPr>
                <w:szCs w:val="24"/>
                <w:lang w:eastAsia="pt-BR"/>
              </w:rPr>
            </w:pPr>
            <w:r w:rsidRPr="005243F8">
              <w:rPr>
                <w:szCs w:val="24"/>
                <w:lang w:eastAsia="pt-BR"/>
              </w:rPr>
              <w:t xml:space="preserve">100 </w:t>
            </w:r>
          </w:p>
        </w:tc>
        <w:tc>
          <w:tcPr>
            <w:tcW w:w="4322" w:type="dxa"/>
          </w:tcPr>
          <w:p w:rsidR="00E32574" w:rsidRPr="005243F8" w:rsidRDefault="00E32574" w:rsidP="003B53D7">
            <w:pPr>
              <w:spacing w:before="120" w:after="120" w:line="240" w:lineRule="auto"/>
              <w:jc w:val="center"/>
              <w:rPr>
                <w:szCs w:val="24"/>
                <w:lang w:eastAsia="pt-BR"/>
              </w:rPr>
            </w:pPr>
            <w:r w:rsidRPr="005243F8">
              <w:rPr>
                <w:szCs w:val="24"/>
                <w:lang w:eastAsia="pt-BR"/>
              </w:rPr>
              <w:t>33.468</w:t>
            </w:r>
          </w:p>
        </w:tc>
      </w:tr>
      <w:tr w:rsidR="00E32574" w:rsidRPr="005243F8" w:rsidTr="00E32574">
        <w:trPr>
          <w:jc w:val="center"/>
        </w:trPr>
        <w:tc>
          <w:tcPr>
            <w:tcW w:w="4322" w:type="dxa"/>
          </w:tcPr>
          <w:p w:rsidR="00E32574" w:rsidRPr="005243F8" w:rsidRDefault="00E32574" w:rsidP="003B53D7">
            <w:pPr>
              <w:spacing w:before="120" w:after="120" w:line="240" w:lineRule="auto"/>
              <w:jc w:val="center"/>
              <w:rPr>
                <w:szCs w:val="24"/>
                <w:lang w:eastAsia="pt-BR"/>
              </w:rPr>
            </w:pPr>
            <w:r w:rsidRPr="005243F8">
              <w:rPr>
                <w:szCs w:val="24"/>
                <w:lang w:eastAsia="pt-BR"/>
              </w:rPr>
              <w:t>150</w:t>
            </w:r>
          </w:p>
        </w:tc>
        <w:tc>
          <w:tcPr>
            <w:tcW w:w="4322" w:type="dxa"/>
          </w:tcPr>
          <w:p w:rsidR="00E32574" w:rsidRPr="005243F8" w:rsidRDefault="00E32574" w:rsidP="003B53D7">
            <w:pPr>
              <w:spacing w:before="120" w:after="120" w:line="240" w:lineRule="auto"/>
              <w:jc w:val="center"/>
              <w:rPr>
                <w:szCs w:val="24"/>
                <w:lang w:eastAsia="pt-BR"/>
              </w:rPr>
            </w:pPr>
            <w:r w:rsidRPr="005243F8">
              <w:rPr>
                <w:szCs w:val="24"/>
                <w:lang w:eastAsia="pt-BR"/>
              </w:rPr>
              <w:t>520</w:t>
            </w:r>
          </w:p>
        </w:tc>
      </w:tr>
      <w:tr w:rsidR="00E32574" w:rsidRPr="005243F8" w:rsidTr="00E32574">
        <w:trPr>
          <w:jc w:val="center"/>
        </w:trPr>
        <w:tc>
          <w:tcPr>
            <w:tcW w:w="4322" w:type="dxa"/>
          </w:tcPr>
          <w:p w:rsidR="00E32574" w:rsidRPr="005243F8" w:rsidRDefault="00E32574" w:rsidP="003B53D7">
            <w:pPr>
              <w:spacing w:before="120" w:after="120" w:line="240" w:lineRule="auto"/>
              <w:jc w:val="center"/>
              <w:rPr>
                <w:szCs w:val="24"/>
                <w:lang w:eastAsia="pt-BR"/>
              </w:rPr>
            </w:pPr>
            <w:r w:rsidRPr="005243F8">
              <w:rPr>
                <w:szCs w:val="24"/>
                <w:lang w:eastAsia="pt-BR"/>
              </w:rPr>
              <w:t>200</w:t>
            </w:r>
          </w:p>
        </w:tc>
        <w:tc>
          <w:tcPr>
            <w:tcW w:w="4322" w:type="dxa"/>
          </w:tcPr>
          <w:p w:rsidR="00E32574" w:rsidRPr="005243F8" w:rsidRDefault="00E32574" w:rsidP="003B53D7">
            <w:pPr>
              <w:spacing w:before="120" w:after="120" w:line="240" w:lineRule="auto"/>
              <w:jc w:val="center"/>
              <w:rPr>
                <w:szCs w:val="24"/>
                <w:lang w:eastAsia="pt-BR"/>
              </w:rPr>
            </w:pPr>
            <w:r w:rsidRPr="005243F8">
              <w:rPr>
                <w:szCs w:val="24"/>
                <w:lang w:eastAsia="pt-BR"/>
              </w:rPr>
              <w:t>24.933</w:t>
            </w:r>
          </w:p>
        </w:tc>
      </w:tr>
      <w:tr w:rsidR="00E32574" w:rsidRPr="005243F8" w:rsidTr="00E32574">
        <w:trPr>
          <w:jc w:val="center"/>
        </w:trPr>
        <w:tc>
          <w:tcPr>
            <w:tcW w:w="4322" w:type="dxa"/>
          </w:tcPr>
          <w:p w:rsidR="00E32574" w:rsidRPr="005243F8" w:rsidRDefault="00E32574" w:rsidP="003B53D7">
            <w:pPr>
              <w:spacing w:before="120" w:after="120" w:line="240" w:lineRule="auto"/>
              <w:jc w:val="center"/>
              <w:rPr>
                <w:szCs w:val="24"/>
                <w:lang w:eastAsia="pt-BR"/>
              </w:rPr>
            </w:pPr>
            <w:r w:rsidRPr="005243F8">
              <w:rPr>
                <w:szCs w:val="24"/>
                <w:lang w:eastAsia="pt-BR"/>
              </w:rPr>
              <w:t>300</w:t>
            </w:r>
          </w:p>
        </w:tc>
        <w:tc>
          <w:tcPr>
            <w:tcW w:w="4322" w:type="dxa"/>
          </w:tcPr>
          <w:p w:rsidR="00E32574" w:rsidRPr="005243F8" w:rsidRDefault="00E32574" w:rsidP="003B53D7">
            <w:pPr>
              <w:spacing w:before="120" w:after="120" w:line="240" w:lineRule="auto"/>
              <w:jc w:val="center"/>
              <w:rPr>
                <w:szCs w:val="24"/>
                <w:lang w:eastAsia="pt-BR"/>
              </w:rPr>
            </w:pPr>
            <w:r w:rsidRPr="005243F8">
              <w:rPr>
                <w:szCs w:val="24"/>
                <w:lang w:eastAsia="pt-BR"/>
              </w:rPr>
              <w:t>2.580</w:t>
            </w:r>
          </w:p>
        </w:tc>
      </w:tr>
      <w:tr w:rsidR="00E32574" w:rsidRPr="005243F8" w:rsidTr="00E32574">
        <w:trPr>
          <w:jc w:val="center"/>
        </w:trPr>
        <w:tc>
          <w:tcPr>
            <w:tcW w:w="4322" w:type="dxa"/>
          </w:tcPr>
          <w:p w:rsidR="00E32574" w:rsidRPr="005243F8" w:rsidRDefault="00E32574" w:rsidP="003B53D7">
            <w:pPr>
              <w:spacing w:before="120" w:after="120" w:line="240" w:lineRule="auto"/>
              <w:jc w:val="center"/>
              <w:rPr>
                <w:szCs w:val="24"/>
                <w:lang w:eastAsia="pt-BR"/>
              </w:rPr>
            </w:pPr>
            <w:r w:rsidRPr="005243F8">
              <w:rPr>
                <w:szCs w:val="24"/>
                <w:lang w:eastAsia="pt-BR"/>
              </w:rPr>
              <w:t>TOTAL</w:t>
            </w:r>
          </w:p>
        </w:tc>
        <w:tc>
          <w:tcPr>
            <w:tcW w:w="4322" w:type="dxa"/>
          </w:tcPr>
          <w:p w:rsidR="00E32574" w:rsidRPr="005243F8" w:rsidRDefault="00E32574" w:rsidP="003B53D7">
            <w:pPr>
              <w:spacing w:before="120" w:after="120" w:line="240" w:lineRule="auto"/>
              <w:jc w:val="center"/>
              <w:rPr>
                <w:szCs w:val="24"/>
                <w:lang w:eastAsia="pt-BR"/>
              </w:rPr>
            </w:pPr>
            <w:r w:rsidRPr="005243F8">
              <w:rPr>
                <w:szCs w:val="24"/>
                <w:lang w:eastAsia="pt-BR"/>
              </w:rPr>
              <w:t>61.501</w:t>
            </w:r>
          </w:p>
        </w:tc>
      </w:tr>
    </w:tbl>
    <w:p w:rsidR="00E32574" w:rsidRPr="001D22C7" w:rsidRDefault="00E32574" w:rsidP="00AB7E80">
      <w:pPr>
        <w:pStyle w:val="Fonte"/>
        <w:rPr>
          <w:lang w:eastAsia="pt-BR"/>
        </w:rPr>
      </w:pPr>
      <w:r w:rsidRPr="001D22C7">
        <w:rPr>
          <w:lang w:eastAsia="pt-BR"/>
        </w:rPr>
        <w:t>Fonte: SAAE,2013.</w:t>
      </w:r>
    </w:p>
    <w:p w:rsidR="00E32574" w:rsidRDefault="00E32574" w:rsidP="0053477A">
      <w:pPr>
        <w:pStyle w:val="CM73"/>
        <w:numPr>
          <w:ilvl w:val="0"/>
          <w:numId w:val="31"/>
        </w:numPr>
        <w:spacing w:line="360" w:lineRule="auto"/>
        <w:ind w:left="567" w:hanging="283"/>
        <w:jc w:val="both"/>
        <w:rPr>
          <w:rFonts w:ascii="Times New Roman" w:hAnsi="Times New Roman" w:cs="Times New Roman"/>
        </w:rPr>
      </w:pPr>
      <w:r w:rsidRPr="006847FB">
        <w:rPr>
          <w:rFonts w:ascii="Times New Roman" w:hAnsi="Times New Roman" w:cs="Times New Roman"/>
        </w:rPr>
        <w:t>A malha conta com trechos de rede que funcionam de forma mista, recebendo águas servidas e águas de drenagem pluvial, principalmente na região dos arruamentos históricos na área central da sede do município. Releve-se que nos bairros mais periféricos e distri</w:t>
      </w:r>
      <w:r>
        <w:rPr>
          <w:rFonts w:ascii="Times New Roman" w:hAnsi="Times New Roman" w:cs="Times New Roman"/>
        </w:rPr>
        <w:t>tos também ocorrem esses casos;</w:t>
      </w:r>
    </w:p>
    <w:p w:rsidR="00E32574" w:rsidRPr="005E6004" w:rsidRDefault="00E32574" w:rsidP="0053477A">
      <w:pPr>
        <w:pStyle w:val="CM73"/>
        <w:numPr>
          <w:ilvl w:val="0"/>
          <w:numId w:val="31"/>
        </w:numPr>
        <w:spacing w:line="360" w:lineRule="auto"/>
        <w:ind w:left="567" w:hanging="283"/>
        <w:jc w:val="both"/>
        <w:rPr>
          <w:rFonts w:ascii="Times New Roman" w:hAnsi="Times New Roman" w:cs="Times New Roman"/>
        </w:rPr>
      </w:pPr>
      <w:r w:rsidRPr="005E6004">
        <w:rPr>
          <w:rFonts w:ascii="Times New Roman" w:hAnsi="Times New Roman" w:cs="Times New Roman"/>
        </w:rPr>
        <w:t>As redes que atendem como mistas são normalmente de bitola considerável. São de material concreto, ferro fundido, alvenaria de tijolos maciços ou pedra montada e comportam relativamente bem à volubilidade dos escoamentos;</w:t>
      </w:r>
    </w:p>
    <w:p w:rsidR="00E32574" w:rsidRDefault="00E32574" w:rsidP="0053477A">
      <w:pPr>
        <w:pStyle w:val="CM73"/>
        <w:numPr>
          <w:ilvl w:val="0"/>
          <w:numId w:val="31"/>
        </w:numPr>
        <w:spacing w:line="360" w:lineRule="auto"/>
        <w:ind w:left="567" w:hanging="283"/>
        <w:jc w:val="both"/>
        <w:rPr>
          <w:rFonts w:ascii="Times New Roman" w:hAnsi="Times New Roman" w:cs="Times New Roman"/>
        </w:rPr>
      </w:pPr>
      <w:r w:rsidRPr="005D3615">
        <w:rPr>
          <w:rFonts w:ascii="Times New Roman" w:hAnsi="Times New Roman" w:cs="Times New Roman"/>
        </w:rPr>
        <w:lastRenderedPageBreak/>
        <w:t>Algumas redes tidas como mistas foram construídas para atender às duas demandas, outras foram projetadas para drenagem e pela ausência de investimento em rede coletora de esgotos acabaram por receber efluentes sanitários</w:t>
      </w:r>
      <w:r>
        <w:rPr>
          <w:rFonts w:ascii="Times New Roman" w:hAnsi="Times New Roman" w:cs="Times New Roman"/>
        </w:rPr>
        <w:t xml:space="preserve"> (Figura </w:t>
      </w:r>
      <w:r w:rsidR="003B53D7">
        <w:rPr>
          <w:rFonts w:ascii="Times New Roman" w:hAnsi="Times New Roman" w:cs="Times New Roman"/>
        </w:rPr>
        <w:t>112</w:t>
      </w:r>
      <w:r>
        <w:rPr>
          <w:rFonts w:ascii="Times New Roman" w:hAnsi="Times New Roman" w:cs="Times New Roman"/>
        </w:rPr>
        <w:t>)</w:t>
      </w:r>
      <w:r w:rsidRPr="005D3615">
        <w:rPr>
          <w:rFonts w:ascii="Times New Roman" w:hAnsi="Times New Roman" w:cs="Times New Roman"/>
        </w:rPr>
        <w:t xml:space="preserve">; </w:t>
      </w:r>
    </w:p>
    <w:p w:rsidR="00AB7E80" w:rsidRPr="0043429D" w:rsidRDefault="00291A25" w:rsidP="00291A25">
      <w:pPr>
        <w:pStyle w:val="Legenda"/>
      </w:pPr>
      <w:bookmarkStart w:id="416" w:name="_Toc372740195"/>
      <w:r>
        <w:t xml:space="preserve">Figura </w:t>
      </w:r>
      <w:fldSimple w:instr=" SEQ Figura \* ARABIC ">
        <w:r w:rsidR="004F77E2">
          <w:rPr>
            <w:noProof/>
          </w:rPr>
          <w:t>112</w:t>
        </w:r>
      </w:fldSimple>
      <w:r>
        <w:t xml:space="preserve"> - </w:t>
      </w:r>
      <w:r w:rsidRPr="006B31E4">
        <w:t>Aspecto visual da galeria de drenagem de águas pluviais, mais antiga da cidade, que recebe lançamento clandestino de esgoto in natura. (Local: 24K 0283927 7843490 / Altitude: 80 m).</w:t>
      </w:r>
      <w:bookmarkEnd w:id="416"/>
    </w:p>
    <w:p w:rsidR="00E32574" w:rsidRDefault="00E32574" w:rsidP="00000622">
      <w:pPr>
        <w:spacing w:after="0" w:line="240" w:lineRule="auto"/>
        <w:jc w:val="center"/>
        <w:rPr>
          <w:lang w:eastAsia="pt-BR"/>
        </w:rPr>
      </w:pPr>
      <w:r>
        <w:rPr>
          <w:noProof/>
          <w:lang w:eastAsia="pt-BR"/>
        </w:rPr>
        <w:drawing>
          <wp:inline distT="0" distB="0" distL="0" distR="0" wp14:anchorId="76FAF8D1" wp14:editId="1528687C">
            <wp:extent cx="4668900" cy="3467405"/>
            <wp:effectExtent l="0" t="0" r="0" b="0"/>
            <wp:docPr id="198" name="Imagem 198" descr="Foto 111 Ponto 146 OBS. POR ESSE PONTO PASSA A GALERIA MISTA MAIS ANTIGA DE AIMORÉS VERDE E AMARE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Foto 111 Ponto 146 OBS. POR ESSE PONTO PASSA A GALERIA MISTA MAIS ANTIGA DE AIMORÉS VERDE E AMARELO.JP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677710" cy="3473948"/>
                    </a:xfrm>
                    <a:prstGeom prst="rect">
                      <a:avLst/>
                    </a:prstGeom>
                    <a:noFill/>
                    <a:ln>
                      <a:noFill/>
                    </a:ln>
                  </pic:spPr>
                </pic:pic>
              </a:graphicData>
            </a:graphic>
          </wp:inline>
        </w:drawing>
      </w:r>
    </w:p>
    <w:p w:rsidR="00E32574" w:rsidRPr="0043429D" w:rsidRDefault="00AB7E80" w:rsidP="00AB7E80">
      <w:pPr>
        <w:pStyle w:val="Fonte"/>
        <w:ind w:firstLine="349"/>
        <w:rPr>
          <w:lang w:eastAsia="pt-BR"/>
        </w:rPr>
      </w:pPr>
      <w:r>
        <w:rPr>
          <w:lang w:eastAsia="pt-BR"/>
        </w:rPr>
        <w:t xml:space="preserve">    </w:t>
      </w:r>
      <w:r w:rsidR="00E32574" w:rsidRPr="0043429D">
        <w:rPr>
          <w:lang w:eastAsia="pt-BR"/>
        </w:rPr>
        <w:t>Fonte: Fundação Educacional de Caratinga - FUNEC, 2013.</w:t>
      </w:r>
    </w:p>
    <w:p w:rsidR="00E32574" w:rsidRDefault="00E32574" w:rsidP="0053477A">
      <w:pPr>
        <w:pStyle w:val="CM73"/>
        <w:numPr>
          <w:ilvl w:val="0"/>
          <w:numId w:val="32"/>
        </w:numPr>
        <w:spacing w:line="360" w:lineRule="auto"/>
        <w:ind w:left="567" w:hanging="283"/>
        <w:jc w:val="both"/>
        <w:rPr>
          <w:rFonts w:ascii="Times New Roman" w:hAnsi="Times New Roman" w:cs="Times New Roman"/>
        </w:rPr>
      </w:pPr>
      <w:r w:rsidRPr="005D3615">
        <w:rPr>
          <w:rFonts w:ascii="Times New Roman" w:hAnsi="Times New Roman" w:cs="Times New Roman"/>
        </w:rPr>
        <w:t xml:space="preserve">Especula-se que um percentual considerável da malha se encontra com tempo de vida útil dos materiais utilizados bastante avançado; </w:t>
      </w:r>
    </w:p>
    <w:p w:rsidR="00E32574" w:rsidRDefault="00E32574" w:rsidP="0053477A">
      <w:pPr>
        <w:pStyle w:val="CM73"/>
        <w:numPr>
          <w:ilvl w:val="0"/>
          <w:numId w:val="32"/>
        </w:numPr>
        <w:spacing w:line="360" w:lineRule="auto"/>
        <w:ind w:left="567" w:hanging="283"/>
        <w:jc w:val="both"/>
        <w:rPr>
          <w:rFonts w:ascii="Times New Roman" w:hAnsi="Times New Roman" w:cs="Times New Roman"/>
        </w:rPr>
      </w:pPr>
      <w:r w:rsidRPr="005D3615">
        <w:rPr>
          <w:rFonts w:ascii="Times New Roman" w:hAnsi="Times New Roman" w:cs="Times New Roman"/>
        </w:rPr>
        <w:t>O sistema foi concebido de forma originalmente aleatória com foco somente na necessidade de atendimento. É conduzido operacionalmente de forma igualmente aleatória e é estruturalmente desajustado;</w:t>
      </w:r>
    </w:p>
    <w:p w:rsidR="00E32574" w:rsidRDefault="00E32574" w:rsidP="0053477A">
      <w:pPr>
        <w:pStyle w:val="CM73"/>
        <w:numPr>
          <w:ilvl w:val="0"/>
          <w:numId w:val="32"/>
        </w:numPr>
        <w:spacing w:line="360" w:lineRule="auto"/>
        <w:ind w:left="567" w:hanging="283"/>
        <w:jc w:val="both"/>
        <w:rPr>
          <w:rFonts w:ascii="Times New Roman" w:hAnsi="Times New Roman" w:cs="Times New Roman"/>
        </w:rPr>
      </w:pPr>
      <w:r>
        <w:rPr>
          <w:rFonts w:ascii="Times New Roman" w:hAnsi="Times New Roman" w:cs="Times New Roman"/>
        </w:rPr>
        <w:t>O</w:t>
      </w:r>
      <w:r w:rsidRPr="005D3615">
        <w:rPr>
          <w:rFonts w:ascii="Times New Roman" w:hAnsi="Times New Roman" w:cs="Times New Roman"/>
        </w:rPr>
        <w:t xml:space="preserve">s materiais que compõem a parte da malha exclusiva para esgotamento sanitário são diversos: PVC, </w:t>
      </w:r>
      <w:r>
        <w:rPr>
          <w:rFonts w:ascii="Times New Roman" w:hAnsi="Times New Roman" w:cs="Times New Roman"/>
        </w:rPr>
        <w:t>PUC e</w:t>
      </w:r>
      <w:r w:rsidRPr="005D3615">
        <w:rPr>
          <w:rFonts w:ascii="Times New Roman" w:hAnsi="Times New Roman" w:cs="Times New Roman"/>
        </w:rPr>
        <w:t xml:space="preserve"> manilhas cerâmicas. São de bitolas variadas provavelmente definidas em vários casos sem </w:t>
      </w:r>
      <w:r w:rsidR="003B53D7">
        <w:rPr>
          <w:rFonts w:ascii="Times New Roman" w:hAnsi="Times New Roman" w:cs="Times New Roman"/>
        </w:rPr>
        <w:t>estudos</w:t>
      </w:r>
      <w:r w:rsidRPr="005D3615">
        <w:rPr>
          <w:rFonts w:ascii="Times New Roman" w:hAnsi="Times New Roman" w:cs="Times New Roman"/>
        </w:rPr>
        <w:t xml:space="preserve"> de dimensionamento e suspeita-se d</w:t>
      </w:r>
      <w:r w:rsidR="003B53D7">
        <w:rPr>
          <w:rFonts w:ascii="Times New Roman" w:hAnsi="Times New Roman" w:cs="Times New Roman"/>
        </w:rPr>
        <w:t>a</w:t>
      </w:r>
      <w:r w:rsidRPr="005D3615">
        <w:rPr>
          <w:rFonts w:ascii="Times New Roman" w:hAnsi="Times New Roman" w:cs="Times New Roman"/>
        </w:rPr>
        <w:t xml:space="preserve"> ausência de critério na escolha dos materiais aplicados. A malha é bastante heterogênea no que se refere às bitolas e materiais;</w:t>
      </w:r>
    </w:p>
    <w:p w:rsidR="00E32574" w:rsidRDefault="00E32574" w:rsidP="0053477A">
      <w:pPr>
        <w:pStyle w:val="CM73"/>
        <w:numPr>
          <w:ilvl w:val="0"/>
          <w:numId w:val="32"/>
        </w:numPr>
        <w:spacing w:line="360" w:lineRule="auto"/>
        <w:ind w:left="567" w:hanging="283"/>
        <w:jc w:val="both"/>
        <w:rPr>
          <w:rFonts w:ascii="Times New Roman" w:hAnsi="Times New Roman" w:cs="Times New Roman"/>
        </w:rPr>
      </w:pPr>
      <w:r>
        <w:rPr>
          <w:rFonts w:ascii="Times New Roman" w:hAnsi="Times New Roman" w:cs="Times New Roman"/>
        </w:rPr>
        <w:t>V</w:t>
      </w:r>
      <w:r w:rsidRPr="005D3615">
        <w:rPr>
          <w:rFonts w:ascii="Times New Roman" w:hAnsi="Times New Roman" w:cs="Times New Roman"/>
        </w:rPr>
        <w:t xml:space="preserve">ários trechos da malha exclusiva para esgotamento sanitário recebem cargas </w:t>
      </w:r>
      <w:r w:rsidRPr="005D3615">
        <w:rPr>
          <w:rFonts w:ascii="Times New Roman" w:hAnsi="Times New Roman" w:cs="Times New Roman"/>
        </w:rPr>
        <w:lastRenderedPageBreak/>
        <w:t>extraordinárias de ligações de águas de drenagem de pátios de residências e possivelmente outras situações há já visto a anormalidade de comportamento das redes nos períodos chuvosos</w:t>
      </w:r>
      <w:r>
        <w:rPr>
          <w:rFonts w:ascii="Times New Roman" w:hAnsi="Times New Roman" w:cs="Times New Roman"/>
        </w:rPr>
        <w:t xml:space="preserve"> (Figuras </w:t>
      </w:r>
      <w:r w:rsidR="003B53D7">
        <w:rPr>
          <w:rFonts w:ascii="Times New Roman" w:hAnsi="Times New Roman" w:cs="Times New Roman"/>
        </w:rPr>
        <w:t>113 e 114</w:t>
      </w:r>
      <w:r>
        <w:rPr>
          <w:rFonts w:ascii="Times New Roman" w:hAnsi="Times New Roman" w:cs="Times New Roman"/>
        </w:rPr>
        <w:t>)</w:t>
      </w:r>
      <w:r w:rsidRPr="005D3615">
        <w:rPr>
          <w:rFonts w:ascii="Times New Roman" w:hAnsi="Times New Roman" w:cs="Times New Roman"/>
        </w:rPr>
        <w:t>;</w:t>
      </w:r>
    </w:p>
    <w:p w:rsidR="00573111" w:rsidRDefault="00291A25" w:rsidP="00291A25">
      <w:pPr>
        <w:pStyle w:val="Legenda"/>
      </w:pPr>
      <w:bookmarkStart w:id="417" w:name="_Toc372740196"/>
      <w:r>
        <w:t xml:space="preserve">Figura </w:t>
      </w:r>
      <w:fldSimple w:instr=" SEQ Figura \* ARABIC ">
        <w:r w:rsidR="004F77E2">
          <w:rPr>
            <w:noProof/>
          </w:rPr>
          <w:t>113</w:t>
        </w:r>
      </w:fldSimple>
      <w:r>
        <w:t xml:space="preserve">- </w:t>
      </w:r>
      <w:r w:rsidRPr="003B4CBC">
        <w:t>Aspecto visual da galeria de rede pluvial localizado na Avenida Brasil cruzamento com Rua Luiz Martins Soares que recebe lançamento clandestino. (Local: 24K 0282554 7842905/ Altitude: 85 m)</w:t>
      </w:r>
      <w:bookmarkEnd w:id="417"/>
    </w:p>
    <w:p w:rsidR="00E32574" w:rsidRPr="00573111" w:rsidRDefault="00E32574" w:rsidP="003B53D7">
      <w:pPr>
        <w:spacing w:after="0" w:line="240" w:lineRule="auto"/>
        <w:jc w:val="center"/>
      </w:pPr>
      <w:r w:rsidRPr="00573111">
        <w:rPr>
          <w:noProof/>
          <w:lang w:eastAsia="pt-BR"/>
        </w:rPr>
        <w:drawing>
          <wp:inline distT="0" distB="0" distL="0" distR="0" wp14:anchorId="4A3D0894" wp14:editId="227F0410">
            <wp:extent cx="4865900" cy="3613709"/>
            <wp:effectExtent l="0" t="0" r="0" b="6350"/>
            <wp:docPr id="197" name="Imagem 197" descr="Foto 103 Ponto 141 Extravasor de esgoto na rede Pluvial - Avenida Brasil cruzamento com Rua Luiz Martins Soa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descr="Foto 103 Ponto 141 Extravasor de esgoto na rede Pluvial - Avenida Brasil cruzamento com Rua Luiz Martins Soares.JP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875210" cy="3620623"/>
                    </a:xfrm>
                    <a:prstGeom prst="rect">
                      <a:avLst/>
                    </a:prstGeom>
                    <a:noFill/>
                    <a:ln>
                      <a:noFill/>
                    </a:ln>
                  </pic:spPr>
                </pic:pic>
              </a:graphicData>
            </a:graphic>
          </wp:inline>
        </w:drawing>
      </w:r>
    </w:p>
    <w:p w:rsidR="00E32574" w:rsidRPr="0043429D" w:rsidRDefault="00E32574" w:rsidP="003B53D7">
      <w:pPr>
        <w:pStyle w:val="Fonte"/>
        <w:spacing w:before="0" w:after="0"/>
        <w:ind w:firstLine="426"/>
        <w:rPr>
          <w:lang w:eastAsia="pt-BR"/>
        </w:rPr>
      </w:pPr>
      <w:r w:rsidRPr="0043429D">
        <w:rPr>
          <w:lang w:eastAsia="pt-BR"/>
        </w:rPr>
        <w:t>Fonte: Fundação Educacional de Caratinga - FUNEC, 2013.</w:t>
      </w:r>
    </w:p>
    <w:p w:rsidR="003B53D7" w:rsidRDefault="003B53D7">
      <w:pPr>
        <w:spacing w:after="200" w:line="276" w:lineRule="auto"/>
        <w:rPr>
          <w:rFonts w:eastAsiaTheme="minorEastAsia" w:cs="Times New Roman"/>
          <w:bCs/>
          <w:szCs w:val="24"/>
          <w:lang w:eastAsia="pt-BR"/>
        </w:rPr>
      </w:pPr>
      <w:bookmarkStart w:id="418" w:name="_Toc372117164"/>
      <w:r>
        <w:br w:type="page"/>
      </w:r>
    </w:p>
    <w:p w:rsidR="00E32574" w:rsidRPr="003B53D7" w:rsidRDefault="00291A25" w:rsidP="00291A25">
      <w:pPr>
        <w:pStyle w:val="Legenda"/>
        <w:rPr>
          <w:b w:val="0"/>
        </w:rPr>
      </w:pPr>
      <w:bookmarkStart w:id="419" w:name="_Toc372740197"/>
      <w:bookmarkEnd w:id="418"/>
      <w:r>
        <w:lastRenderedPageBreak/>
        <w:t xml:space="preserve">Figura </w:t>
      </w:r>
      <w:fldSimple w:instr=" SEQ Figura \* ARABIC ">
        <w:r w:rsidR="004F77E2">
          <w:rPr>
            <w:noProof/>
          </w:rPr>
          <w:t>114</w:t>
        </w:r>
      </w:fldSimple>
      <w:r>
        <w:t xml:space="preserve"> - </w:t>
      </w:r>
      <w:r w:rsidRPr="00225964">
        <w:t>Aspecto visual do extravasor de esgoto in natura na rede pluvial localizado próximo ao cruzamento da Avenida Brasil com a Rua Luiz Martins Soares. (Local: 24K 0283052 7842811/ Altitude: 79 m)</w:t>
      </w:r>
      <w:bookmarkEnd w:id="419"/>
    </w:p>
    <w:p w:rsidR="00E32574" w:rsidRDefault="00E32574" w:rsidP="003B53D7">
      <w:pPr>
        <w:pStyle w:val="Default"/>
        <w:jc w:val="center"/>
      </w:pPr>
      <w:r>
        <w:rPr>
          <w:noProof/>
        </w:rPr>
        <w:drawing>
          <wp:inline distT="0" distB="0" distL="0" distR="0" wp14:anchorId="7DCB9BAC" wp14:editId="072008BA">
            <wp:extent cx="4915150" cy="3650285"/>
            <wp:effectExtent l="0" t="0" r="0" b="7620"/>
            <wp:docPr id="196" name="Imagem 196" descr="Foto 119 Ponto 150 Lançamento de esgoto na rede pluvial rua Ailton Pereira da Costa 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descr="Foto 119 Ponto 150 Lançamento de esgoto na rede pluvial rua Ailton Pereira da Costa 152.JP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925957" cy="3658311"/>
                    </a:xfrm>
                    <a:prstGeom prst="rect">
                      <a:avLst/>
                    </a:prstGeom>
                    <a:noFill/>
                    <a:ln>
                      <a:noFill/>
                    </a:ln>
                  </pic:spPr>
                </pic:pic>
              </a:graphicData>
            </a:graphic>
          </wp:inline>
        </w:drawing>
      </w:r>
    </w:p>
    <w:p w:rsidR="00E32574" w:rsidRPr="0043429D" w:rsidRDefault="00E32574" w:rsidP="003B53D7">
      <w:pPr>
        <w:pStyle w:val="Fonte"/>
        <w:ind w:left="708" w:hanging="282"/>
        <w:rPr>
          <w:lang w:eastAsia="pt-BR"/>
        </w:rPr>
      </w:pPr>
      <w:r w:rsidRPr="0043429D">
        <w:rPr>
          <w:lang w:eastAsia="pt-BR"/>
        </w:rPr>
        <w:t>Fonte: Fundação Educacional de Caratinga - FUNEC, 2013.</w:t>
      </w:r>
    </w:p>
    <w:p w:rsidR="00E32574" w:rsidRDefault="00E32574" w:rsidP="0053477A">
      <w:pPr>
        <w:pStyle w:val="CM73"/>
        <w:numPr>
          <w:ilvl w:val="0"/>
          <w:numId w:val="33"/>
        </w:numPr>
        <w:spacing w:line="360" w:lineRule="auto"/>
        <w:ind w:left="567" w:hanging="283"/>
        <w:jc w:val="both"/>
        <w:rPr>
          <w:rFonts w:ascii="Times New Roman" w:hAnsi="Times New Roman" w:cs="Times New Roman"/>
        </w:rPr>
      </w:pPr>
      <w:r>
        <w:rPr>
          <w:rFonts w:ascii="Times New Roman" w:hAnsi="Times New Roman" w:cs="Times New Roman"/>
        </w:rPr>
        <w:t>O</w:t>
      </w:r>
      <w:r w:rsidRPr="005D3615">
        <w:rPr>
          <w:rFonts w:ascii="Times New Roman" w:hAnsi="Times New Roman" w:cs="Times New Roman"/>
        </w:rPr>
        <w:t xml:space="preserve"> crescimento desordenado do município propiciou a implantação de vários trechos de rede que hoje se encontram sob residências, ou sob aterros (o que implica na grande profundidade das redes e inviabilidade de manutenção), ou estão posicionadas transversalmente às áreas e quintais particulares.</w:t>
      </w:r>
    </w:p>
    <w:p w:rsidR="00E32574" w:rsidRPr="006847FB" w:rsidRDefault="00E32574" w:rsidP="003B53D7">
      <w:pPr>
        <w:pStyle w:val="CM73"/>
        <w:spacing w:line="360" w:lineRule="auto"/>
        <w:ind w:firstLine="709"/>
        <w:jc w:val="both"/>
        <w:rPr>
          <w:rFonts w:ascii="Times New Roman" w:hAnsi="Times New Roman" w:cs="Times New Roman"/>
        </w:rPr>
      </w:pPr>
      <w:r w:rsidRPr="006F0F48">
        <w:rPr>
          <w:rFonts w:ascii="Times New Roman" w:hAnsi="Times New Roman" w:cs="Times New Roman"/>
        </w:rPr>
        <w:t>Segundo o SAAE a manutenção nas redes é corriqueira decorrente de entupimentos, degradação dos poços de visitas nos períodos chuvosos em função de ocorrência de volumes extraordinários para os quais os trechos de rede nã</w:t>
      </w:r>
      <w:r>
        <w:rPr>
          <w:rFonts w:ascii="Times New Roman" w:hAnsi="Times New Roman" w:cs="Times New Roman"/>
        </w:rPr>
        <w:t>o foram dimensionados.</w:t>
      </w:r>
    </w:p>
    <w:p w:rsidR="00E32574" w:rsidRDefault="00E32574" w:rsidP="00E32574">
      <w:pPr>
        <w:pStyle w:val="CM73"/>
        <w:spacing w:line="360" w:lineRule="auto"/>
        <w:ind w:firstLine="708"/>
        <w:jc w:val="both"/>
        <w:rPr>
          <w:rFonts w:ascii="Times New Roman" w:hAnsi="Times New Roman" w:cs="Times New Roman"/>
        </w:rPr>
      </w:pPr>
      <w:r w:rsidRPr="006847FB">
        <w:rPr>
          <w:rFonts w:ascii="Times New Roman" w:hAnsi="Times New Roman" w:cs="Times New Roman"/>
        </w:rPr>
        <w:t>Atualmente existem vários pontos de lançamentos, tanto de tubulações coletoras de esgoto sanitário que recebem efluentes das residências, como de galerias pluviais que recebem ligações prediais de esgoto diretas e pontos de lançamento de redes coletoras. Esses pontos estão distribuídos ao longo do leito dos córregos</w:t>
      </w:r>
      <w:r>
        <w:rPr>
          <w:rFonts w:ascii="Times New Roman" w:hAnsi="Times New Roman" w:cs="Times New Roman"/>
        </w:rPr>
        <w:t xml:space="preserve"> (Figura </w:t>
      </w:r>
      <w:r w:rsidR="003B53D7">
        <w:rPr>
          <w:rFonts w:ascii="Times New Roman" w:hAnsi="Times New Roman" w:cs="Times New Roman"/>
        </w:rPr>
        <w:t>115</w:t>
      </w:r>
      <w:r>
        <w:rPr>
          <w:rFonts w:ascii="Times New Roman" w:hAnsi="Times New Roman" w:cs="Times New Roman"/>
        </w:rPr>
        <w:t>)</w:t>
      </w:r>
      <w:r w:rsidRPr="006847FB">
        <w:rPr>
          <w:rFonts w:ascii="Times New Roman" w:hAnsi="Times New Roman" w:cs="Times New Roman"/>
        </w:rPr>
        <w:t xml:space="preserve">, principalmente do </w:t>
      </w:r>
      <w:r>
        <w:rPr>
          <w:rFonts w:ascii="Times New Roman" w:hAnsi="Times New Roman" w:cs="Times New Roman"/>
        </w:rPr>
        <w:t xml:space="preserve">córrego da Natividade e do Xuxa (Figuras </w:t>
      </w:r>
      <w:r w:rsidR="002C2D6F">
        <w:rPr>
          <w:rFonts w:ascii="Times New Roman" w:hAnsi="Times New Roman" w:cs="Times New Roman"/>
        </w:rPr>
        <w:t>116, 117, 118, 119 e 120</w:t>
      </w:r>
      <w:r>
        <w:rPr>
          <w:rFonts w:ascii="Times New Roman" w:hAnsi="Times New Roman" w:cs="Times New Roman"/>
        </w:rPr>
        <w:t>)</w:t>
      </w:r>
      <w:r w:rsidRPr="006847FB">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lastRenderedPageBreak/>
        <w:t>ambos na sede do município,</w:t>
      </w:r>
      <w:r w:rsidRPr="006847FB">
        <w:rPr>
          <w:rFonts w:ascii="Times New Roman" w:hAnsi="Times New Roman" w:cs="Times New Roman"/>
        </w:rPr>
        <w:t xml:space="preserve"> causando mau cheiro, proliferação de doenças, sem falar do grande prejuízo ambiental. A reestruturação da malha coletora, tornando-a separadora absoluta, e a implantação de interceptores, culmina exatamente na destinação correta para os efluentes destes lançamentos. </w:t>
      </w:r>
    </w:p>
    <w:p w:rsidR="00573111" w:rsidRDefault="00291A25" w:rsidP="00291A25">
      <w:pPr>
        <w:pStyle w:val="Legenda"/>
      </w:pPr>
      <w:bookmarkStart w:id="420" w:name="_Toc372740198"/>
      <w:r>
        <w:t xml:space="preserve">Figura </w:t>
      </w:r>
      <w:fldSimple w:instr=" SEQ Figura \* ARABIC ">
        <w:r w:rsidR="004F77E2">
          <w:rPr>
            <w:noProof/>
          </w:rPr>
          <w:t>115</w:t>
        </w:r>
      </w:fldSimple>
      <w:r>
        <w:t xml:space="preserve"> - </w:t>
      </w:r>
      <w:r w:rsidRPr="00C63D4E">
        <w:rPr>
          <w:noProof/>
        </w:rPr>
        <w:t>Pontos de lançamento clandestino de esgoto in natura no município de Aimorés.</w:t>
      </w:r>
      <w:bookmarkEnd w:id="420"/>
    </w:p>
    <w:p w:rsidR="00E32574" w:rsidRDefault="00E32574" w:rsidP="00000622">
      <w:pPr>
        <w:spacing w:after="0" w:line="240" w:lineRule="auto"/>
        <w:jc w:val="center"/>
        <w:rPr>
          <w:lang w:eastAsia="pt-BR"/>
        </w:rPr>
      </w:pPr>
      <w:r>
        <w:rPr>
          <w:noProof/>
          <w:lang w:eastAsia="pt-BR"/>
        </w:rPr>
        <w:drawing>
          <wp:inline distT="0" distB="0" distL="0" distR="0" wp14:anchorId="72FB8921" wp14:editId="36C8B4B8">
            <wp:extent cx="5015046" cy="5693134"/>
            <wp:effectExtent l="19050" t="0" r="0" b="0"/>
            <wp:docPr id="195" name="Imagem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022788" cy="5701923"/>
                    </a:xfrm>
                    <a:prstGeom prst="rect">
                      <a:avLst/>
                    </a:prstGeom>
                    <a:noFill/>
                    <a:ln>
                      <a:noFill/>
                    </a:ln>
                  </pic:spPr>
                </pic:pic>
              </a:graphicData>
            </a:graphic>
          </wp:inline>
        </w:drawing>
      </w:r>
    </w:p>
    <w:p w:rsidR="00573111" w:rsidRDefault="00E32574" w:rsidP="004B6B35">
      <w:pPr>
        <w:pStyle w:val="Fonte"/>
        <w:ind w:firstLine="426"/>
        <w:rPr>
          <w:rFonts w:eastAsiaTheme="minorEastAsia" w:cs="Times New Roman"/>
          <w:bCs/>
          <w:szCs w:val="24"/>
          <w:lang w:eastAsia="pt-BR"/>
        </w:rPr>
      </w:pPr>
      <w:r w:rsidRPr="00C37430">
        <w:rPr>
          <w:lang w:eastAsia="pt-BR"/>
        </w:rPr>
        <w:t>Fonte: Fundação Educacional de Caratinga – FUNEC, 2013.</w:t>
      </w:r>
      <w:r w:rsidR="00573111">
        <w:br w:type="page"/>
      </w:r>
    </w:p>
    <w:p w:rsidR="00E32574" w:rsidRPr="00D316D2" w:rsidRDefault="00291A25" w:rsidP="00291A25">
      <w:pPr>
        <w:pStyle w:val="Legenda"/>
      </w:pPr>
      <w:bookmarkStart w:id="421" w:name="_Toc372740199"/>
      <w:r>
        <w:lastRenderedPageBreak/>
        <w:t xml:space="preserve">Figura </w:t>
      </w:r>
      <w:fldSimple w:instr=" SEQ Figura \* ARABIC ">
        <w:r w:rsidR="004F77E2">
          <w:rPr>
            <w:noProof/>
          </w:rPr>
          <w:t>116</w:t>
        </w:r>
      </w:fldSimple>
      <w:r>
        <w:t xml:space="preserve"> - </w:t>
      </w:r>
      <w:r w:rsidRPr="001616E7">
        <w:rPr>
          <w:noProof/>
        </w:rPr>
        <w:t>Aspecto visual do lançamento clandestino de esgoto in natura localizado na Rua Cabo Benedito, próximo à residência n° 26. (Local: 24K 0284279 7843633 / Altitude: 94 m).</w:t>
      </w:r>
      <w:bookmarkEnd w:id="421"/>
    </w:p>
    <w:p w:rsidR="00E32574" w:rsidRDefault="00E32574" w:rsidP="00000622">
      <w:pPr>
        <w:spacing w:after="0" w:line="240" w:lineRule="auto"/>
        <w:jc w:val="center"/>
        <w:rPr>
          <w:lang w:eastAsia="pt-BR"/>
        </w:rPr>
      </w:pPr>
      <w:r>
        <w:rPr>
          <w:noProof/>
          <w:lang w:eastAsia="pt-BR"/>
        </w:rPr>
        <w:drawing>
          <wp:inline distT="0" distB="0" distL="0" distR="0" wp14:anchorId="4CC9C8E4" wp14:editId="742CA8B1">
            <wp:extent cx="4027400" cy="3057753"/>
            <wp:effectExtent l="0" t="0" r="0" b="9525"/>
            <wp:docPr id="194" name="Imagem 194" descr="Foto 7 Ponto 123 Lançamento de esgoto in natura Rua Cabo Benedito,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Foto 7 Ponto 123 Lançamento de esgoto in natura Rua Cabo Benedito,26.JP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040172" cy="3067450"/>
                    </a:xfrm>
                    <a:prstGeom prst="rect">
                      <a:avLst/>
                    </a:prstGeom>
                    <a:noFill/>
                    <a:ln>
                      <a:noFill/>
                    </a:ln>
                  </pic:spPr>
                </pic:pic>
              </a:graphicData>
            </a:graphic>
          </wp:inline>
        </w:drawing>
      </w:r>
    </w:p>
    <w:p w:rsidR="00E32574" w:rsidRDefault="00000622" w:rsidP="00573111">
      <w:pPr>
        <w:pStyle w:val="Fonte"/>
        <w:ind w:firstLine="708"/>
        <w:rPr>
          <w:lang w:eastAsia="pt-BR"/>
        </w:rPr>
      </w:pPr>
      <w:r>
        <w:rPr>
          <w:lang w:eastAsia="pt-BR"/>
        </w:rPr>
        <w:t xml:space="preserve">     </w:t>
      </w:r>
      <w:r w:rsidR="00573111">
        <w:rPr>
          <w:lang w:eastAsia="pt-BR"/>
        </w:rPr>
        <w:t xml:space="preserve">  </w:t>
      </w:r>
      <w:r w:rsidR="00E32574" w:rsidRPr="00192C99">
        <w:rPr>
          <w:lang w:eastAsia="pt-BR"/>
        </w:rPr>
        <w:t>Fonte: Fundação Educacional de Caratinga - FUNEC, 2013.</w:t>
      </w:r>
    </w:p>
    <w:p w:rsidR="00573111" w:rsidRPr="00573111" w:rsidRDefault="00291A25" w:rsidP="00291A25">
      <w:pPr>
        <w:pStyle w:val="Legenda"/>
        <w:rPr>
          <w:spacing w:val="-2"/>
        </w:rPr>
      </w:pPr>
      <w:bookmarkStart w:id="422" w:name="_Toc372740200"/>
      <w:r>
        <w:t xml:space="preserve">Figura </w:t>
      </w:r>
      <w:fldSimple w:instr=" SEQ Figura \* ARABIC ">
        <w:r w:rsidR="004F77E2">
          <w:rPr>
            <w:noProof/>
          </w:rPr>
          <w:t>117</w:t>
        </w:r>
      </w:fldSimple>
      <w:r>
        <w:t xml:space="preserve"> - </w:t>
      </w:r>
      <w:r w:rsidRPr="00DD6017">
        <w:rPr>
          <w:noProof/>
        </w:rPr>
        <w:t>Aspecto visual do lançamento clandestino de esgoto in natura localizado na Rua Baião, próximo à residência n° 293. (Local: 24K 0284267 7843582 / Altitude: 96 m).</w:t>
      </w:r>
      <w:bookmarkEnd w:id="422"/>
    </w:p>
    <w:p w:rsidR="00E32574" w:rsidRDefault="00E32574" w:rsidP="00000622">
      <w:pPr>
        <w:spacing w:after="0" w:line="240" w:lineRule="auto"/>
        <w:jc w:val="center"/>
        <w:rPr>
          <w:lang w:eastAsia="pt-BR"/>
        </w:rPr>
      </w:pPr>
      <w:r>
        <w:rPr>
          <w:noProof/>
          <w:lang w:eastAsia="pt-BR"/>
        </w:rPr>
        <w:drawing>
          <wp:inline distT="0" distB="0" distL="0" distR="0" wp14:anchorId="705094A5" wp14:editId="5E637201">
            <wp:extent cx="3961422" cy="3007659"/>
            <wp:effectExtent l="19050" t="0" r="978" b="0"/>
            <wp:docPr id="193" name="Imagem 193" descr="Foto 13 Ponto 124 Lançamento de esgoto na rede pluvial (3 m de largura x 2,5 altura) Rua Baiao, 2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Foto 13 Ponto 124 Lançamento de esgoto na rede pluvial (3 m de largura x 2,5 altura) Rua Baiao, 293.JP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978540" cy="3020656"/>
                    </a:xfrm>
                    <a:prstGeom prst="rect">
                      <a:avLst/>
                    </a:prstGeom>
                    <a:noFill/>
                    <a:ln>
                      <a:noFill/>
                    </a:ln>
                  </pic:spPr>
                </pic:pic>
              </a:graphicData>
            </a:graphic>
          </wp:inline>
        </w:drawing>
      </w:r>
    </w:p>
    <w:p w:rsidR="00E32574" w:rsidRPr="00192C99" w:rsidRDefault="00000622" w:rsidP="00573111">
      <w:pPr>
        <w:pStyle w:val="Fonte"/>
        <w:ind w:firstLine="708"/>
        <w:rPr>
          <w:lang w:eastAsia="pt-BR"/>
        </w:rPr>
      </w:pPr>
      <w:r>
        <w:rPr>
          <w:lang w:eastAsia="pt-BR"/>
        </w:rPr>
        <w:t xml:space="preserve">    </w:t>
      </w:r>
      <w:r w:rsidR="00573111">
        <w:rPr>
          <w:lang w:eastAsia="pt-BR"/>
        </w:rPr>
        <w:t xml:space="preserve"> </w:t>
      </w:r>
      <w:r w:rsidR="00E32574" w:rsidRPr="00192C99">
        <w:rPr>
          <w:lang w:eastAsia="pt-BR"/>
        </w:rPr>
        <w:t>Fonte: Fundação Educacional de Caratinga - FUNEC, 2013.</w:t>
      </w:r>
    </w:p>
    <w:p w:rsidR="00573111" w:rsidRDefault="00291A25" w:rsidP="00291A25">
      <w:pPr>
        <w:pStyle w:val="Legenda"/>
      </w:pPr>
      <w:bookmarkStart w:id="423" w:name="_Toc372740201"/>
      <w:r>
        <w:lastRenderedPageBreak/>
        <w:t xml:space="preserve">Figura </w:t>
      </w:r>
      <w:fldSimple w:instr=" SEQ Figura \* ARABIC ">
        <w:r w:rsidR="004F77E2">
          <w:rPr>
            <w:noProof/>
          </w:rPr>
          <w:t>118</w:t>
        </w:r>
      </w:fldSimple>
      <w:r>
        <w:t xml:space="preserve"> - </w:t>
      </w:r>
      <w:r w:rsidRPr="00E94225">
        <w:rPr>
          <w:noProof/>
        </w:rPr>
        <w:t>Aspecto visual do lançamento clandestino de esgoto in natura localizado no córrego da Natividade próximo à Ponte do Asilo. (Local: 24K 0284488 7843518/ Altitude: 80 m).</w:t>
      </w:r>
      <w:bookmarkEnd w:id="423"/>
    </w:p>
    <w:p w:rsidR="00E32574" w:rsidRDefault="00E32574" w:rsidP="00000622">
      <w:pPr>
        <w:spacing w:after="0" w:line="240" w:lineRule="auto"/>
        <w:jc w:val="center"/>
        <w:rPr>
          <w:lang w:eastAsia="pt-BR"/>
        </w:rPr>
      </w:pPr>
      <w:r>
        <w:rPr>
          <w:noProof/>
          <w:lang w:eastAsia="pt-BR"/>
        </w:rPr>
        <w:drawing>
          <wp:inline distT="0" distB="0" distL="0" distR="0" wp14:anchorId="28197824" wp14:editId="7422C681">
            <wp:extent cx="4100234" cy="3073217"/>
            <wp:effectExtent l="19050" t="0" r="0" b="0"/>
            <wp:docPr id="192" name="Imagem 192" descr="Foto 15 Ponto 125 Lançamento de esgoto no Córrego Natividade - Ponte do Asi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Foto 15 Ponto 125 Lançamento de esgoto no Córrego Natividade - Ponte do Asilo.JP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110947" cy="3081246"/>
                    </a:xfrm>
                    <a:prstGeom prst="rect">
                      <a:avLst/>
                    </a:prstGeom>
                    <a:noFill/>
                    <a:ln>
                      <a:noFill/>
                    </a:ln>
                  </pic:spPr>
                </pic:pic>
              </a:graphicData>
            </a:graphic>
          </wp:inline>
        </w:drawing>
      </w:r>
    </w:p>
    <w:p w:rsidR="00E32574" w:rsidRPr="00192C99" w:rsidRDefault="00573111" w:rsidP="00573111">
      <w:pPr>
        <w:pStyle w:val="Fonte"/>
        <w:ind w:firstLine="708"/>
        <w:rPr>
          <w:lang w:eastAsia="pt-BR"/>
        </w:rPr>
      </w:pPr>
      <w:r>
        <w:rPr>
          <w:lang w:eastAsia="pt-BR"/>
        </w:rPr>
        <w:t xml:space="preserve">   </w:t>
      </w:r>
      <w:r w:rsidR="00000622">
        <w:rPr>
          <w:lang w:eastAsia="pt-BR"/>
        </w:rPr>
        <w:t xml:space="preserve">   </w:t>
      </w:r>
      <w:r w:rsidR="00E32574" w:rsidRPr="00192C99">
        <w:rPr>
          <w:lang w:eastAsia="pt-BR"/>
        </w:rPr>
        <w:t>Fonte: Fundação Educacional de Caratinga - FUNEC, 2013.</w:t>
      </w:r>
    </w:p>
    <w:p w:rsidR="00000622" w:rsidRDefault="00291A25" w:rsidP="00291A25">
      <w:pPr>
        <w:pStyle w:val="Legenda"/>
      </w:pPr>
      <w:bookmarkStart w:id="424" w:name="_Toc372740202"/>
      <w:r>
        <w:t xml:space="preserve">Figura </w:t>
      </w:r>
      <w:fldSimple w:instr=" SEQ Figura \* ARABIC ">
        <w:r w:rsidR="004F77E2">
          <w:rPr>
            <w:noProof/>
          </w:rPr>
          <w:t>119</w:t>
        </w:r>
      </w:fldSimple>
      <w:r>
        <w:t xml:space="preserve"> - </w:t>
      </w:r>
      <w:r w:rsidRPr="009743AF">
        <w:rPr>
          <w:noProof/>
        </w:rPr>
        <w:t>Aspecto visual do lançamento clandestino de esgoto in natura localizado no córrego do Salgado, próximo ao campo do Botafogo. (Local: 24K 0284485 7843527 / Altitude: 76 m).</w:t>
      </w:r>
      <w:bookmarkEnd w:id="424"/>
    </w:p>
    <w:p w:rsidR="00E32574" w:rsidRDefault="00E32574" w:rsidP="00000622">
      <w:pPr>
        <w:spacing w:after="0" w:line="240" w:lineRule="auto"/>
        <w:jc w:val="center"/>
        <w:rPr>
          <w:lang w:eastAsia="pt-BR"/>
        </w:rPr>
      </w:pPr>
      <w:r>
        <w:rPr>
          <w:noProof/>
          <w:lang w:eastAsia="pt-BR"/>
        </w:rPr>
        <w:drawing>
          <wp:inline distT="0" distB="0" distL="0" distR="0" wp14:anchorId="7526435D" wp14:editId="57F33467">
            <wp:extent cx="4137000" cy="3072384"/>
            <wp:effectExtent l="0" t="0" r="0" b="0"/>
            <wp:docPr id="191" name="Imagem 191" descr="Foto 28 Ponto 126 Lançamento de esgoto no Córrego Salgado - Próximo do Campo do Botaf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Foto 28 Ponto 126 Lançamento de esgoto no Córrego Salgado - Próximo do Campo do Botafogo.JP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143223" cy="3077006"/>
                    </a:xfrm>
                    <a:prstGeom prst="rect">
                      <a:avLst/>
                    </a:prstGeom>
                    <a:noFill/>
                    <a:ln>
                      <a:noFill/>
                    </a:ln>
                  </pic:spPr>
                </pic:pic>
              </a:graphicData>
            </a:graphic>
          </wp:inline>
        </w:drawing>
      </w:r>
    </w:p>
    <w:p w:rsidR="00E32574" w:rsidRPr="00192C99" w:rsidRDefault="00573111" w:rsidP="00573111">
      <w:pPr>
        <w:pStyle w:val="Fonte"/>
        <w:ind w:firstLine="708"/>
        <w:rPr>
          <w:lang w:eastAsia="pt-BR"/>
        </w:rPr>
      </w:pPr>
      <w:r>
        <w:rPr>
          <w:lang w:eastAsia="pt-BR"/>
        </w:rPr>
        <w:t xml:space="preserve">  </w:t>
      </w:r>
      <w:r w:rsidR="00000622">
        <w:rPr>
          <w:lang w:eastAsia="pt-BR"/>
        </w:rPr>
        <w:t xml:space="preserve">     </w:t>
      </w:r>
      <w:r>
        <w:rPr>
          <w:lang w:eastAsia="pt-BR"/>
        </w:rPr>
        <w:t xml:space="preserve"> </w:t>
      </w:r>
      <w:r w:rsidR="00E32574" w:rsidRPr="00192C99">
        <w:rPr>
          <w:lang w:eastAsia="pt-BR"/>
        </w:rPr>
        <w:t>Fonte: Fundação Educacional de Caratinga - FUNEC, 2013.</w:t>
      </w:r>
    </w:p>
    <w:p w:rsidR="00573111" w:rsidRDefault="00291A25" w:rsidP="00291A25">
      <w:pPr>
        <w:pStyle w:val="Legenda"/>
      </w:pPr>
      <w:bookmarkStart w:id="425" w:name="_Toc372740203"/>
      <w:r>
        <w:lastRenderedPageBreak/>
        <w:t xml:space="preserve">Figura </w:t>
      </w:r>
      <w:fldSimple w:instr=" SEQ Figura \* ARABIC ">
        <w:r w:rsidR="004F77E2">
          <w:rPr>
            <w:noProof/>
          </w:rPr>
          <w:t>120</w:t>
        </w:r>
      </w:fldSimple>
      <w:r>
        <w:t xml:space="preserve"> - </w:t>
      </w:r>
      <w:r w:rsidRPr="00D57E2E">
        <w:rPr>
          <w:noProof/>
        </w:rPr>
        <w:t>Aspecto visual do lançamento clandestino de esgoto in natura localizado no córrego da Natividade, abaixo da Ponte da Polícia Rodoviária. (Local: 24K 0284554 7842699 / Altitude: 89 m).</w:t>
      </w:r>
      <w:bookmarkEnd w:id="425"/>
    </w:p>
    <w:p w:rsidR="00E32574" w:rsidRDefault="00E32574" w:rsidP="00000622">
      <w:pPr>
        <w:spacing w:after="0" w:line="240" w:lineRule="auto"/>
        <w:jc w:val="center"/>
        <w:rPr>
          <w:lang w:eastAsia="pt-BR"/>
        </w:rPr>
      </w:pPr>
      <w:r>
        <w:rPr>
          <w:noProof/>
          <w:lang w:eastAsia="pt-BR"/>
        </w:rPr>
        <w:drawing>
          <wp:inline distT="0" distB="0" distL="0" distR="0" wp14:anchorId="282E49BB" wp14:editId="12CF5D82">
            <wp:extent cx="4325620" cy="3212465"/>
            <wp:effectExtent l="0" t="0" r="0" b="0"/>
            <wp:docPr id="190" name="Imagem 190" descr="Foto 32 Ponto 127 Lançamento de esgoto no Córrego Natividade de baixo da Ponte da P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descr="Foto 32 Ponto 127 Lançamento de esgoto no Córrego Natividade de baixo da Ponte da PRF.JP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325620" cy="3212465"/>
                    </a:xfrm>
                    <a:prstGeom prst="rect">
                      <a:avLst/>
                    </a:prstGeom>
                    <a:noFill/>
                    <a:ln>
                      <a:noFill/>
                    </a:ln>
                  </pic:spPr>
                </pic:pic>
              </a:graphicData>
            </a:graphic>
          </wp:inline>
        </w:drawing>
      </w:r>
    </w:p>
    <w:p w:rsidR="00E32574" w:rsidRPr="00192C99" w:rsidRDefault="00573111" w:rsidP="00573111">
      <w:pPr>
        <w:pStyle w:val="Fonte"/>
        <w:ind w:firstLine="708"/>
        <w:rPr>
          <w:lang w:eastAsia="pt-BR"/>
        </w:rPr>
      </w:pPr>
      <w:r>
        <w:rPr>
          <w:lang w:eastAsia="pt-BR"/>
        </w:rPr>
        <w:t xml:space="preserve">   </w:t>
      </w:r>
      <w:r w:rsidR="00E32574" w:rsidRPr="00192C99">
        <w:rPr>
          <w:lang w:eastAsia="pt-BR"/>
        </w:rPr>
        <w:t>Fonte: Fundação Educacional de Caratinga - FUNEC, 2013.</w:t>
      </w:r>
    </w:p>
    <w:p w:rsidR="00E32574" w:rsidRDefault="00E32574" w:rsidP="00E32574">
      <w:pPr>
        <w:pStyle w:val="CM73"/>
        <w:spacing w:line="360" w:lineRule="auto"/>
        <w:ind w:firstLine="708"/>
        <w:jc w:val="both"/>
        <w:rPr>
          <w:rFonts w:ascii="Times New Roman" w:hAnsi="Times New Roman" w:cs="Times New Roman"/>
        </w:rPr>
      </w:pPr>
      <w:r w:rsidRPr="006847FB">
        <w:rPr>
          <w:rFonts w:ascii="Times New Roman" w:hAnsi="Times New Roman" w:cs="Times New Roman"/>
        </w:rPr>
        <w:t xml:space="preserve">Nos distritos de Aimorés a ação imediatamente </w:t>
      </w:r>
      <w:r w:rsidR="002C2D6F">
        <w:rPr>
          <w:rFonts w:ascii="Times New Roman" w:hAnsi="Times New Roman" w:cs="Times New Roman"/>
        </w:rPr>
        <w:t xml:space="preserve">e </w:t>
      </w:r>
      <w:r w:rsidRPr="006847FB">
        <w:rPr>
          <w:rFonts w:ascii="Times New Roman" w:hAnsi="Times New Roman" w:cs="Times New Roman"/>
        </w:rPr>
        <w:t>concreta do SAAE</w:t>
      </w:r>
      <w:r>
        <w:rPr>
          <w:rFonts w:ascii="Times New Roman" w:hAnsi="Times New Roman" w:cs="Times New Roman"/>
        </w:rPr>
        <w:t xml:space="preserve"> </w:t>
      </w:r>
      <w:r w:rsidR="002C2D6F">
        <w:rPr>
          <w:rFonts w:ascii="Times New Roman" w:hAnsi="Times New Roman" w:cs="Times New Roman"/>
        </w:rPr>
        <w:t xml:space="preserve">deve ser </w:t>
      </w:r>
      <w:r>
        <w:rPr>
          <w:rFonts w:ascii="Times New Roman" w:hAnsi="Times New Roman" w:cs="Times New Roman"/>
        </w:rPr>
        <w:t xml:space="preserve">proceder com a implantação do sistema </w:t>
      </w:r>
      <w:r w:rsidRPr="006847FB">
        <w:rPr>
          <w:rFonts w:ascii="Times New Roman" w:hAnsi="Times New Roman" w:cs="Times New Roman"/>
        </w:rPr>
        <w:t>de maneira coerente onde seja controlado o processo de implantação das ligações havendo maior garantia de que as redes de drenagem e esgoto funcionem separadamente.</w:t>
      </w:r>
    </w:p>
    <w:p w:rsidR="00E32574" w:rsidRDefault="00E32574" w:rsidP="00E32574">
      <w:pPr>
        <w:pStyle w:val="CM73"/>
        <w:spacing w:line="360" w:lineRule="auto"/>
        <w:ind w:firstLine="708"/>
        <w:jc w:val="both"/>
        <w:rPr>
          <w:rFonts w:ascii="Times New Roman" w:hAnsi="Times New Roman" w:cs="Times New Roman"/>
        </w:rPr>
      </w:pPr>
      <w:r w:rsidRPr="006847FB">
        <w:rPr>
          <w:rFonts w:ascii="Times New Roman" w:hAnsi="Times New Roman" w:cs="Times New Roman"/>
        </w:rPr>
        <w:t xml:space="preserve">O município tem uma topografia </w:t>
      </w:r>
      <w:r>
        <w:rPr>
          <w:rFonts w:ascii="Times New Roman" w:hAnsi="Times New Roman" w:cs="Times New Roman"/>
        </w:rPr>
        <w:t>des</w:t>
      </w:r>
      <w:r w:rsidRPr="006847FB">
        <w:rPr>
          <w:rFonts w:ascii="Times New Roman" w:hAnsi="Times New Roman" w:cs="Times New Roman"/>
        </w:rPr>
        <w:t>favorável aos escoamentos. Hoje há uma realidade que mostra os cursos d’água que cruzam a cidade completamente poluídos, com sérios riscos à saúde pública e aspectos a</w:t>
      </w:r>
      <w:r>
        <w:rPr>
          <w:rFonts w:ascii="Times New Roman" w:hAnsi="Times New Roman" w:cs="Times New Roman"/>
        </w:rPr>
        <w:t xml:space="preserve">ntiestéticos, o que é agravante. Há casos no município, onde os usuários fazem ligações de esgoto doméstico na rede de drenagem pluvial, sendo que existe uma rede antiga que pode ser considerada mista </w:t>
      </w:r>
      <w:r w:rsidRPr="00B21B8E">
        <w:rPr>
          <w:rFonts w:ascii="Times New Roman" w:hAnsi="Times New Roman" w:cs="Times New Roman"/>
        </w:rPr>
        <w:t xml:space="preserve">É importante constar que há situações de ausência de rede coletora ou qualquer outra rede onde o efluente é lançado </w:t>
      </w:r>
      <w:r w:rsidR="002C2D6F">
        <w:rPr>
          <w:rFonts w:ascii="Times New Roman" w:hAnsi="Times New Roman" w:cs="Times New Roman"/>
        </w:rPr>
        <w:t>“</w:t>
      </w:r>
      <w:r w:rsidRPr="00CB7686">
        <w:rPr>
          <w:rFonts w:ascii="Times New Roman" w:hAnsi="Times New Roman" w:cs="Times New Roman"/>
          <w:i/>
        </w:rPr>
        <w:t>in natura</w:t>
      </w:r>
      <w:r w:rsidR="002C2D6F">
        <w:rPr>
          <w:rFonts w:ascii="Times New Roman" w:hAnsi="Times New Roman" w:cs="Times New Roman"/>
          <w:i/>
        </w:rPr>
        <w:t>”</w:t>
      </w:r>
      <w:r>
        <w:rPr>
          <w:rFonts w:ascii="Times New Roman" w:hAnsi="Times New Roman" w:cs="Times New Roman"/>
        </w:rPr>
        <w:t xml:space="preserve"> </w:t>
      </w:r>
      <w:r w:rsidRPr="00B21B8E">
        <w:rPr>
          <w:rFonts w:ascii="Times New Roman" w:hAnsi="Times New Roman" w:cs="Times New Roman"/>
        </w:rPr>
        <w:t>nos vales e encostas da cidade. O mapa, fornecido pela SAAE apresenta parte da rede cadastrada</w:t>
      </w:r>
      <w:r w:rsidR="002C2D6F">
        <w:rPr>
          <w:rFonts w:ascii="Times New Roman" w:hAnsi="Times New Roman" w:cs="Times New Roman"/>
        </w:rPr>
        <w:t xml:space="preserve"> (Anexo 1)</w:t>
      </w:r>
      <w:r w:rsidRPr="00B21B8E">
        <w:rPr>
          <w:rFonts w:ascii="Times New Roman" w:hAnsi="Times New Roman" w:cs="Times New Roman"/>
        </w:rPr>
        <w:t>.</w:t>
      </w:r>
      <w:r w:rsidRPr="006847FB">
        <w:rPr>
          <w:rFonts w:ascii="Times New Roman" w:hAnsi="Times New Roman" w:cs="Times New Roman"/>
        </w:rPr>
        <w:t xml:space="preserve"> </w:t>
      </w:r>
    </w:p>
    <w:p w:rsidR="002C2D6F" w:rsidRDefault="002C2D6F">
      <w:pPr>
        <w:spacing w:after="200" w:line="276" w:lineRule="auto"/>
        <w:rPr>
          <w:rFonts w:eastAsiaTheme="minorEastAsia" w:cs="Times New Roman"/>
          <w:b/>
          <w:iCs/>
          <w:szCs w:val="24"/>
          <w:lang w:eastAsia="pt-BR"/>
        </w:rPr>
      </w:pPr>
      <w:r>
        <w:rPr>
          <w:i/>
        </w:rPr>
        <w:br w:type="page"/>
      </w:r>
    </w:p>
    <w:p w:rsidR="00E32574" w:rsidRPr="002C2D6F" w:rsidRDefault="002C2D6F" w:rsidP="00971B37">
      <w:pPr>
        <w:pStyle w:val="Titulo"/>
      </w:pPr>
      <w:bookmarkStart w:id="426" w:name="_Toc372559130"/>
      <w:bookmarkStart w:id="427" w:name="_Toc372789561"/>
      <w:r w:rsidRPr="002C2D6F">
        <w:lastRenderedPageBreak/>
        <w:t xml:space="preserve">12.7 </w:t>
      </w:r>
      <w:r w:rsidR="00E32574" w:rsidRPr="002C2D6F">
        <w:t>Corpo d’água receptor</w:t>
      </w:r>
      <w:bookmarkEnd w:id="426"/>
      <w:bookmarkEnd w:id="427"/>
    </w:p>
    <w:p w:rsidR="00E32574" w:rsidRPr="003D73D9" w:rsidRDefault="00E32574" w:rsidP="002C2D6F">
      <w:pPr>
        <w:autoSpaceDE w:val="0"/>
        <w:autoSpaceDN w:val="0"/>
        <w:adjustRightInd w:val="0"/>
        <w:spacing w:after="0" w:line="360" w:lineRule="auto"/>
        <w:ind w:firstLine="709"/>
        <w:jc w:val="both"/>
        <w:rPr>
          <w:szCs w:val="24"/>
        </w:rPr>
      </w:pPr>
      <w:r w:rsidRPr="003D73D9">
        <w:rPr>
          <w:szCs w:val="24"/>
        </w:rPr>
        <w:t xml:space="preserve">O corpo receptor dos efluentes da ETE </w:t>
      </w:r>
      <w:r>
        <w:rPr>
          <w:szCs w:val="24"/>
        </w:rPr>
        <w:t>Aimorés</w:t>
      </w:r>
      <w:r w:rsidRPr="003D73D9">
        <w:rPr>
          <w:szCs w:val="24"/>
        </w:rPr>
        <w:t xml:space="preserve"> é o Rio </w:t>
      </w:r>
      <w:r>
        <w:rPr>
          <w:szCs w:val="24"/>
        </w:rPr>
        <w:t>Doce na sua parte média. O</w:t>
      </w:r>
      <w:r w:rsidRPr="003D73D9">
        <w:rPr>
          <w:szCs w:val="24"/>
        </w:rPr>
        <w:t xml:space="preserve"> lançamento é realizado em um ponto a cerca de </w:t>
      </w:r>
      <w:r>
        <w:rPr>
          <w:szCs w:val="24"/>
        </w:rPr>
        <w:t>131,60</w:t>
      </w:r>
      <w:r w:rsidRPr="003D73D9">
        <w:rPr>
          <w:szCs w:val="24"/>
        </w:rPr>
        <w:t xml:space="preserve"> km de sua foz </w:t>
      </w:r>
      <w:r w:rsidR="002C2D6F">
        <w:rPr>
          <w:szCs w:val="24"/>
        </w:rPr>
        <w:t>n</w:t>
      </w:r>
      <w:r w:rsidRPr="003D73D9">
        <w:rPr>
          <w:szCs w:val="24"/>
        </w:rPr>
        <w:t xml:space="preserve">o Oceano Atlântico. </w:t>
      </w:r>
      <w:r>
        <w:rPr>
          <w:szCs w:val="24"/>
        </w:rPr>
        <w:t>Segundo PIRH (2010)</w:t>
      </w:r>
      <w:r w:rsidRPr="003D73D9">
        <w:rPr>
          <w:szCs w:val="24"/>
        </w:rPr>
        <w:t xml:space="preserve">, no ponto de lançamento, a área de drenagem é de </w:t>
      </w:r>
      <w:r w:rsidRPr="004E339D">
        <w:rPr>
          <w:szCs w:val="24"/>
        </w:rPr>
        <w:t xml:space="preserve">2.748 km² e a vazão média de longo termo é estimada em </w:t>
      </w:r>
      <w:r w:rsidR="002C2D6F">
        <w:rPr>
          <w:szCs w:val="24"/>
        </w:rPr>
        <w:t>728,7 m³.</w:t>
      </w:r>
      <w:r>
        <w:rPr>
          <w:szCs w:val="24"/>
        </w:rPr>
        <w:t>s</w:t>
      </w:r>
      <w:r w:rsidR="002C2D6F" w:rsidRPr="00ED46A4">
        <w:rPr>
          <w:szCs w:val="24"/>
          <w:vertAlign w:val="superscript"/>
        </w:rPr>
        <w:t>-1</w:t>
      </w:r>
      <w:r w:rsidRPr="004E339D">
        <w:rPr>
          <w:szCs w:val="24"/>
        </w:rPr>
        <w:t xml:space="preserve">, com a vazão </w:t>
      </w:r>
      <w:r>
        <w:rPr>
          <w:szCs w:val="24"/>
        </w:rPr>
        <w:t xml:space="preserve">mínima de 192,0 </w:t>
      </w:r>
      <w:r w:rsidR="00ED46A4">
        <w:rPr>
          <w:szCs w:val="24"/>
        </w:rPr>
        <w:t>m³.s</w:t>
      </w:r>
      <w:r w:rsidR="00ED46A4" w:rsidRPr="00ED46A4">
        <w:rPr>
          <w:szCs w:val="24"/>
          <w:vertAlign w:val="superscript"/>
        </w:rPr>
        <w:t>-1</w:t>
      </w:r>
      <w:r w:rsidR="00ED46A4" w:rsidRPr="00ED46A4">
        <w:rPr>
          <w:szCs w:val="24"/>
        </w:rPr>
        <w:t xml:space="preserve"> </w:t>
      </w:r>
      <w:r w:rsidRPr="004E339D">
        <w:rPr>
          <w:szCs w:val="24"/>
        </w:rPr>
        <w:t>(Q</w:t>
      </w:r>
      <w:r w:rsidRPr="004E339D">
        <w:rPr>
          <w:szCs w:val="24"/>
          <w:vertAlign w:val="subscript"/>
        </w:rPr>
        <w:t>7</w:t>
      </w:r>
      <w:r w:rsidRPr="004E339D">
        <w:rPr>
          <w:szCs w:val="24"/>
        </w:rPr>
        <w:t>,</w:t>
      </w:r>
      <w:r w:rsidRPr="004E339D">
        <w:rPr>
          <w:szCs w:val="24"/>
          <w:vertAlign w:val="subscript"/>
        </w:rPr>
        <w:t>10</w:t>
      </w:r>
      <w:r w:rsidRPr="004E339D">
        <w:rPr>
          <w:szCs w:val="24"/>
        </w:rPr>
        <w:t>).</w:t>
      </w:r>
    </w:p>
    <w:p w:rsidR="00E32574" w:rsidRPr="003D73D9" w:rsidRDefault="00E32574" w:rsidP="002C2D6F">
      <w:pPr>
        <w:autoSpaceDE w:val="0"/>
        <w:autoSpaceDN w:val="0"/>
        <w:adjustRightInd w:val="0"/>
        <w:spacing w:after="0" w:line="360" w:lineRule="auto"/>
        <w:ind w:firstLine="709"/>
        <w:jc w:val="both"/>
        <w:rPr>
          <w:szCs w:val="24"/>
        </w:rPr>
      </w:pPr>
      <w:r w:rsidRPr="003D73D9">
        <w:rPr>
          <w:szCs w:val="24"/>
        </w:rPr>
        <w:t xml:space="preserve">O Rio </w:t>
      </w:r>
      <w:r>
        <w:rPr>
          <w:szCs w:val="24"/>
        </w:rPr>
        <w:t>Doce</w:t>
      </w:r>
      <w:r w:rsidRPr="003D73D9">
        <w:rPr>
          <w:szCs w:val="24"/>
        </w:rPr>
        <w:t xml:space="preserve"> está enquadrado na Classe 2, com os parâmetros de qualidade de água definidos na Resolução N° 357 de Maio de 2005, do CONAMA. Merecem maior destaque as limitações de ser necessário um OD ≥ 5,0 mgO</w:t>
      </w:r>
      <w:r>
        <w:rPr>
          <w:szCs w:val="24"/>
          <w:vertAlign w:val="subscript"/>
        </w:rPr>
        <w:t>2</w:t>
      </w:r>
      <w:r w:rsidR="00ED46A4">
        <w:rPr>
          <w:szCs w:val="24"/>
        </w:rPr>
        <w:t>.</w:t>
      </w:r>
      <w:r w:rsidRPr="003D73D9">
        <w:rPr>
          <w:szCs w:val="24"/>
        </w:rPr>
        <w:t>L</w:t>
      </w:r>
      <w:r w:rsidR="00ED46A4" w:rsidRPr="00ED46A4">
        <w:rPr>
          <w:szCs w:val="24"/>
          <w:vertAlign w:val="superscript"/>
        </w:rPr>
        <w:t>-1</w:t>
      </w:r>
      <w:r w:rsidRPr="003D73D9">
        <w:rPr>
          <w:szCs w:val="24"/>
        </w:rPr>
        <w:t xml:space="preserve"> no corpo </w:t>
      </w:r>
      <w:r>
        <w:rPr>
          <w:szCs w:val="24"/>
        </w:rPr>
        <w:t>receptor e N-amoniacal ≤ 3,7</w:t>
      </w:r>
      <w:r w:rsidRPr="003D73D9">
        <w:rPr>
          <w:szCs w:val="24"/>
        </w:rPr>
        <w:t xml:space="preserve"> mgN</w:t>
      </w:r>
      <w:r w:rsidR="00ED46A4">
        <w:rPr>
          <w:szCs w:val="24"/>
        </w:rPr>
        <w:t>.</w:t>
      </w:r>
      <w:r>
        <w:rPr>
          <w:szCs w:val="24"/>
        </w:rPr>
        <w:t>L</w:t>
      </w:r>
      <w:r w:rsidR="00ED46A4" w:rsidRPr="00ED46A4">
        <w:rPr>
          <w:szCs w:val="24"/>
          <w:vertAlign w:val="superscript"/>
        </w:rPr>
        <w:t>-1</w:t>
      </w:r>
      <w:r>
        <w:rPr>
          <w:szCs w:val="24"/>
        </w:rPr>
        <w:t>, para pH &lt; 7,5</w:t>
      </w:r>
      <w:r w:rsidR="00ED46A4">
        <w:rPr>
          <w:szCs w:val="24"/>
        </w:rPr>
        <w:t xml:space="preserve"> </w:t>
      </w:r>
      <w:r>
        <w:rPr>
          <w:szCs w:val="24"/>
        </w:rPr>
        <w:t>para o efluente da ETE (PIRH, 2010)</w:t>
      </w:r>
    </w:p>
    <w:p w:rsidR="00E32574" w:rsidRPr="003D73D9" w:rsidRDefault="00E32574" w:rsidP="002C2D6F">
      <w:pPr>
        <w:autoSpaceDE w:val="0"/>
        <w:autoSpaceDN w:val="0"/>
        <w:adjustRightInd w:val="0"/>
        <w:spacing w:after="0" w:line="360" w:lineRule="auto"/>
        <w:ind w:firstLine="709"/>
        <w:jc w:val="both"/>
        <w:rPr>
          <w:szCs w:val="24"/>
        </w:rPr>
      </w:pPr>
      <w:r w:rsidRPr="003D73D9">
        <w:rPr>
          <w:szCs w:val="24"/>
        </w:rPr>
        <w:t>Após receber o efluente da ETE</w:t>
      </w:r>
      <w:r>
        <w:rPr>
          <w:szCs w:val="24"/>
        </w:rPr>
        <w:t xml:space="preserve"> e entrar no estado do Espirito Santo</w:t>
      </w:r>
      <w:r w:rsidRPr="003D73D9">
        <w:rPr>
          <w:szCs w:val="24"/>
        </w:rPr>
        <w:t xml:space="preserve"> e até chegar ao mar, o</w:t>
      </w:r>
      <w:r>
        <w:rPr>
          <w:szCs w:val="24"/>
        </w:rPr>
        <w:t>s recursos hídricos do</w:t>
      </w:r>
      <w:r w:rsidRPr="003D73D9">
        <w:rPr>
          <w:szCs w:val="24"/>
        </w:rPr>
        <w:t xml:space="preserve"> Rio </w:t>
      </w:r>
      <w:r>
        <w:rPr>
          <w:szCs w:val="24"/>
        </w:rPr>
        <w:t xml:space="preserve">Doce são utilizados para o abastecimento de água no distrito de Santo Antônio do Rio Doce e do município de Baixo Guandu num ponto a jusante do encontro do curso desviado para a </w:t>
      </w:r>
      <w:r w:rsidR="00ED46A4">
        <w:rPr>
          <w:szCs w:val="24"/>
        </w:rPr>
        <w:t xml:space="preserve">operação da </w:t>
      </w:r>
      <w:r>
        <w:rPr>
          <w:szCs w:val="24"/>
        </w:rPr>
        <w:t>Hidrelétrica de Aimorés e o curso natural, aumentando assim sua vazão.</w:t>
      </w:r>
    </w:p>
    <w:p w:rsidR="00E32574" w:rsidRPr="00ED46A4" w:rsidRDefault="00ED46A4" w:rsidP="00971B37">
      <w:pPr>
        <w:pStyle w:val="Titulo"/>
      </w:pPr>
      <w:bookmarkStart w:id="428" w:name="_Toc372559131"/>
      <w:bookmarkStart w:id="429" w:name="_Toc372789562"/>
      <w:r w:rsidRPr="00ED46A4">
        <w:t xml:space="preserve">12.8 </w:t>
      </w:r>
      <w:r w:rsidR="00E32574" w:rsidRPr="00ED46A4">
        <w:t>Estações de Tratamento de Esgoto (ETE) em Aimorés</w:t>
      </w:r>
      <w:bookmarkEnd w:id="428"/>
      <w:bookmarkEnd w:id="429"/>
    </w:p>
    <w:p w:rsidR="00E32574" w:rsidRDefault="00E32574" w:rsidP="00E32574">
      <w:pPr>
        <w:pStyle w:val="CM73"/>
        <w:spacing w:line="360" w:lineRule="auto"/>
        <w:ind w:firstLine="708"/>
        <w:jc w:val="both"/>
        <w:rPr>
          <w:sz w:val="22"/>
          <w:szCs w:val="22"/>
        </w:rPr>
      </w:pPr>
      <w:r w:rsidRPr="00653FED">
        <w:rPr>
          <w:rFonts w:ascii="Times New Roman" w:hAnsi="Times New Roman" w:cs="Times New Roman"/>
        </w:rPr>
        <w:t xml:space="preserve">Como muitos outros municípios brasileiros, Aimorés, iniciou o processo para a universalização do saneamento recentemente, e um dos marcos para que isso ocorresse foi a </w:t>
      </w:r>
      <w:r w:rsidR="00ED46A4">
        <w:rPr>
          <w:rFonts w:ascii="Times New Roman" w:hAnsi="Times New Roman" w:cs="Times New Roman"/>
        </w:rPr>
        <w:t xml:space="preserve">estruturação </w:t>
      </w:r>
      <w:r w:rsidRPr="00653FED">
        <w:rPr>
          <w:rFonts w:ascii="Times New Roman" w:hAnsi="Times New Roman" w:cs="Times New Roman"/>
        </w:rPr>
        <w:t>da autarquia municipal</w:t>
      </w:r>
      <w:r w:rsidR="00ED46A4">
        <w:rPr>
          <w:rFonts w:ascii="Times New Roman" w:hAnsi="Times New Roman" w:cs="Times New Roman"/>
        </w:rPr>
        <w:t xml:space="preserve"> (</w:t>
      </w:r>
      <w:r w:rsidRPr="00653FED">
        <w:rPr>
          <w:rFonts w:ascii="Times New Roman" w:hAnsi="Times New Roman" w:cs="Times New Roman"/>
        </w:rPr>
        <w:t>SAAE</w:t>
      </w:r>
      <w:r w:rsidR="00ED46A4">
        <w:rPr>
          <w:rFonts w:ascii="Times New Roman" w:hAnsi="Times New Roman" w:cs="Times New Roman"/>
        </w:rPr>
        <w:t>)</w:t>
      </w:r>
      <w:r w:rsidRPr="00653FED">
        <w:rPr>
          <w:rFonts w:ascii="Times New Roman" w:hAnsi="Times New Roman" w:cs="Times New Roman"/>
        </w:rPr>
        <w:t>, no ano de 2000. Esta história recente da autarquia revela que já foram colhidos muitos frutos, mas Aimorés ainda está muito distante da universalização dos serviços de saneamento, principalmente de água e esgotamento sanitário.</w:t>
      </w:r>
      <w:r>
        <w:rPr>
          <w:sz w:val="22"/>
          <w:szCs w:val="22"/>
        </w:rPr>
        <w:t xml:space="preserve"> </w:t>
      </w:r>
    </w:p>
    <w:p w:rsidR="00E32574" w:rsidRDefault="00E32574" w:rsidP="00E32574">
      <w:pPr>
        <w:spacing w:line="360" w:lineRule="auto"/>
        <w:ind w:firstLine="708"/>
        <w:jc w:val="both"/>
        <w:rPr>
          <w:lang w:eastAsia="pt-BR"/>
        </w:rPr>
      </w:pPr>
      <w:r w:rsidRPr="00164653">
        <w:rPr>
          <w:szCs w:val="24"/>
          <w:lang w:eastAsia="pt-BR"/>
        </w:rPr>
        <w:t>Em Aimorés, somente a ETE da sede está em funcionamento</w:t>
      </w:r>
      <w:r w:rsidR="00ED46A4">
        <w:rPr>
          <w:szCs w:val="24"/>
          <w:lang w:eastAsia="pt-BR"/>
        </w:rPr>
        <w:t xml:space="preserve">, </w:t>
      </w:r>
      <w:r w:rsidRPr="00164653">
        <w:rPr>
          <w:szCs w:val="24"/>
          <w:lang w:eastAsia="pt-BR"/>
        </w:rPr>
        <w:t>conforme a Figura</w:t>
      </w:r>
      <w:r w:rsidR="00ED46A4">
        <w:rPr>
          <w:szCs w:val="24"/>
          <w:lang w:eastAsia="pt-BR"/>
        </w:rPr>
        <w:t>s</w:t>
      </w:r>
      <w:r w:rsidRPr="00164653">
        <w:rPr>
          <w:szCs w:val="24"/>
          <w:lang w:eastAsia="pt-BR"/>
        </w:rPr>
        <w:t xml:space="preserve"> </w:t>
      </w:r>
      <w:r w:rsidR="00ED46A4">
        <w:rPr>
          <w:szCs w:val="24"/>
          <w:lang w:eastAsia="pt-BR"/>
        </w:rPr>
        <w:t>121 e 122</w:t>
      </w:r>
      <w:r w:rsidRPr="00164653">
        <w:rPr>
          <w:szCs w:val="24"/>
          <w:lang w:eastAsia="pt-BR"/>
        </w:rPr>
        <w:t>.</w:t>
      </w:r>
    </w:p>
    <w:p w:rsidR="00573111" w:rsidRDefault="00573111">
      <w:pPr>
        <w:spacing w:after="200" w:line="276" w:lineRule="auto"/>
        <w:rPr>
          <w:rFonts w:eastAsiaTheme="minorEastAsia" w:cs="Times New Roman"/>
          <w:bCs/>
          <w:szCs w:val="24"/>
          <w:lang w:eastAsia="pt-BR"/>
        </w:rPr>
      </w:pPr>
      <w:r>
        <w:br w:type="page"/>
      </w:r>
    </w:p>
    <w:p w:rsidR="00573111" w:rsidRDefault="00291A25" w:rsidP="00291A25">
      <w:pPr>
        <w:pStyle w:val="Legenda"/>
        <w:rPr>
          <w:b w:val="0"/>
          <w:bCs w:val="0"/>
        </w:rPr>
      </w:pPr>
      <w:bookmarkStart w:id="430" w:name="_Toc372740204"/>
      <w:r>
        <w:lastRenderedPageBreak/>
        <w:t xml:space="preserve">Figura </w:t>
      </w:r>
      <w:fldSimple w:instr=" SEQ Figura \* ARABIC ">
        <w:r w:rsidR="004F77E2">
          <w:rPr>
            <w:noProof/>
          </w:rPr>
          <w:t>121</w:t>
        </w:r>
      </w:fldSimple>
      <w:r>
        <w:t xml:space="preserve"> - </w:t>
      </w:r>
      <w:r w:rsidRPr="001531AE">
        <w:t>Localização da ETE em Aimorés.</w:t>
      </w:r>
      <w:bookmarkEnd w:id="430"/>
    </w:p>
    <w:p w:rsidR="00E32574" w:rsidRDefault="00E32574" w:rsidP="00E32574">
      <w:pPr>
        <w:pStyle w:val="Default"/>
        <w:jc w:val="center"/>
        <w:rPr>
          <w:rFonts w:ascii="Times New Roman" w:hAnsi="Times New Roman" w:cs="Times New Roman"/>
          <w:b/>
          <w:bCs/>
          <w:color w:val="auto"/>
          <w:szCs w:val="20"/>
        </w:rPr>
      </w:pPr>
      <w:r>
        <w:rPr>
          <w:rFonts w:ascii="Times New Roman" w:hAnsi="Times New Roman" w:cs="Times New Roman"/>
          <w:b/>
          <w:noProof/>
          <w:color w:val="auto"/>
          <w:szCs w:val="20"/>
        </w:rPr>
        <w:drawing>
          <wp:inline distT="0" distB="0" distL="0" distR="0" wp14:anchorId="3842FE26" wp14:editId="7D1CBAF0">
            <wp:extent cx="5010923" cy="2960918"/>
            <wp:effectExtent l="19050" t="0" r="0" b="0"/>
            <wp:docPr id="189" name="Imagem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025065" cy="2969274"/>
                    </a:xfrm>
                    <a:prstGeom prst="rect">
                      <a:avLst/>
                    </a:prstGeom>
                    <a:noFill/>
                    <a:ln>
                      <a:noFill/>
                    </a:ln>
                  </pic:spPr>
                </pic:pic>
              </a:graphicData>
            </a:graphic>
          </wp:inline>
        </w:drawing>
      </w:r>
    </w:p>
    <w:p w:rsidR="00E32574" w:rsidRPr="00247A4D" w:rsidRDefault="00573111" w:rsidP="00B244CE">
      <w:pPr>
        <w:pStyle w:val="Fonte"/>
        <w:ind w:firstLine="284"/>
      </w:pPr>
      <w:r>
        <w:t xml:space="preserve">  </w:t>
      </w:r>
      <w:r w:rsidR="00E32574" w:rsidRPr="00247A4D">
        <w:t>Fonte: Google Earth, 2013.</w:t>
      </w:r>
    </w:p>
    <w:p w:rsidR="00573111" w:rsidRDefault="00291A25" w:rsidP="00291A25">
      <w:pPr>
        <w:pStyle w:val="Legenda"/>
      </w:pPr>
      <w:bookmarkStart w:id="431" w:name="_Toc372740205"/>
      <w:r>
        <w:t xml:space="preserve">Figura </w:t>
      </w:r>
      <w:fldSimple w:instr=" SEQ Figura \* ARABIC ">
        <w:r w:rsidR="004F77E2">
          <w:rPr>
            <w:noProof/>
          </w:rPr>
          <w:t>122</w:t>
        </w:r>
      </w:fldSimple>
      <w:r>
        <w:t xml:space="preserve"> - </w:t>
      </w:r>
      <w:r w:rsidRPr="00AA26DD">
        <w:rPr>
          <w:noProof/>
        </w:rPr>
        <w:t>Estação de Tratamento de Esgoto na sede de Aimorés (Local: 24K 0284300 7843684 / Altitude: 82 m).</w:t>
      </w:r>
      <w:bookmarkEnd w:id="431"/>
    </w:p>
    <w:p w:rsidR="00E32574" w:rsidRDefault="00E32574" w:rsidP="00E32574">
      <w:pPr>
        <w:pStyle w:val="Default"/>
        <w:jc w:val="center"/>
        <w:rPr>
          <w:rFonts w:ascii="Times New Roman" w:hAnsi="Times New Roman" w:cs="Times New Roman"/>
        </w:rPr>
      </w:pPr>
      <w:r>
        <w:rPr>
          <w:rFonts w:ascii="Times New Roman" w:hAnsi="Times New Roman" w:cs="Times New Roman"/>
          <w:noProof/>
        </w:rPr>
        <w:drawing>
          <wp:inline distT="0" distB="0" distL="0" distR="0" wp14:anchorId="523C7FCC" wp14:editId="75FFA3A0">
            <wp:extent cx="4933950" cy="3698104"/>
            <wp:effectExtent l="19050" t="0" r="0" b="0"/>
            <wp:docPr id="188" name="Imagem 188" descr="DSC00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descr="DSC00634.JP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967824" cy="3723493"/>
                    </a:xfrm>
                    <a:prstGeom prst="rect">
                      <a:avLst/>
                    </a:prstGeom>
                    <a:noFill/>
                    <a:ln>
                      <a:noFill/>
                    </a:ln>
                  </pic:spPr>
                </pic:pic>
              </a:graphicData>
            </a:graphic>
          </wp:inline>
        </w:drawing>
      </w:r>
    </w:p>
    <w:p w:rsidR="00E32574" w:rsidRPr="00192C99" w:rsidRDefault="00573111" w:rsidP="00B244CE">
      <w:pPr>
        <w:pStyle w:val="Fonte"/>
        <w:ind w:firstLine="284"/>
        <w:rPr>
          <w:lang w:eastAsia="pt-BR"/>
        </w:rPr>
      </w:pPr>
      <w:r>
        <w:rPr>
          <w:lang w:eastAsia="pt-BR"/>
        </w:rPr>
        <w:t xml:space="preserve">   </w:t>
      </w:r>
      <w:r w:rsidR="00E32574" w:rsidRPr="00192C99">
        <w:rPr>
          <w:lang w:eastAsia="pt-BR"/>
        </w:rPr>
        <w:t>Fonte: Fundação Educacional de Caratinga - FUNEC, 2013.</w:t>
      </w:r>
    </w:p>
    <w:p w:rsidR="00E32574" w:rsidRPr="00FA43F2" w:rsidRDefault="00ED46A4" w:rsidP="00971B37">
      <w:pPr>
        <w:pStyle w:val="Titulo"/>
      </w:pPr>
      <w:bookmarkStart w:id="432" w:name="_Toc372559132"/>
      <w:bookmarkStart w:id="433" w:name="_Toc372789563"/>
      <w:r>
        <w:lastRenderedPageBreak/>
        <w:t xml:space="preserve">12.9 </w:t>
      </w:r>
      <w:r w:rsidR="00E32574" w:rsidRPr="00164653">
        <w:t>Descrição do Sistema de Tratamento de Esgoto de Aimorés</w:t>
      </w:r>
      <w:bookmarkEnd w:id="432"/>
      <w:bookmarkEnd w:id="433"/>
    </w:p>
    <w:p w:rsidR="00E32574" w:rsidRPr="000C5DD6" w:rsidRDefault="00ED46A4" w:rsidP="00971B37">
      <w:pPr>
        <w:pStyle w:val="Titulo"/>
      </w:pPr>
      <w:bookmarkStart w:id="434" w:name="_Toc372559133"/>
      <w:bookmarkStart w:id="435" w:name="_Toc372789564"/>
      <w:r w:rsidRPr="000C5DD6">
        <w:t xml:space="preserve">12.9.1 </w:t>
      </w:r>
      <w:r w:rsidR="00E32574" w:rsidRPr="000C5DD6">
        <w:t>Rede Coletora</w:t>
      </w:r>
      <w:bookmarkEnd w:id="434"/>
      <w:bookmarkEnd w:id="435"/>
    </w:p>
    <w:p w:rsidR="00E32574" w:rsidRDefault="00E32574" w:rsidP="00000622">
      <w:pPr>
        <w:pStyle w:val="CM73"/>
        <w:spacing w:line="348" w:lineRule="auto"/>
        <w:ind w:firstLine="708"/>
        <w:jc w:val="both"/>
        <w:rPr>
          <w:rFonts w:ascii="Times New Roman" w:hAnsi="Times New Roman" w:cs="Times New Roman"/>
        </w:rPr>
      </w:pPr>
      <w:r w:rsidRPr="00821A59">
        <w:rPr>
          <w:rFonts w:ascii="Times New Roman" w:hAnsi="Times New Roman" w:cs="Times New Roman"/>
        </w:rPr>
        <w:t>A</w:t>
      </w:r>
      <w:r>
        <w:rPr>
          <w:rFonts w:ascii="Times New Roman" w:hAnsi="Times New Roman" w:cs="Times New Roman"/>
        </w:rPr>
        <w:t xml:space="preserve"> Rede Coletora é o conjunto constituído por ligações prediais, coletores de esgoto e seus órgãos acessórios.</w:t>
      </w:r>
    </w:p>
    <w:p w:rsidR="00E32574" w:rsidRPr="00000622" w:rsidRDefault="00E32574" w:rsidP="0053477A">
      <w:pPr>
        <w:pStyle w:val="PargrafodaLista"/>
        <w:numPr>
          <w:ilvl w:val="0"/>
          <w:numId w:val="34"/>
        </w:numPr>
        <w:spacing w:line="348" w:lineRule="auto"/>
        <w:ind w:left="567" w:hanging="283"/>
        <w:jc w:val="both"/>
        <w:rPr>
          <w:szCs w:val="24"/>
          <w:lang w:eastAsia="pt-BR"/>
        </w:rPr>
      </w:pPr>
      <w:r w:rsidRPr="00000622">
        <w:rPr>
          <w:szCs w:val="24"/>
          <w:lang w:eastAsia="pt-BR"/>
        </w:rPr>
        <w:t>Ligação predial: trecho do coletor predial compreendido entre o limite do terreno e o coletor de esgoto;</w:t>
      </w:r>
    </w:p>
    <w:p w:rsidR="00E32574" w:rsidRPr="00000622" w:rsidRDefault="00E32574" w:rsidP="0053477A">
      <w:pPr>
        <w:pStyle w:val="PargrafodaLista"/>
        <w:numPr>
          <w:ilvl w:val="0"/>
          <w:numId w:val="34"/>
        </w:numPr>
        <w:spacing w:line="348" w:lineRule="auto"/>
        <w:ind w:left="567" w:hanging="283"/>
        <w:jc w:val="both"/>
        <w:rPr>
          <w:szCs w:val="24"/>
          <w:lang w:eastAsia="pt-BR"/>
        </w:rPr>
      </w:pPr>
      <w:r w:rsidRPr="00000622">
        <w:rPr>
          <w:szCs w:val="24"/>
          <w:lang w:eastAsia="pt-BR"/>
        </w:rPr>
        <w:t>Coletor de Esgoto: tubulação da rede coletora que receber contribuição de esgoto dos coletores prediais em qualquer ponto ao longo do seu comprimento;</w:t>
      </w:r>
    </w:p>
    <w:p w:rsidR="00E32574" w:rsidRPr="00000622" w:rsidRDefault="00E32574" w:rsidP="0053477A">
      <w:pPr>
        <w:pStyle w:val="PargrafodaLista"/>
        <w:numPr>
          <w:ilvl w:val="0"/>
          <w:numId w:val="34"/>
        </w:numPr>
        <w:spacing w:line="348" w:lineRule="auto"/>
        <w:ind w:left="567" w:hanging="283"/>
        <w:jc w:val="both"/>
        <w:rPr>
          <w:spacing w:val="-6"/>
          <w:szCs w:val="24"/>
          <w:lang w:eastAsia="pt-BR"/>
        </w:rPr>
      </w:pPr>
      <w:r w:rsidRPr="00000622">
        <w:rPr>
          <w:spacing w:val="-6"/>
          <w:szCs w:val="24"/>
          <w:lang w:eastAsia="pt-BR"/>
        </w:rPr>
        <w:t>Coletor Principal: coletor de esgoto de maior extensão dentro de uma mesma bacia;</w:t>
      </w:r>
    </w:p>
    <w:p w:rsidR="00E32574" w:rsidRPr="00000622" w:rsidRDefault="00E32574" w:rsidP="0053477A">
      <w:pPr>
        <w:pStyle w:val="PargrafodaLista"/>
        <w:numPr>
          <w:ilvl w:val="0"/>
          <w:numId w:val="34"/>
        </w:numPr>
        <w:spacing w:line="348" w:lineRule="auto"/>
        <w:ind w:left="567" w:hanging="283"/>
        <w:jc w:val="both"/>
        <w:rPr>
          <w:szCs w:val="24"/>
          <w:lang w:eastAsia="pt-BR"/>
        </w:rPr>
      </w:pPr>
      <w:r w:rsidRPr="00000622">
        <w:rPr>
          <w:szCs w:val="24"/>
          <w:lang w:eastAsia="pt-BR"/>
        </w:rPr>
        <w:t>Coletor Tronco: tubulação da rede coletora que recebe apenas contribuição de esgoto de outros coletores;</w:t>
      </w:r>
    </w:p>
    <w:p w:rsidR="00E32574" w:rsidRPr="00000622" w:rsidRDefault="00E32574" w:rsidP="0053477A">
      <w:pPr>
        <w:pStyle w:val="PargrafodaLista"/>
        <w:numPr>
          <w:ilvl w:val="0"/>
          <w:numId w:val="34"/>
        </w:numPr>
        <w:spacing w:line="348" w:lineRule="auto"/>
        <w:ind w:left="567" w:hanging="283"/>
        <w:jc w:val="both"/>
        <w:rPr>
          <w:szCs w:val="24"/>
          <w:lang w:eastAsia="pt-BR"/>
        </w:rPr>
      </w:pPr>
      <w:r w:rsidRPr="00000622">
        <w:rPr>
          <w:szCs w:val="24"/>
          <w:lang w:eastAsia="pt-BR"/>
        </w:rPr>
        <w:t>Coletor Predial: trecho de tubulação da instalação predial de esgoto compreendido entre a última inserção das tubulações que recebem efluentes de aparelhos sanitários e o coletor de esgoto;</w:t>
      </w:r>
    </w:p>
    <w:p w:rsidR="00E32574" w:rsidRPr="00000622" w:rsidRDefault="00E32574" w:rsidP="0053477A">
      <w:pPr>
        <w:pStyle w:val="PargrafodaLista"/>
        <w:numPr>
          <w:ilvl w:val="0"/>
          <w:numId w:val="34"/>
        </w:numPr>
        <w:spacing w:line="348" w:lineRule="auto"/>
        <w:ind w:left="567" w:hanging="283"/>
        <w:jc w:val="both"/>
        <w:rPr>
          <w:szCs w:val="24"/>
          <w:lang w:eastAsia="pt-BR"/>
        </w:rPr>
      </w:pPr>
      <w:r w:rsidRPr="00000622">
        <w:rPr>
          <w:szCs w:val="24"/>
          <w:lang w:eastAsia="pt-BR"/>
        </w:rPr>
        <w:t>Órgãos acessórios: dispositivos fixos desprovidos de equipamentos mecânicos. Podem ser: poços de visitas (PV), tubos de inspeção e limpeza (TIL), terminas de limpeza (TL) e caixa de passagem (CP).</w:t>
      </w:r>
    </w:p>
    <w:p w:rsidR="00E32574" w:rsidRPr="00DC2368" w:rsidRDefault="00E32574" w:rsidP="00ED46A4">
      <w:pPr>
        <w:spacing w:after="0" w:line="360" w:lineRule="auto"/>
        <w:ind w:firstLine="709"/>
        <w:jc w:val="both"/>
        <w:rPr>
          <w:szCs w:val="24"/>
          <w:lang w:eastAsia="pt-BR"/>
        </w:rPr>
      </w:pPr>
      <w:r w:rsidRPr="00DC2368">
        <w:rPr>
          <w:szCs w:val="24"/>
          <w:lang w:eastAsia="pt-BR"/>
        </w:rPr>
        <w:t>Em algumas localidade</w:t>
      </w:r>
      <w:r>
        <w:rPr>
          <w:szCs w:val="24"/>
          <w:lang w:eastAsia="pt-BR"/>
        </w:rPr>
        <w:t>s</w:t>
      </w:r>
      <w:r w:rsidRPr="00DC2368">
        <w:rPr>
          <w:szCs w:val="24"/>
          <w:lang w:eastAsia="pt-BR"/>
        </w:rPr>
        <w:t xml:space="preserve"> do município, foram diagnosticados rede coletoras antigas, principalmente constituídas de materiais como amianto e cerâmica. Atualmente, o SAAE utiliza as tubulações descritas na Tabela </w:t>
      </w:r>
      <w:r w:rsidR="00ED46A4">
        <w:rPr>
          <w:szCs w:val="24"/>
          <w:lang w:eastAsia="pt-BR"/>
        </w:rPr>
        <w:t>10</w:t>
      </w:r>
      <w:r w:rsidRPr="00DC2368">
        <w:rPr>
          <w:szCs w:val="24"/>
          <w:lang w:eastAsia="pt-BR"/>
        </w:rPr>
        <w:t>.</w:t>
      </w:r>
    </w:p>
    <w:p w:rsidR="00832ECA" w:rsidRPr="006847FB" w:rsidRDefault="00A80257" w:rsidP="00A80257">
      <w:pPr>
        <w:pStyle w:val="Legenda"/>
      </w:pPr>
      <w:bookmarkStart w:id="436" w:name="_Toc372740358"/>
      <w:r>
        <w:t xml:space="preserve">Tabela </w:t>
      </w:r>
      <w:fldSimple w:instr=" SEQ Tabela \* ARABIC ">
        <w:r w:rsidR="004F77E2">
          <w:rPr>
            <w:noProof/>
          </w:rPr>
          <w:t>10</w:t>
        </w:r>
      </w:fldSimple>
      <w:r>
        <w:t xml:space="preserve"> - </w:t>
      </w:r>
      <w:r w:rsidRPr="00F50B04">
        <w:rPr>
          <w:noProof/>
        </w:rPr>
        <w:t>Tubulação utilizada pelo SAAE.</w:t>
      </w:r>
      <w:bookmarkEnd w:id="436"/>
    </w:p>
    <w:tbl>
      <w:tblPr>
        <w:tblW w:w="7796" w:type="dxa"/>
        <w:tblInd w:w="817" w:type="dxa"/>
        <w:tblLayout w:type="fixed"/>
        <w:tblLook w:val="0000" w:firstRow="0" w:lastRow="0" w:firstColumn="0" w:lastColumn="0" w:noHBand="0" w:noVBand="0"/>
      </w:tblPr>
      <w:tblGrid>
        <w:gridCol w:w="3388"/>
        <w:gridCol w:w="4408"/>
      </w:tblGrid>
      <w:tr w:rsidR="00E32574" w:rsidRPr="005243F8" w:rsidTr="00E32574">
        <w:trPr>
          <w:trHeight w:val="495"/>
        </w:trPr>
        <w:tc>
          <w:tcPr>
            <w:tcW w:w="3388" w:type="dxa"/>
            <w:tcBorders>
              <w:top w:val="single" w:sz="10" w:space="0" w:color="000000"/>
              <w:left w:val="single" w:sz="2" w:space="0" w:color="000000"/>
              <w:bottom w:val="single" w:sz="10" w:space="0" w:color="000000"/>
              <w:right w:val="single" w:sz="8" w:space="0" w:color="000000"/>
            </w:tcBorders>
            <w:shd w:val="clear" w:color="auto" w:fill="C0C0C0"/>
            <w:vAlign w:val="center"/>
          </w:tcPr>
          <w:p w:rsidR="00E32574" w:rsidRPr="005243F8" w:rsidRDefault="00E32574" w:rsidP="00ED46A4">
            <w:pPr>
              <w:pStyle w:val="Default"/>
              <w:spacing w:before="120" w:after="120"/>
              <w:jc w:val="center"/>
              <w:rPr>
                <w:rFonts w:ascii="Times New Roman" w:hAnsi="Times New Roman" w:cs="Times New Roman"/>
                <w:b/>
              </w:rPr>
            </w:pPr>
            <w:r w:rsidRPr="005243F8">
              <w:rPr>
                <w:rFonts w:ascii="Times New Roman" w:hAnsi="Times New Roman" w:cs="Times New Roman"/>
                <w:b/>
              </w:rPr>
              <w:t>DN</w:t>
            </w:r>
          </w:p>
        </w:tc>
        <w:tc>
          <w:tcPr>
            <w:tcW w:w="4408" w:type="dxa"/>
            <w:tcBorders>
              <w:top w:val="single" w:sz="10" w:space="0" w:color="000000"/>
              <w:left w:val="single" w:sz="8" w:space="0" w:color="000000"/>
              <w:bottom w:val="single" w:sz="10" w:space="0" w:color="000000"/>
              <w:right w:val="single" w:sz="2" w:space="0" w:color="000000"/>
            </w:tcBorders>
            <w:shd w:val="clear" w:color="auto" w:fill="C0C0C0"/>
            <w:vAlign w:val="center"/>
          </w:tcPr>
          <w:p w:rsidR="00E32574" w:rsidRPr="005243F8" w:rsidRDefault="00E32574" w:rsidP="00ED46A4">
            <w:pPr>
              <w:pStyle w:val="Default"/>
              <w:spacing w:before="120" w:after="120"/>
              <w:jc w:val="center"/>
              <w:rPr>
                <w:rFonts w:ascii="Times New Roman" w:hAnsi="Times New Roman" w:cs="Times New Roman"/>
                <w:b/>
              </w:rPr>
            </w:pPr>
            <w:r w:rsidRPr="005243F8">
              <w:rPr>
                <w:rFonts w:ascii="Times New Roman" w:hAnsi="Times New Roman" w:cs="Times New Roman"/>
                <w:b/>
              </w:rPr>
              <w:t>Material</w:t>
            </w:r>
          </w:p>
        </w:tc>
      </w:tr>
      <w:tr w:rsidR="00E32574" w:rsidRPr="005243F8" w:rsidTr="00E32574">
        <w:trPr>
          <w:trHeight w:val="350"/>
        </w:trPr>
        <w:tc>
          <w:tcPr>
            <w:tcW w:w="3388"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ED46A4">
            <w:pPr>
              <w:pStyle w:val="Default"/>
              <w:spacing w:before="120" w:after="120"/>
              <w:jc w:val="center"/>
              <w:rPr>
                <w:rFonts w:ascii="Times New Roman" w:hAnsi="Times New Roman" w:cs="Times New Roman"/>
              </w:rPr>
            </w:pPr>
            <w:r w:rsidRPr="005243F8">
              <w:rPr>
                <w:rFonts w:ascii="Times New Roman" w:hAnsi="Times New Roman" w:cs="Times New Roman"/>
              </w:rPr>
              <w:t>100</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ED46A4">
            <w:pPr>
              <w:pStyle w:val="Default"/>
              <w:spacing w:before="120" w:after="120"/>
              <w:jc w:val="center"/>
              <w:rPr>
                <w:rFonts w:ascii="Times New Roman" w:hAnsi="Times New Roman" w:cs="Times New Roman"/>
              </w:rPr>
            </w:pPr>
            <w:r w:rsidRPr="005243F8">
              <w:rPr>
                <w:rFonts w:ascii="Times New Roman" w:hAnsi="Times New Roman" w:cs="Times New Roman"/>
              </w:rPr>
              <w:t>PVC/Cerâmica</w:t>
            </w:r>
          </w:p>
        </w:tc>
      </w:tr>
      <w:tr w:rsidR="00E32574" w:rsidRPr="005243F8" w:rsidTr="00E32574">
        <w:trPr>
          <w:trHeight w:val="350"/>
        </w:trPr>
        <w:tc>
          <w:tcPr>
            <w:tcW w:w="3388"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ED46A4">
            <w:pPr>
              <w:pStyle w:val="Default"/>
              <w:spacing w:before="120" w:after="120"/>
              <w:jc w:val="center"/>
              <w:rPr>
                <w:rFonts w:ascii="Times New Roman" w:hAnsi="Times New Roman" w:cs="Times New Roman"/>
              </w:rPr>
            </w:pPr>
            <w:r w:rsidRPr="005243F8">
              <w:rPr>
                <w:rFonts w:ascii="Times New Roman" w:hAnsi="Times New Roman" w:cs="Times New Roman"/>
              </w:rPr>
              <w:t>110</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ED46A4">
            <w:pPr>
              <w:pStyle w:val="Default"/>
              <w:spacing w:before="120" w:after="120"/>
              <w:jc w:val="center"/>
              <w:rPr>
                <w:rFonts w:ascii="Times New Roman" w:hAnsi="Times New Roman" w:cs="Times New Roman"/>
              </w:rPr>
            </w:pPr>
            <w:r w:rsidRPr="005243F8">
              <w:rPr>
                <w:rFonts w:ascii="Times New Roman" w:hAnsi="Times New Roman" w:cs="Times New Roman"/>
              </w:rPr>
              <w:t>PVC/Cerâmica</w:t>
            </w:r>
          </w:p>
        </w:tc>
      </w:tr>
      <w:tr w:rsidR="00E32574" w:rsidRPr="005243F8" w:rsidTr="00E32574">
        <w:trPr>
          <w:trHeight w:val="270"/>
        </w:trPr>
        <w:tc>
          <w:tcPr>
            <w:tcW w:w="3388"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ED46A4">
            <w:pPr>
              <w:pStyle w:val="Default"/>
              <w:spacing w:before="120" w:after="120"/>
              <w:jc w:val="center"/>
              <w:rPr>
                <w:rFonts w:ascii="Times New Roman" w:hAnsi="Times New Roman" w:cs="Times New Roman"/>
              </w:rPr>
            </w:pPr>
            <w:r w:rsidRPr="005243F8">
              <w:rPr>
                <w:rFonts w:ascii="Times New Roman" w:hAnsi="Times New Roman" w:cs="Times New Roman"/>
              </w:rPr>
              <w:t>150</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ED46A4">
            <w:pPr>
              <w:pStyle w:val="Default"/>
              <w:spacing w:before="120" w:after="120"/>
              <w:jc w:val="center"/>
              <w:rPr>
                <w:rFonts w:ascii="Times New Roman" w:hAnsi="Times New Roman" w:cs="Times New Roman"/>
              </w:rPr>
            </w:pPr>
            <w:r w:rsidRPr="005243F8">
              <w:rPr>
                <w:rFonts w:ascii="Times New Roman" w:hAnsi="Times New Roman" w:cs="Times New Roman"/>
              </w:rPr>
              <w:t>PVC/Cerâmica</w:t>
            </w:r>
          </w:p>
        </w:tc>
      </w:tr>
      <w:tr w:rsidR="00E32574" w:rsidRPr="005243F8" w:rsidTr="00E32574">
        <w:trPr>
          <w:trHeight w:val="312"/>
        </w:trPr>
        <w:tc>
          <w:tcPr>
            <w:tcW w:w="3388"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ED46A4">
            <w:pPr>
              <w:pStyle w:val="Default"/>
              <w:spacing w:before="120" w:after="120"/>
              <w:jc w:val="center"/>
              <w:rPr>
                <w:rFonts w:ascii="Times New Roman" w:hAnsi="Times New Roman" w:cs="Times New Roman"/>
              </w:rPr>
            </w:pPr>
            <w:r w:rsidRPr="005243F8">
              <w:rPr>
                <w:rFonts w:ascii="Times New Roman" w:hAnsi="Times New Roman" w:cs="Times New Roman"/>
              </w:rPr>
              <w:t>200</w:t>
            </w:r>
          </w:p>
        </w:tc>
        <w:tc>
          <w:tcPr>
            <w:tcW w:w="4408"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ED46A4">
            <w:pPr>
              <w:pStyle w:val="Default"/>
              <w:spacing w:before="120" w:after="120"/>
              <w:jc w:val="center"/>
              <w:rPr>
                <w:rFonts w:ascii="Times New Roman" w:hAnsi="Times New Roman" w:cs="Times New Roman"/>
              </w:rPr>
            </w:pPr>
            <w:r w:rsidRPr="005243F8">
              <w:rPr>
                <w:rFonts w:ascii="Times New Roman" w:hAnsi="Times New Roman" w:cs="Times New Roman"/>
              </w:rPr>
              <w:t>PVC/Cerâmica</w:t>
            </w:r>
          </w:p>
        </w:tc>
      </w:tr>
    </w:tbl>
    <w:p w:rsidR="00E32574" w:rsidRPr="00DC2368" w:rsidRDefault="00E32574" w:rsidP="00832ECA">
      <w:pPr>
        <w:pStyle w:val="Fonte"/>
        <w:ind w:firstLine="708"/>
      </w:pPr>
      <w:r w:rsidRPr="00DC2368">
        <w:t>Fonte: SAAE, 2013.</w:t>
      </w:r>
    </w:p>
    <w:p w:rsidR="00E32574" w:rsidRPr="00164653" w:rsidRDefault="00E32574" w:rsidP="00E32574">
      <w:pPr>
        <w:pStyle w:val="Default"/>
        <w:spacing w:line="360" w:lineRule="auto"/>
        <w:ind w:firstLine="708"/>
        <w:jc w:val="both"/>
        <w:rPr>
          <w:rFonts w:ascii="Times New Roman" w:hAnsi="Times New Roman" w:cs="Times New Roman"/>
          <w:bCs/>
          <w:color w:val="auto"/>
          <w:szCs w:val="20"/>
        </w:rPr>
      </w:pPr>
      <w:r w:rsidRPr="00164653">
        <w:rPr>
          <w:rFonts w:ascii="Times New Roman" w:hAnsi="Times New Roman" w:cs="Times New Roman"/>
          <w:bCs/>
          <w:color w:val="auto"/>
          <w:szCs w:val="20"/>
        </w:rPr>
        <w:t xml:space="preserve">Os poços de visitas são constituídos de tampa de ferro com formato circular e </w:t>
      </w:r>
      <w:r w:rsidRPr="00164653">
        <w:rPr>
          <w:rFonts w:ascii="Times New Roman" w:hAnsi="Times New Roman" w:cs="Times New Roman"/>
          <w:bCs/>
          <w:color w:val="auto"/>
          <w:szCs w:val="20"/>
        </w:rPr>
        <w:lastRenderedPageBreak/>
        <w:t xml:space="preserve">identificadas, conforme visto na Figura </w:t>
      </w:r>
      <w:r w:rsidR="0066503D">
        <w:rPr>
          <w:rFonts w:ascii="Times New Roman" w:hAnsi="Times New Roman" w:cs="Times New Roman"/>
          <w:bCs/>
          <w:color w:val="auto"/>
          <w:szCs w:val="20"/>
        </w:rPr>
        <w:t>123</w:t>
      </w:r>
      <w:r w:rsidRPr="00164653">
        <w:rPr>
          <w:rFonts w:ascii="Times New Roman" w:hAnsi="Times New Roman" w:cs="Times New Roman"/>
          <w:bCs/>
          <w:color w:val="auto"/>
          <w:szCs w:val="20"/>
        </w:rPr>
        <w:t>.</w:t>
      </w:r>
    </w:p>
    <w:p w:rsidR="00E32574" w:rsidRPr="00832ECA" w:rsidRDefault="00291A25" w:rsidP="00291A25">
      <w:pPr>
        <w:pStyle w:val="Legenda"/>
      </w:pPr>
      <w:bookmarkStart w:id="437" w:name="_Toc372740206"/>
      <w:r>
        <w:t xml:space="preserve">Figura </w:t>
      </w:r>
      <w:fldSimple w:instr=" SEQ Figura \* ARABIC ">
        <w:r w:rsidR="004F77E2">
          <w:rPr>
            <w:noProof/>
          </w:rPr>
          <w:t>123</w:t>
        </w:r>
      </w:fldSimple>
      <w:r>
        <w:t xml:space="preserve"> - </w:t>
      </w:r>
      <w:r w:rsidRPr="003645E1">
        <w:rPr>
          <w:noProof/>
        </w:rPr>
        <w:t>Poço de Visita na Rua Cabo Benedito, n° 26 (Local: 24K 0284279 7843633 / Altitude: 94 m).</w:t>
      </w:r>
      <w:bookmarkEnd w:id="437"/>
    </w:p>
    <w:p w:rsidR="00E32574" w:rsidRPr="006847FB" w:rsidRDefault="00E32574" w:rsidP="00000622">
      <w:pPr>
        <w:spacing w:after="0" w:line="240" w:lineRule="auto"/>
        <w:jc w:val="center"/>
        <w:rPr>
          <w:szCs w:val="24"/>
        </w:rPr>
      </w:pPr>
      <w:r>
        <w:rPr>
          <w:noProof/>
          <w:szCs w:val="24"/>
          <w:lang w:eastAsia="pt-BR"/>
        </w:rPr>
        <w:drawing>
          <wp:inline distT="0" distB="0" distL="0" distR="0" wp14:anchorId="6B352E41" wp14:editId="723C5AA3">
            <wp:extent cx="4317365" cy="3235960"/>
            <wp:effectExtent l="0" t="0" r="0" b="0"/>
            <wp:docPr id="187" name="Imagem 187" descr="Foto 11 Ponto 123 Poço de Visita Rua Cabo Benedito,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Foto 11 Ponto 123 Poço de Visita Rua Cabo Benedito,26.JPG"/>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317365" cy="3235960"/>
                    </a:xfrm>
                    <a:prstGeom prst="rect">
                      <a:avLst/>
                    </a:prstGeom>
                    <a:noFill/>
                    <a:ln>
                      <a:noFill/>
                    </a:ln>
                  </pic:spPr>
                </pic:pic>
              </a:graphicData>
            </a:graphic>
          </wp:inline>
        </w:drawing>
      </w:r>
    </w:p>
    <w:p w:rsidR="00E32574" w:rsidRPr="00192C99" w:rsidRDefault="00832ECA" w:rsidP="00832ECA">
      <w:pPr>
        <w:pStyle w:val="Fonte"/>
        <w:ind w:firstLine="708"/>
        <w:rPr>
          <w:lang w:eastAsia="pt-BR"/>
        </w:rPr>
      </w:pPr>
      <w:r>
        <w:rPr>
          <w:lang w:eastAsia="pt-BR"/>
        </w:rPr>
        <w:t xml:space="preserve">   </w:t>
      </w:r>
      <w:r w:rsidR="00E32574" w:rsidRPr="00192C99">
        <w:rPr>
          <w:lang w:eastAsia="pt-BR"/>
        </w:rPr>
        <w:t>Fonte: Fundação Educacional de Caratinga - FUNEC, 2013.</w:t>
      </w:r>
    </w:p>
    <w:p w:rsidR="00E32574" w:rsidRPr="000C5DD6" w:rsidRDefault="0066503D" w:rsidP="00971B37">
      <w:pPr>
        <w:pStyle w:val="Titulo"/>
      </w:pPr>
      <w:bookmarkStart w:id="438" w:name="_Toc372559134"/>
      <w:bookmarkStart w:id="439" w:name="_Toc372789565"/>
      <w:r w:rsidRPr="000C5DD6">
        <w:t xml:space="preserve">12.9.2 </w:t>
      </w:r>
      <w:r w:rsidR="00E32574" w:rsidRPr="000C5DD6">
        <w:t>Elevatórias de Esgoto</w:t>
      </w:r>
      <w:bookmarkEnd w:id="438"/>
      <w:bookmarkEnd w:id="439"/>
    </w:p>
    <w:p w:rsidR="00E32574" w:rsidRPr="00832ECA" w:rsidRDefault="00E32574" w:rsidP="0066503D">
      <w:pPr>
        <w:pStyle w:val="CM73"/>
        <w:spacing w:line="360" w:lineRule="auto"/>
        <w:ind w:firstLine="708"/>
        <w:jc w:val="both"/>
        <w:rPr>
          <w:rFonts w:ascii="Times New Roman" w:hAnsi="Times New Roman" w:cs="Times New Roman"/>
        </w:rPr>
      </w:pPr>
      <w:r w:rsidRPr="00832ECA">
        <w:rPr>
          <w:rFonts w:ascii="Times New Roman" w:hAnsi="Times New Roman" w:cs="Times New Roman"/>
        </w:rPr>
        <w:t>São instalações que se destinam ao transporte de esgoto do nível do poço de sucção das bombas ao nível de descarga na saída do recalque, acompanhando as variações da vazão afluente. As elevatórias são utilizadas no sistema de esgoto sanitário, em casos como os seguintes:</w:t>
      </w:r>
    </w:p>
    <w:p w:rsidR="00E32574" w:rsidRPr="00000622" w:rsidRDefault="00E32574" w:rsidP="0053477A">
      <w:pPr>
        <w:pStyle w:val="PargrafodaLista"/>
        <w:numPr>
          <w:ilvl w:val="0"/>
          <w:numId w:val="35"/>
        </w:numPr>
        <w:spacing w:after="0" w:line="360" w:lineRule="auto"/>
        <w:ind w:left="567" w:hanging="283"/>
        <w:jc w:val="both"/>
        <w:rPr>
          <w:szCs w:val="24"/>
        </w:rPr>
      </w:pPr>
      <w:r w:rsidRPr="00000622">
        <w:rPr>
          <w:szCs w:val="24"/>
        </w:rPr>
        <w:t>Na coleta, quando são necessárias a elevação do esgoto para permitir a ligação ao coletor de esgoto, como nas soleiras baixas, em terrenos com caimento para o fundo do lote ou pisos abaixo da grade na rua;</w:t>
      </w:r>
    </w:p>
    <w:p w:rsidR="00E32574" w:rsidRPr="00000622" w:rsidRDefault="00E32574" w:rsidP="0053477A">
      <w:pPr>
        <w:pStyle w:val="PargrafodaLista"/>
        <w:numPr>
          <w:ilvl w:val="0"/>
          <w:numId w:val="35"/>
        </w:numPr>
        <w:spacing w:after="0" w:line="360" w:lineRule="auto"/>
        <w:ind w:left="567" w:hanging="283"/>
        <w:jc w:val="both"/>
        <w:rPr>
          <w:szCs w:val="24"/>
        </w:rPr>
      </w:pPr>
      <w:r w:rsidRPr="00000622">
        <w:rPr>
          <w:szCs w:val="24"/>
        </w:rPr>
        <w:t>Na rede coletora, como alternativa ao aprofundamento excessivo e antieconômico dos coletores de esgoto;</w:t>
      </w:r>
    </w:p>
    <w:p w:rsidR="00E32574" w:rsidRPr="00000622" w:rsidRDefault="00E32574" w:rsidP="0053477A">
      <w:pPr>
        <w:pStyle w:val="PargrafodaLista"/>
        <w:numPr>
          <w:ilvl w:val="0"/>
          <w:numId w:val="35"/>
        </w:numPr>
        <w:spacing w:after="0" w:line="360" w:lineRule="auto"/>
        <w:ind w:left="567" w:hanging="283"/>
        <w:jc w:val="both"/>
        <w:rPr>
          <w:szCs w:val="24"/>
        </w:rPr>
      </w:pPr>
      <w:r w:rsidRPr="00000622">
        <w:rPr>
          <w:szCs w:val="24"/>
        </w:rPr>
        <w:t xml:space="preserve">No transporte; por exemplo, nas redes tipo distrital e redes novas em cotas inferiores às rede existente, ou no caso de transposição às rede existente, ou no caso de transposição de bacias, na rede distrital, característica de áreas planas, quando são </w:t>
      </w:r>
      <w:r w:rsidRPr="00000622">
        <w:rPr>
          <w:szCs w:val="24"/>
        </w:rPr>
        <w:lastRenderedPageBreak/>
        <w:t>criados pontos de concentração com elevatórias para a transposição do esgoto para um único lançamento (ETE);</w:t>
      </w:r>
    </w:p>
    <w:p w:rsidR="00E32574" w:rsidRPr="00000622" w:rsidRDefault="00E32574" w:rsidP="0053477A">
      <w:pPr>
        <w:pStyle w:val="PargrafodaLista"/>
        <w:numPr>
          <w:ilvl w:val="0"/>
          <w:numId w:val="35"/>
        </w:numPr>
        <w:spacing w:after="0" w:line="360" w:lineRule="auto"/>
        <w:ind w:left="567" w:hanging="283"/>
        <w:jc w:val="both"/>
        <w:rPr>
          <w:szCs w:val="24"/>
        </w:rPr>
      </w:pPr>
      <w:r w:rsidRPr="00000622">
        <w:rPr>
          <w:szCs w:val="24"/>
        </w:rPr>
        <w:t>No tratamento ou disposição final para alcançar cotas compatíveis com a implantação da ETE ou níveis do corpo receptor.</w:t>
      </w:r>
    </w:p>
    <w:p w:rsidR="00E32574" w:rsidRPr="00000622" w:rsidRDefault="00E32574" w:rsidP="0066503D">
      <w:pPr>
        <w:pStyle w:val="CM73"/>
        <w:spacing w:line="360" w:lineRule="auto"/>
        <w:ind w:firstLine="708"/>
        <w:jc w:val="both"/>
        <w:rPr>
          <w:rFonts w:ascii="Times New Roman" w:hAnsi="Times New Roman" w:cs="Times New Roman"/>
        </w:rPr>
      </w:pPr>
      <w:r w:rsidRPr="00000622">
        <w:rPr>
          <w:rFonts w:ascii="Times New Roman" w:hAnsi="Times New Roman" w:cs="Times New Roman"/>
        </w:rPr>
        <w:t>Na sede de Aimorés, o Sistema possui nove Estações Elevatórias</w:t>
      </w:r>
      <w:r w:rsidR="0066503D">
        <w:rPr>
          <w:rFonts w:ascii="Times New Roman" w:hAnsi="Times New Roman" w:cs="Times New Roman"/>
        </w:rPr>
        <w:t xml:space="preserve"> (Quadro 4</w:t>
      </w:r>
      <w:r w:rsidR="00C930AA">
        <w:rPr>
          <w:rFonts w:ascii="Times New Roman" w:hAnsi="Times New Roman" w:cs="Times New Roman"/>
        </w:rPr>
        <w:t>8</w:t>
      </w:r>
      <w:r w:rsidR="0066503D">
        <w:rPr>
          <w:rFonts w:ascii="Times New Roman" w:hAnsi="Times New Roman" w:cs="Times New Roman"/>
        </w:rPr>
        <w:t xml:space="preserve"> e Figuras </w:t>
      </w:r>
      <w:r w:rsidR="00622AD7">
        <w:rPr>
          <w:rFonts w:ascii="Times New Roman" w:hAnsi="Times New Roman" w:cs="Times New Roman"/>
        </w:rPr>
        <w:t>124, 125, 126, 127, 128, 129, 130, e 131)</w:t>
      </w:r>
      <w:r w:rsidRPr="00000622">
        <w:rPr>
          <w:rFonts w:ascii="Times New Roman" w:hAnsi="Times New Roman" w:cs="Times New Roman"/>
        </w:rPr>
        <w:t xml:space="preserve">. Os dados referentes a vazão das moto-bombas não estão disponíveis. </w:t>
      </w:r>
    </w:p>
    <w:p w:rsidR="00E32574" w:rsidRDefault="0075744C" w:rsidP="0075744C">
      <w:pPr>
        <w:pStyle w:val="Legenda"/>
        <w:rPr>
          <w:b w:val="0"/>
          <w:bCs w:val="0"/>
        </w:rPr>
      </w:pPr>
      <w:bookmarkStart w:id="440" w:name="_Toc372740554"/>
      <w:r>
        <w:t xml:space="preserve">Quadro </w:t>
      </w:r>
      <w:fldSimple w:instr=" SEQ Quadro \* ARABIC ">
        <w:r w:rsidR="004F77E2">
          <w:rPr>
            <w:noProof/>
          </w:rPr>
          <w:t>48</w:t>
        </w:r>
      </w:fldSimple>
      <w:r>
        <w:t xml:space="preserve"> - </w:t>
      </w:r>
      <w:r w:rsidRPr="002B757F">
        <w:rPr>
          <w:noProof/>
        </w:rPr>
        <w:t>Localização das Estações Elevatórias.</w:t>
      </w:r>
      <w:bookmarkEnd w:id="440"/>
    </w:p>
    <w:tbl>
      <w:tblPr>
        <w:tblW w:w="4832" w:type="dxa"/>
        <w:jc w:val="center"/>
        <w:tblLayout w:type="fixed"/>
        <w:tblLook w:val="0000" w:firstRow="0" w:lastRow="0" w:firstColumn="0" w:lastColumn="0" w:noHBand="0" w:noVBand="0"/>
      </w:tblPr>
      <w:tblGrid>
        <w:gridCol w:w="696"/>
        <w:gridCol w:w="4136"/>
      </w:tblGrid>
      <w:tr w:rsidR="00E32574" w:rsidRPr="005243F8" w:rsidTr="00E32574">
        <w:trPr>
          <w:trHeight w:val="495"/>
          <w:jc w:val="center"/>
        </w:trPr>
        <w:tc>
          <w:tcPr>
            <w:tcW w:w="696" w:type="dxa"/>
            <w:tcBorders>
              <w:top w:val="single" w:sz="10" w:space="0" w:color="000000"/>
              <w:left w:val="single" w:sz="2" w:space="0" w:color="000000"/>
              <w:bottom w:val="single" w:sz="10" w:space="0" w:color="000000"/>
              <w:right w:val="single" w:sz="8" w:space="0" w:color="000000"/>
            </w:tcBorders>
            <w:shd w:val="clear" w:color="auto" w:fill="C0C0C0"/>
            <w:vAlign w:val="center"/>
          </w:tcPr>
          <w:p w:rsidR="00E32574" w:rsidRPr="005243F8" w:rsidRDefault="00622AD7" w:rsidP="0066503D">
            <w:pPr>
              <w:pStyle w:val="Default"/>
              <w:spacing w:before="120" w:after="120"/>
              <w:jc w:val="center"/>
              <w:rPr>
                <w:rFonts w:ascii="Times New Roman" w:hAnsi="Times New Roman" w:cs="Times New Roman"/>
                <w:b/>
              </w:rPr>
            </w:pPr>
            <w:r>
              <w:rPr>
                <w:rFonts w:ascii="Times New Roman" w:hAnsi="Times New Roman" w:cs="Times New Roman"/>
                <w:b/>
              </w:rPr>
              <w:t>Nº.</w:t>
            </w:r>
          </w:p>
        </w:tc>
        <w:tc>
          <w:tcPr>
            <w:tcW w:w="4136" w:type="dxa"/>
            <w:tcBorders>
              <w:top w:val="single" w:sz="10" w:space="0" w:color="000000"/>
              <w:left w:val="single" w:sz="8" w:space="0" w:color="000000"/>
              <w:bottom w:val="single" w:sz="10" w:space="0" w:color="000000"/>
              <w:right w:val="single" w:sz="2" w:space="0" w:color="000000"/>
            </w:tcBorders>
            <w:shd w:val="clear" w:color="auto" w:fill="C0C0C0"/>
            <w:vAlign w:val="center"/>
          </w:tcPr>
          <w:p w:rsidR="00E32574" w:rsidRPr="005243F8" w:rsidRDefault="00E32574" w:rsidP="0066503D">
            <w:pPr>
              <w:pStyle w:val="Default"/>
              <w:spacing w:before="120" w:after="120"/>
              <w:jc w:val="center"/>
              <w:rPr>
                <w:rFonts w:ascii="Times New Roman" w:hAnsi="Times New Roman" w:cs="Times New Roman"/>
                <w:b/>
              </w:rPr>
            </w:pPr>
            <w:r w:rsidRPr="005243F8">
              <w:rPr>
                <w:rFonts w:ascii="Times New Roman" w:hAnsi="Times New Roman" w:cs="Times New Roman"/>
                <w:b/>
              </w:rPr>
              <w:t>Localização</w:t>
            </w:r>
          </w:p>
        </w:tc>
      </w:tr>
      <w:tr w:rsidR="00E32574" w:rsidRPr="005243F8" w:rsidTr="00E32574">
        <w:trPr>
          <w:trHeight w:val="350"/>
          <w:jc w:val="center"/>
        </w:trPr>
        <w:tc>
          <w:tcPr>
            <w:tcW w:w="696"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66503D">
            <w:pPr>
              <w:pStyle w:val="Default"/>
              <w:spacing w:before="120" w:after="120"/>
              <w:jc w:val="center"/>
              <w:rPr>
                <w:rFonts w:ascii="Times New Roman" w:hAnsi="Times New Roman" w:cs="Times New Roman"/>
              </w:rPr>
            </w:pPr>
            <w:r w:rsidRPr="005243F8">
              <w:rPr>
                <w:rFonts w:ascii="Times New Roman" w:hAnsi="Times New Roman" w:cs="Times New Roman"/>
              </w:rPr>
              <w:t>1</w:t>
            </w:r>
          </w:p>
        </w:tc>
        <w:tc>
          <w:tcPr>
            <w:tcW w:w="4136"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66503D">
            <w:pPr>
              <w:pStyle w:val="Default"/>
              <w:spacing w:before="120" w:after="120"/>
              <w:jc w:val="both"/>
              <w:rPr>
                <w:rFonts w:ascii="Times New Roman" w:hAnsi="Times New Roman" w:cs="Times New Roman"/>
              </w:rPr>
            </w:pPr>
            <w:r w:rsidRPr="005243F8">
              <w:rPr>
                <w:rFonts w:ascii="Times New Roman" w:hAnsi="Times New Roman" w:cs="Times New Roman"/>
              </w:rPr>
              <w:t>Rua B – Barra do Manhuaçu 1</w:t>
            </w:r>
          </w:p>
        </w:tc>
      </w:tr>
      <w:tr w:rsidR="00E32574" w:rsidRPr="005243F8" w:rsidTr="00E32574">
        <w:trPr>
          <w:trHeight w:val="270"/>
          <w:jc w:val="center"/>
        </w:trPr>
        <w:tc>
          <w:tcPr>
            <w:tcW w:w="696"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66503D">
            <w:pPr>
              <w:pStyle w:val="Default"/>
              <w:spacing w:before="120" w:after="120"/>
              <w:jc w:val="center"/>
              <w:rPr>
                <w:rFonts w:ascii="Times New Roman" w:hAnsi="Times New Roman" w:cs="Times New Roman"/>
              </w:rPr>
            </w:pPr>
            <w:r w:rsidRPr="005243F8">
              <w:rPr>
                <w:rFonts w:ascii="Times New Roman" w:hAnsi="Times New Roman" w:cs="Times New Roman"/>
              </w:rPr>
              <w:t>2</w:t>
            </w:r>
          </w:p>
        </w:tc>
        <w:tc>
          <w:tcPr>
            <w:tcW w:w="4136"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66503D">
            <w:pPr>
              <w:pStyle w:val="Default"/>
              <w:spacing w:before="120" w:after="120"/>
              <w:jc w:val="both"/>
              <w:rPr>
                <w:rFonts w:ascii="Times New Roman" w:hAnsi="Times New Roman" w:cs="Times New Roman"/>
              </w:rPr>
            </w:pPr>
            <w:r w:rsidRPr="005243F8">
              <w:rPr>
                <w:rFonts w:ascii="Times New Roman" w:hAnsi="Times New Roman" w:cs="Times New Roman"/>
              </w:rPr>
              <w:t>Rua da Vazante – Barra do Manhuaçu 2</w:t>
            </w:r>
          </w:p>
        </w:tc>
      </w:tr>
      <w:tr w:rsidR="00E32574" w:rsidRPr="005243F8" w:rsidTr="00E32574">
        <w:trPr>
          <w:trHeight w:val="312"/>
          <w:jc w:val="center"/>
        </w:trPr>
        <w:tc>
          <w:tcPr>
            <w:tcW w:w="696"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66503D">
            <w:pPr>
              <w:pStyle w:val="Default"/>
              <w:spacing w:before="120" w:after="120"/>
              <w:jc w:val="center"/>
              <w:rPr>
                <w:rFonts w:ascii="Times New Roman" w:hAnsi="Times New Roman" w:cs="Times New Roman"/>
              </w:rPr>
            </w:pPr>
            <w:r w:rsidRPr="005243F8">
              <w:rPr>
                <w:rFonts w:ascii="Times New Roman" w:hAnsi="Times New Roman" w:cs="Times New Roman"/>
              </w:rPr>
              <w:t>3</w:t>
            </w:r>
          </w:p>
        </w:tc>
        <w:tc>
          <w:tcPr>
            <w:tcW w:w="4136"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66503D">
            <w:pPr>
              <w:pStyle w:val="Default"/>
              <w:spacing w:before="120" w:after="120"/>
              <w:jc w:val="both"/>
              <w:rPr>
                <w:rFonts w:ascii="Times New Roman" w:hAnsi="Times New Roman" w:cs="Times New Roman"/>
              </w:rPr>
            </w:pPr>
            <w:r w:rsidRPr="005243F8">
              <w:rPr>
                <w:rFonts w:ascii="Times New Roman" w:hAnsi="Times New Roman" w:cs="Times New Roman"/>
              </w:rPr>
              <w:t>Rua Capitão Amara – Morro do Anésio</w:t>
            </w:r>
          </w:p>
        </w:tc>
      </w:tr>
      <w:tr w:rsidR="00E32574" w:rsidRPr="005243F8" w:rsidTr="00E32574">
        <w:trPr>
          <w:trHeight w:val="312"/>
          <w:jc w:val="center"/>
        </w:trPr>
        <w:tc>
          <w:tcPr>
            <w:tcW w:w="696"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66503D">
            <w:pPr>
              <w:pStyle w:val="Default"/>
              <w:spacing w:before="120" w:after="120"/>
              <w:jc w:val="center"/>
              <w:rPr>
                <w:rFonts w:ascii="Times New Roman" w:hAnsi="Times New Roman" w:cs="Times New Roman"/>
              </w:rPr>
            </w:pPr>
            <w:r w:rsidRPr="005243F8">
              <w:rPr>
                <w:rFonts w:ascii="Times New Roman" w:hAnsi="Times New Roman" w:cs="Times New Roman"/>
              </w:rPr>
              <w:t>4</w:t>
            </w:r>
          </w:p>
        </w:tc>
        <w:tc>
          <w:tcPr>
            <w:tcW w:w="4136"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66503D">
            <w:pPr>
              <w:pStyle w:val="Default"/>
              <w:spacing w:before="120" w:after="120"/>
              <w:jc w:val="both"/>
              <w:rPr>
                <w:rFonts w:ascii="Times New Roman" w:hAnsi="Times New Roman" w:cs="Times New Roman"/>
              </w:rPr>
            </w:pPr>
            <w:r w:rsidRPr="005243F8">
              <w:rPr>
                <w:rFonts w:ascii="Times New Roman" w:hAnsi="Times New Roman" w:cs="Times New Roman"/>
              </w:rPr>
              <w:t>Avenida Brasil n° 900</w:t>
            </w:r>
          </w:p>
        </w:tc>
      </w:tr>
      <w:tr w:rsidR="00E32574" w:rsidRPr="005243F8" w:rsidTr="00E32574">
        <w:trPr>
          <w:trHeight w:val="312"/>
          <w:jc w:val="center"/>
        </w:trPr>
        <w:tc>
          <w:tcPr>
            <w:tcW w:w="696"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66503D">
            <w:pPr>
              <w:pStyle w:val="Default"/>
              <w:spacing w:before="120" w:after="120"/>
              <w:jc w:val="center"/>
              <w:rPr>
                <w:rFonts w:ascii="Times New Roman" w:hAnsi="Times New Roman" w:cs="Times New Roman"/>
              </w:rPr>
            </w:pPr>
            <w:r w:rsidRPr="005243F8">
              <w:rPr>
                <w:rFonts w:ascii="Times New Roman" w:hAnsi="Times New Roman" w:cs="Times New Roman"/>
              </w:rPr>
              <w:t>5</w:t>
            </w:r>
          </w:p>
        </w:tc>
        <w:tc>
          <w:tcPr>
            <w:tcW w:w="4136"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66503D">
            <w:pPr>
              <w:pStyle w:val="Default"/>
              <w:spacing w:before="120" w:after="120"/>
              <w:jc w:val="both"/>
              <w:rPr>
                <w:rFonts w:ascii="Times New Roman" w:hAnsi="Times New Roman" w:cs="Times New Roman"/>
              </w:rPr>
            </w:pPr>
            <w:r w:rsidRPr="005243F8">
              <w:rPr>
                <w:rFonts w:ascii="Times New Roman" w:hAnsi="Times New Roman" w:cs="Times New Roman"/>
              </w:rPr>
              <w:t>Rua Florisvaldo Dias de Oliveira</w:t>
            </w:r>
          </w:p>
        </w:tc>
      </w:tr>
      <w:tr w:rsidR="00E32574" w:rsidRPr="005243F8" w:rsidTr="00E32574">
        <w:trPr>
          <w:trHeight w:val="312"/>
          <w:jc w:val="center"/>
        </w:trPr>
        <w:tc>
          <w:tcPr>
            <w:tcW w:w="696"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66503D">
            <w:pPr>
              <w:pStyle w:val="Default"/>
              <w:spacing w:before="120" w:after="120"/>
              <w:jc w:val="center"/>
              <w:rPr>
                <w:rFonts w:ascii="Times New Roman" w:hAnsi="Times New Roman" w:cs="Times New Roman"/>
              </w:rPr>
            </w:pPr>
            <w:r w:rsidRPr="005243F8">
              <w:rPr>
                <w:rFonts w:ascii="Times New Roman" w:hAnsi="Times New Roman" w:cs="Times New Roman"/>
              </w:rPr>
              <w:t>6</w:t>
            </w:r>
          </w:p>
        </w:tc>
        <w:tc>
          <w:tcPr>
            <w:tcW w:w="4136"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66503D">
            <w:pPr>
              <w:pStyle w:val="Default"/>
              <w:spacing w:before="120" w:after="120"/>
              <w:jc w:val="both"/>
              <w:rPr>
                <w:rFonts w:ascii="Times New Roman" w:hAnsi="Times New Roman" w:cs="Times New Roman"/>
              </w:rPr>
            </w:pPr>
            <w:r w:rsidRPr="005243F8">
              <w:rPr>
                <w:rFonts w:ascii="Times New Roman" w:hAnsi="Times New Roman" w:cs="Times New Roman"/>
              </w:rPr>
              <w:t>Rua Espírito Santo</w:t>
            </w:r>
          </w:p>
        </w:tc>
      </w:tr>
      <w:tr w:rsidR="00E32574" w:rsidRPr="005243F8" w:rsidTr="00E32574">
        <w:trPr>
          <w:trHeight w:val="312"/>
          <w:jc w:val="center"/>
        </w:trPr>
        <w:tc>
          <w:tcPr>
            <w:tcW w:w="696"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66503D">
            <w:pPr>
              <w:pStyle w:val="Default"/>
              <w:spacing w:before="120" w:after="120"/>
              <w:jc w:val="center"/>
              <w:rPr>
                <w:rFonts w:ascii="Times New Roman" w:hAnsi="Times New Roman" w:cs="Times New Roman"/>
              </w:rPr>
            </w:pPr>
            <w:r w:rsidRPr="005243F8">
              <w:rPr>
                <w:rFonts w:ascii="Times New Roman" w:hAnsi="Times New Roman" w:cs="Times New Roman"/>
              </w:rPr>
              <w:t>7</w:t>
            </w:r>
          </w:p>
        </w:tc>
        <w:tc>
          <w:tcPr>
            <w:tcW w:w="4136"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66503D">
            <w:pPr>
              <w:pStyle w:val="Default"/>
              <w:spacing w:before="120" w:after="120"/>
              <w:jc w:val="both"/>
              <w:rPr>
                <w:rFonts w:ascii="Times New Roman" w:hAnsi="Times New Roman" w:cs="Times New Roman"/>
              </w:rPr>
            </w:pPr>
            <w:r w:rsidRPr="005243F8">
              <w:rPr>
                <w:rFonts w:ascii="Times New Roman" w:hAnsi="Times New Roman" w:cs="Times New Roman"/>
              </w:rPr>
              <w:t>Rua Cabo Benedito n° 26</w:t>
            </w:r>
          </w:p>
        </w:tc>
      </w:tr>
      <w:tr w:rsidR="00E32574" w:rsidRPr="005243F8" w:rsidTr="00E32574">
        <w:trPr>
          <w:trHeight w:val="312"/>
          <w:jc w:val="center"/>
        </w:trPr>
        <w:tc>
          <w:tcPr>
            <w:tcW w:w="696"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66503D">
            <w:pPr>
              <w:pStyle w:val="Default"/>
              <w:spacing w:before="120" w:after="120"/>
              <w:jc w:val="center"/>
              <w:rPr>
                <w:rFonts w:ascii="Times New Roman" w:hAnsi="Times New Roman" w:cs="Times New Roman"/>
              </w:rPr>
            </w:pPr>
            <w:r w:rsidRPr="005243F8">
              <w:rPr>
                <w:rFonts w:ascii="Times New Roman" w:hAnsi="Times New Roman" w:cs="Times New Roman"/>
              </w:rPr>
              <w:t>8</w:t>
            </w:r>
          </w:p>
        </w:tc>
        <w:tc>
          <w:tcPr>
            <w:tcW w:w="4136"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66503D">
            <w:pPr>
              <w:pStyle w:val="Default"/>
              <w:spacing w:before="120" w:after="120"/>
              <w:jc w:val="both"/>
              <w:rPr>
                <w:rFonts w:ascii="Times New Roman" w:hAnsi="Times New Roman" w:cs="Times New Roman"/>
              </w:rPr>
            </w:pPr>
            <w:r w:rsidRPr="005243F8">
              <w:rPr>
                <w:rFonts w:ascii="Times New Roman" w:hAnsi="Times New Roman" w:cs="Times New Roman"/>
              </w:rPr>
              <w:t>Rua José Henrique Filho n°128</w:t>
            </w:r>
          </w:p>
        </w:tc>
      </w:tr>
      <w:tr w:rsidR="00E32574" w:rsidRPr="005243F8" w:rsidTr="00E32574">
        <w:trPr>
          <w:trHeight w:val="312"/>
          <w:jc w:val="center"/>
        </w:trPr>
        <w:tc>
          <w:tcPr>
            <w:tcW w:w="696" w:type="dxa"/>
            <w:tcBorders>
              <w:top w:val="single" w:sz="10" w:space="0" w:color="000000"/>
              <w:left w:val="single" w:sz="2" w:space="0" w:color="000000"/>
              <w:bottom w:val="single" w:sz="10" w:space="0" w:color="000000"/>
              <w:right w:val="single" w:sz="8" w:space="0" w:color="000000"/>
            </w:tcBorders>
            <w:vAlign w:val="center"/>
          </w:tcPr>
          <w:p w:rsidR="00E32574" w:rsidRPr="005243F8" w:rsidRDefault="00E32574" w:rsidP="0066503D">
            <w:pPr>
              <w:pStyle w:val="Default"/>
              <w:spacing w:before="120" w:after="120"/>
              <w:jc w:val="center"/>
              <w:rPr>
                <w:rFonts w:ascii="Times New Roman" w:hAnsi="Times New Roman" w:cs="Times New Roman"/>
              </w:rPr>
            </w:pPr>
            <w:r w:rsidRPr="005243F8">
              <w:rPr>
                <w:rFonts w:ascii="Times New Roman" w:hAnsi="Times New Roman" w:cs="Times New Roman"/>
              </w:rPr>
              <w:t>9</w:t>
            </w:r>
          </w:p>
        </w:tc>
        <w:tc>
          <w:tcPr>
            <w:tcW w:w="4136"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66503D">
            <w:pPr>
              <w:pStyle w:val="Default"/>
              <w:spacing w:before="120" w:after="120"/>
              <w:jc w:val="both"/>
              <w:rPr>
                <w:rFonts w:ascii="Times New Roman" w:hAnsi="Times New Roman" w:cs="Times New Roman"/>
              </w:rPr>
            </w:pPr>
            <w:r w:rsidRPr="005243F8">
              <w:rPr>
                <w:rFonts w:ascii="Times New Roman" w:hAnsi="Times New Roman" w:cs="Times New Roman"/>
              </w:rPr>
              <w:t>Rua Antônio Baião</w:t>
            </w:r>
          </w:p>
        </w:tc>
      </w:tr>
    </w:tbl>
    <w:p w:rsidR="00E32574" w:rsidRPr="00192C99" w:rsidRDefault="00832ECA" w:rsidP="00832ECA">
      <w:pPr>
        <w:pStyle w:val="Fonte"/>
        <w:ind w:left="1416"/>
        <w:rPr>
          <w:lang w:eastAsia="pt-BR"/>
        </w:rPr>
      </w:pPr>
      <w:r>
        <w:rPr>
          <w:lang w:eastAsia="pt-BR"/>
        </w:rPr>
        <w:t xml:space="preserve">        </w:t>
      </w:r>
      <w:r w:rsidR="00E32574" w:rsidRPr="00192C99">
        <w:rPr>
          <w:lang w:eastAsia="pt-BR"/>
        </w:rPr>
        <w:t>Fonte: Fundação Educacional de Caratinga - FUNEC, 2013.</w:t>
      </w:r>
    </w:p>
    <w:p w:rsidR="00E32574" w:rsidRDefault="00E32574" w:rsidP="00E32574">
      <w:pPr>
        <w:rPr>
          <w:szCs w:val="24"/>
        </w:rPr>
      </w:pPr>
    </w:p>
    <w:p w:rsidR="00832ECA" w:rsidRDefault="00832ECA">
      <w:pPr>
        <w:spacing w:after="200" w:line="276" w:lineRule="auto"/>
        <w:rPr>
          <w:rFonts w:eastAsiaTheme="minorEastAsia" w:cs="Times New Roman"/>
          <w:bCs/>
          <w:szCs w:val="24"/>
          <w:lang w:eastAsia="pt-BR"/>
        </w:rPr>
      </w:pPr>
      <w:r>
        <w:br w:type="page"/>
      </w:r>
    </w:p>
    <w:p w:rsidR="00E32574" w:rsidRPr="008C1E98" w:rsidRDefault="00291A25" w:rsidP="00291A25">
      <w:pPr>
        <w:pStyle w:val="Legenda"/>
        <w:rPr>
          <w:b w:val="0"/>
          <w:bCs w:val="0"/>
        </w:rPr>
      </w:pPr>
      <w:bookmarkStart w:id="441" w:name="_Toc372740207"/>
      <w:r>
        <w:lastRenderedPageBreak/>
        <w:t xml:space="preserve">Figura </w:t>
      </w:r>
      <w:fldSimple w:instr=" SEQ Figura \* ARABIC ">
        <w:r w:rsidR="004F77E2">
          <w:rPr>
            <w:noProof/>
          </w:rPr>
          <w:t>124</w:t>
        </w:r>
      </w:fldSimple>
      <w:r>
        <w:t xml:space="preserve"> - </w:t>
      </w:r>
      <w:r w:rsidRPr="00F00140">
        <w:rPr>
          <w:noProof/>
        </w:rPr>
        <w:t>Estação Elevatório de Esgoto da Barra do Manhuaçu 1 (Local: 24K 0281166 7843424 / Altitude: 103 m).</w:t>
      </w:r>
      <w:bookmarkEnd w:id="441"/>
    </w:p>
    <w:p w:rsidR="00E32574" w:rsidRDefault="00E32574" w:rsidP="00000622">
      <w:pPr>
        <w:spacing w:after="0" w:line="240" w:lineRule="auto"/>
        <w:jc w:val="center"/>
        <w:rPr>
          <w:szCs w:val="24"/>
        </w:rPr>
      </w:pPr>
      <w:r>
        <w:rPr>
          <w:noProof/>
          <w:szCs w:val="24"/>
          <w:lang w:eastAsia="pt-BR"/>
        </w:rPr>
        <w:drawing>
          <wp:inline distT="0" distB="0" distL="0" distR="0" wp14:anchorId="106E1621" wp14:editId="6A53ADA7">
            <wp:extent cx="4391920" cy="3291840"/>
            <wp:effectExtent l="19050" t="0" r="8630" b="0"/>
            <wp:docPr id="186" name="Imagem 186" descr="Foto 61  Ponto 132 Elevatória 1 da Barra do Manhuaç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Foto 61  Ponto 132 Elevatória 1 da Barra do Manhuaçu.JP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416036" cy="3309915"/>
                    </a:xfrm>
                    <a:prstGeom prst="rect">
                      <a:avLst/>
                    </a:prstGeom>
                    <a:noFill/>
                    <a:ln>
                      <a:noFill/>
                    </a:ln>
                  </pic:spPr>
                </pic:pic>
              </a:graphicData>
            </a:graphic>
          </wp:inline>
        </w:drawing>
      </w:r>
    </w:p>
    <w:p w:rsidR="00E32574" w:rsidRPr="00192C99" w:rsidRDefault="00E32574" w:rsidP="00832ECA">
      <w:pPr>
        <w:pStyle w:val="Fonte"/>
        <w:ind w:firstLine="708"/>
        <w:rPr>
          <w:lang w:eastAsia="pt-BR"/>
        </w:rPr>
      </w:pPr>
      <w:r w:rsidRPr="00192C99">
        <w:rPr>
          <w:lang w:eastAsia="pt-BR"/>
        </w:rPr>
        <w:t>Fonte: Fundação Educacional de Caratinga - FUNEC, 2013.</w:t>
      </w:r>
    </w:p>
    <w:p w:rsidR="00E32574" w:rsidRDefault="00291A25" w:rsidP="00291A25">
      <w:pPr>
        <w:pStyle w:val="Legenda"/>
      </w:pPr>
      <w:bookmarkStart w:id="442" w:name="_Toc372740208"/>
      <w:r>
        <w:t xml:space="preserve">Figura </w:t>
      </w:r>
      <w:fldSimple w:instr=" SEQ Figura \* ARABIC ">
        <w:r w:rsidR="004F77E2">
          <w:rPr>
            <w:noProof/>
          </w:rPr>
          <w:t>125</w:t>
        </w:r>
      </w:fldSimple>
      <w:r>
        <w:t xml:space="preserve"> - </w:t>
      </w:r>
      <w:r w:rsidRPr="00155F48">
        <w:rPr>
          <w:noProof/>
        </w:rPr>
        <w:t>Estação Elevatório de Esgoto da Barra do Manhuaçu 2 (Local: 24K 0280809 7843726 / Altitude: 86 m).</w:t>
      </w:r>
      <w:bookmarkEnd w:id="442"/>
    </w:p>
    <w:p w:rsidR="00E32574" w:rsidRDefault="00E32574" w:rsidP="00000622">
      <w:pPr>
        <w:spacing w:after="0" w:line="240" w:lineRule="auto"/>
        <w:jc w:val="center"/>
        <w:rPr>
          <w:noProof/>
          <w:szCs w:val="24"/>
          <w:lang w:eastAsia="pt-BR"/>
        </w:rPr>
      </w:pPr>
      <w:r>
        <w:rPr>
          <w:noProof/>
          <w:szCs w:val="24"/>
          <w:lang w:eastAsia="pt-BR"/>
        </w:rPr>
        <w:drawing>
          <wp:inline distT="0" distB="0" distL="0" distR="0" wp14:anchorId="2739CC51" wp14:editId="6F60016F">
            <wp:extent cx="4285753" cy="3212265"/>
            <wp:effectExtent l="19050" t="0" r="497" b="0"/>
            <wp:docPr id="185" name="Imagem 185" descr="Foto 63 Ponto 133 Elevatória 2 da Barra do Manhuaç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Foto 63 Ponto 133 Elevatória 2 da Barra do Manhuaçu.JP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310948" cy="3231149"/>
                    </a:xfrm>
                    <a:prstGeom prst="rect">
                      <a:avLst/>
                    </a:prstGeom>
                    <a:noFill/>
                    <a:ln>
                      <a:noFill/>
                    </a:ln>
                  </pic:spPr>
                </pic:pic>
              </a:graphicData>
            </a:graphic>
          </wp:inline>
        </w:drawing>
      </w:r>
    </w:p>
    <w:p w:rsidR="00E32574" w:rsidRPr="00192C99" w:rsidRDefault="00000622" w:rsidP="00832ECA">
      <w:pPr>
        <w:pStyle w:val="Fonte"/>
        <w:ind w:firstLine="708"/>
        <w:rPr>
          <w:lang w:eastAsia="pt-BR"/>
        </w:rPr>
      </w:pPr>
      <w:r>
        <w:rPr>
          <w:lang w:eastAsia="pt-BR"/>
        </w:rPr>
        <w:t xml:space="preserve"> </w:t>
      </w:r>
      <w:r w:rsidR="00E32574" w:rsidRPr="00192C99">
        <w:rPr>
          <w:lang w:eastAsia="pt-BR"/>
        </w:rPr>
        <w:t>Fonte: Fundação Educacional de Caratinga - FUNEC, 2013.</w:t>
      </w:r>
    </w:p>
    <w:p w:rsidR="00E32574" w:rsidRPr="008C1E98" w:rsidRDefault="00291A25" w:rsidP="00291A25">
      <w:pPr>
        <w:pStyle w:val="Legenda"/>
        <w:rPr>
          <w:b w:val="0"/>
          <w:bCs w:val="0"/>
        </w:rPr>
      </w:pPr>
      <w:bookmarkStart w:id="443" w:name="_Toc372740209"/>
      <w:r>
        <w:lastRenderedPageBreak/>
        <w:t xml:space="preserve">Figura </w:t>
      </w:r>
      <w:fldSimple w:instr=" SEQ Figura \* ARABIC ">
        <w:r w:rsidR="004F77E2">
          <w:rPr>
            <w:noProof/>
          </w:rPr>
          <w:t>126</w:t>
        </w:r>
      </w:fldSimple>
      <w:r>
        <w:t xml:space="preserve"> - </w:t>
      </w:r>
      <w:r w:rsidRPr="004F4174">
        <w:rPr>
          <w:noProof/>
        </w:rPr>
        <w:t>Estação Elevatório de Esgoto da Rua José Henrique Filho n° 128 - Bairro Igrejinha (Local: 24K 0281431 7842912 / Altitude: 98 m).</w:t>
      </w:r>
      <w:bookmarkEnd w:id="443"/>
    </w:p>
    <w:p w:rsidR="00E32574" w:rsidRDefault="00E32574" w:rsidP="00000622">
      <w:pPr>
        <w:spacing w:after="0" w:line="240" w:lineRule="auto"/>
        <w:jc w:val="center"/>
        <w:rPr>
          <w:noProof/>
          <w:szCs w:val="24"/>
          <w:lang w:eastAsia="pt-BR"/>
        </w:rPr>
      </w:pPr>
      <w:r>
        <w:rPr>
          <w:noProof/>
          <w:szCs w:val="24"/>
          <w:lang w:eastAsia="pt-BR"/>
        </w:rPr>
        <w:drawing>
          <wp:inline distT="0" distB="0" distL="0" distR="0" wp14:anchorId="51240080" wp14:editId="6D340E08">
            <wp:extent cx="4296446" cy="3220279"/>
            <wp:effectExtent l="19050" t="0" r="8854" b="0"/>
            <wp:docPr id="184" name="Imagem 184" descr="Foto 90 Ponto 137 Elevatória de esgoto Rua José Henrique Filho, 288 (Bairro Igrejin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Foto 90 Ponto 137 Elevatória de esgoto Rua José Henrique Filho, 288 (Bairro Igrejinha).JP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314303" cy="3233663"/>
                    </a:xfrm>
                    <a:prstGeom prst="rect">
                      <a:avLst/>
                    </a:prstGeom>
                    <a:noFill/>
                    <a:ln>
                      <a:noFill/>
                    </a:ln>
                  </pic:spPr>
                </pic:pic>
              </a:graphicData>
            </a:graphic>
          </wp:inline>
        </w:drawing>
      </w:r>
    </w:p>
    <w:p w:rsidR="00E32574" w:rsidRPr="00192C99" w:rsidRDefault="00832ECA" w:rsidP="00832ECA">
      <w:pPr>
        <w:pStyle w:val="Fonte"/>
        <w:ind w:firstLine="708"/>
        <w:rPr>
          <w:lang w:eastAsia="pt-BR"/>
        </w:rPr>
      </w:pPr>
      <w:r>
        <w:rPr>
          <w:lang w:eastAsia="pt-BR"/>
        </w:rPr>
        <w:t xml:space="preserve">  </w:t>
      </w:r>
      <w:r w:rsidR="00E32574" w:rsidRPr="00192C99">
        <w:rPr>
          <w:lang w:eastAsia="pt-BR"/>
        </w:rPr>
        <w:t>Fonte: Fundação Educacional de Caratinga - FUNEC, 2013.</w:t>
      </w:r>
    </w:p>
    <w:p w:rsidR="00832ECA" w:rsidRDefault="00291A25" w:rsidP="00291A25">
      <w:pPr>
        <w:pStyle w:val="Legenda"/>
      </w:pPr>
      <w:bookmarkStart w:id="444" w:name="_Toc372740210"/>
      <w:r>
        <w:t xml:space="preserve">Figura </w:t>
      </w:r>
      <w:fldSimple w:instr=" SEQ Figura \* ARABIC ">
        <w:r w:rsidR="004F77E2">
          <w:rPr>
            <w:noProof/>
          </w:rPr>
          <w:t>127</w:t>
        </w:r>
      </w:fldSimple>
      <w:r>
        <w:t xml:space="preserve"> - </w:t>
      </w:r>
      <w:r w:rsidRPr="00DA5713">
        <w:rPr>
          <w:noProof/>
        </w:rPr>
        <w:t>Estação Elevatório de Esgoto da Avenida Brasil n° 900 (Local: 24K 0281449 7842810 / Altitude: 120 m).</w:t>
      </w:r>
      <w:bookmarkEnd w:id="444"/>
    </w:p>
    <w:p w:rsidR="00E32574" w:rsidRDefault="00E32574" w:rsidP="00000622">
      <w:pPr>
        <w:spacing w:after="0" w:line="240" w:lineRule="auto"/>
        <w:jc w:val="center"/>
        <w:rPr>
          <w:noProof/>
          <w:szCs w:val="24"/>
          <w:lang w:eastAsia="pt-BR"/>
        </w:rPr>
      </w:pPr>
      <w:r>
        <w:rPr>
          <w:noProof/>
          <w:szCs w:val="24"/>
          <w:lang w:eastAsia="pt-BR"/>
        </w:rPr>
        <w:drawing>
          <wp:inline distT="0" distB="0" distL="0" distR="0" wp14:anchorId="010B3974" wp14:editId="26A7C406">
            <wp:extent cx="4307051" cy="3228229"/>
            <wp:effectExtent l="19050" t="0" r="0" b="0"/>
            <wp:docPr id="183" name="Imagem 183" descr="Foto 100 Ponto 140 Elevatória de esgoto Avenida Brasil 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Foto 100 Ponto 140 Elevatória de esgoto Avenida Brasil 900.JPG"/>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321625" cy="3239153"/>
                    </a:xfrm>
                    <a:prstGeom prst="rect">
                      <a:avLst/>
                    </a:prstGeom>
                    <a:noFill/>
                    <a:ln>
                      <a:noFill/>
                    </a:ln>
                  </pic:spPr>
                </pic:pic>
              </a:graphicData>
            </a:graphic>
          </wp:inline>
        </w:drawing>
      </w:r>
    </w:p>
    <w:p w:rsidR="00E32574" w:rsidRPr="00192C99" w:rsidRDefault="00832ECA" w:rsidP="00832ECA">
      <w:pPr>
        <w:pStyle w:val="Fonte"/>
        <w:ind w:left="708"/>
        <w:rPr>
          <w:lang w:eastAsia="pt-BR"/>
        </w:rPr>
      </w:pPr>
      <w:r>
        <w:rPr>
          <w:lang w:eastAsia="pt-BR"/>
        </w:rPr>
        <w:t xml:space="preserve">  </w:t>
      </w:r>
      <w:r w:rsidR="00E32574" w:rsidRPr="00192C99">
        <w:rPr>
          <w:lang w:eastAsia="pt-BR"/>
        </w:rPr>
        <w:t>Fonte: Fundação Educacional de Caratinga - FUNEC, 2013.</w:t>
      </w:r>
    </w:p>
    <w:p w:rsidR="00811B32" w:rsidRPr="008C1E98" w:rsidRDefault="00291A25" w:rsidP="00291A25">
      <w:pPr>
        <w:pStyle w:val="Legenda"/>
      </w:pPr>
      <w:bookmarkStart w:id="445" w:name="_Toc372740211"/>
      <w:r>
        <w:lastRenderedPageBreak/>
        <w:t xml:space="preserve">Figura </w:t>
      </w:r>
      <w:fldSimple w:instr=" SEQ Figura \* ARABIC ">
        <w:r w:rsidR="004F77E2">
          <w:rPr>
            <w:noProof/>
          </w:rPr>
          <w:t>128</w:t>
        </w:r>
      </w:fldSimple>
      <w:r>
        <w:t xml:space="preserve"> - </w:t>
      </w:r>
      <w:r w:rsidRPr="00C96D1D">
        <w:rPr>
          <w:noProof/>
        </w:rPr>
        <w:t>Estação Elevatório de Esgoto Avenida Florisvaldo Dias de Oliveira (Local: 24K 0282834 7843440 / Altitude: 77 m).</w:t>
      </w:r>
      <w:bookmarkEnd w:id="445"/>
    </w:p>
    <w:p w:rsidR="00E32574" w:rsidRDefault="00E32574" w:rsidP="003E1CEC">
      <w:pPr>
        <w:spacing w:after="0" w:line="240" w:lineRule="auto"/>
        <w:jc w:val="center"/>
        <w:rPr>
          <w:noProof/>
          <w:szCs w:val="24"/>
          <w:lang w:eastAsia="pt-BR"/>
        </w:rPr>
      </w:pPr>
      <w:r>
        <w:rPr>
          <w:noProof/>
          <w:szCs w:val="24"/>
          <w:lang w:eastAsia="pt-BR"/>
        </w:rPr>
        <w:drawing>
          <wp:inline distT="0" distB="0" distL="0" distR="0" wp14:anchorId="0D17EC75" wp14:editId="69D6EE0D">
            <wp:extent cx="4296445" cy="3220279"/>
            <wp:effectExtent l="19050" t="0" r="8855" b="0"/>
            <wp:docPr id="182" name="Imagem 182" descr="Foto 107 Ponto 145 Elevatória de Esgoto - Avenida Florisvaldo Dias de Olivei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Foto 107 Ponto 145 Elevatória de Esgoto - Avenida Florisvaldo Dias de Oliveira.JPG"/>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319128" cy="3237280"/>
                    </a:xfrm>
                    <a:prstGeom prst="rect">
                      <a:avLst/>
                    </a:prstGeom>
                    <a:noFill/>
                    <a:ln>
                      <a:noFill/>
                    </a:ln>
                  </pic:spPr>
                </pic:pic>
              </a:graphicData>
            </a:graphic>
          </wp:inline>
        </w:drawing>
      </w:r>
    </w:p>
    <w:p w:rsidR="00E32574" w:rsidRPr="00192C99" w:rsidRDefault="00811B32" w:rsidP="00811B32">
      <w:pPr>
        <w:pStyle w:val="Fonte"/>
        <w:ind w:firstLine="708"/>
        <w:rPr>
          <w:lang w:eastAsia="pt-BR"/>
        </w:rPr>
      </w:pPr>
      <w:r>
        <w:rPr>
          <w:lang w:eastAsia="pt-BR"/>
        </w:rPr>
        <w:t xml:space="preserve"> </w:t>
      </w:r>
      <w:r w:rsidR="003E1CEC">
        <w:rPr>
          <w:lang w:eastAsia="pt-BR"/>
        </w:rPr>
        <w:t xml:space="preserve"> </w:t>
      </w:r>
      <w:r w:rsidR="00E32574" w:rsidRPr="00192C99">
        <w:rPr>
          <w:lang w:eastAsia="pt-BR"/>
        </w:rPr>
        <w:t>Fonte: Fundação Educacional de Caratinga - FUNEC, 2013.</w:t>
      </w:r>
    </w:p>
    <w:p w:rsidR="00E32574" w:rsidRPr="004F571D" w:rsidRDefault="00291A25" w:rsidP="00291A25">
      <w:pPr>
        <w:pStyle w:val="Legenda"/>
      </w:pPr>
      <w:bookmarkStart w:id="446" w:name="_Toc372740212"/>
      <w:r>
        <w:t xml:space="preserve">Figura </w:t>
      </w:r>
      <w:fldSimple w:instr=" SEQ Figura \* ARABIC ">
        <w:r w:rsidR="004F77E2">
          <w:rPr>
            <w:noProof/>
          </w:rPr>
          <w:t>129</w:t>
        </w:r>
      </w:fldSimple>
      <w:r>
        <w:t xml:space="preserve"> - </w:t>
      </w:r>
      <w:r w:rsidRPr="002D2980">
        <w:t>Estação Elevatório de Esgoto da Rua Espírito Santo (Local: 24K 0283927 7843490 / Altitude: 80 m).</w:t>
      </w:r>
      <w:bookmarkEnd w:id="446"/>
    </w:p>
    <w:p w:rsidR="00E32574" w:rsidRDefault="00E32574" w:rsidP="003E1CEC">
      <w:pPr>
        <w:spacing w:after="0" w:line="240" w:lineRule="auto"/>
        <w:jc w:val="center"/>
        <w:rPr>
          <w:szCs w:val="24"/>
        </w:rPr>
      </w:pPr>
      <w:r>
        <w:rPr>
          <w:noProof/>
          <w:szCs w:val="24"/>
          <w:lang w:eastAsia="pt-BR"/>
        </w:rPr>
        <w:drawing>
          <wp:inline distT="0" distB="0" distL="0" distR="0" wp14:anchorId="75774AFD" wp14:editId="7C84C165">
            <wp:extent cx="4309607" cy="3230145"/>
            <wp:effectExtent l="19050" t="0" r="0" b="0"/>
            <wp:docPr id="181" name="Imagem 181" descr="Foto 109 Ponto 146 Elevatória de Esgoto Espírito Santo, 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Foto 109 Ponto 146 Elevatória de Esgoto Espírito Santo, 56.JP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326009" cy="3242439"/>
                    </a:xfrm>
                    <a:prstGeom prst="rect">
                      <a:avLst/>
                    </a:prstGeom>
                    <a:noFill/>
                    <a:ln>
                      <a:noFill/>
                    </a:ln>
                  </pic:spPr>
                </pic:pic>
              </a:graphicData>
            </a:graphic>
          </wp:inline>
        </w:drawing>
      </w:r>
    </w:p>
    <w:p w:rsidR="00E32574" w:rsidRPr="00192C99" w:rsidRDefault="003E1CEC" w:rsidP="003E1CEC">
      <w:pPr>
        <w:pStyle w:val="Fonte"/>
        <w:ind w:firstLine="708"/>
        <w:rPr>
          <w:lang w:eastAsia="pt-BR"/>
        </w:rPr>
      </w:pPr>
      <w:r>
        <w:rPr>
          <w:lang w:eastAsia="pt-BR"/>
        </w:rPr>
        <w:t xml:space="preserve"> </w:t>
      </w:r>
      <w:r w:rsidR="00E32574" w:rsidRPr="00192C99">
        <w:rPr>
          <w:lang w:eastAsia="pt-BR"/>
        </w:rPr>
        <w:t>Fonte: Fundação Educacional de Caratinga - FUNEC, 2013.</w:t>
      </w:r>
    </w:p>
    <w:p w:rsidR="00E32574" w:rsidRPr="008C1E98" w:rsidRDefault="00291A25" w:rsidP="00291A25">
      <w:pPr>
        <w:pStyle w:val="Legenda"/>
        <w:rPr>
          <w:b w:val="0"/>
          <w:bCs w:val="0"/>
        </w:rPr>
      </w:pPr>
      <w:bookmarkStart w:id="447" w:name="_Toc372740213"/>
      <w:r>
        <w:lastRenderedPageBreak/>
        <w:t xml:space="preserve">Figura </w:t>
      </w:r>
      <w:fldSimple w:instr=" SEQ Figura \* ARABIC ">
        <w:r w:rsidR="004F77E2">
          <w:rPr>
            <w:noProof/>
          </w:rPr>
          <w:t>130</w:t>
        </w:r>
      </w:fldSimple>
      <w:r>
        <w:t xml:space="preserve"> - </w:t>
      </w:r>
      <w:r w:rsidRPr="0049602F">
        <w:rPr>
          <w:noProof/>
        </w:rPr>
        <w:t>Estação Elevatória de Esgoto da Rua Antônio Baião n° 5 - Bairro Triângulo (Local: 24K 0283911 7843286 / Altitude: 81 m).</w:t>
      </w:r>
      <w:bookmarkEnd w:id="447"/>
    </w:p>
    <w:p w:rsidR="00E32574" w:rsidRDefault="00E32574" w:rsidP="003E1CEC">
      <w:pPr>
        <w:spacing w:after="0" w:line="240" w:lineRule="auto"/>
        <w:jc w:val="center"/>
        <w:rPr>
          <w:szCs w:val="24"/>
        </w:rPr>
      </w:pPr>
      <w:r>
        <w:rPr>
          <w:noProof/>
          <w:szCs w:val="24"/>
          <w:lang w:eastAsia="pt-BR"/>
        </w:rPr>
        <w:drawing>
          <wp:inline distT="0" distB="0" distL="0" distR="0" wp14:anchorId="0BFC38B4" wp14:editId="6618125A">
            <wp:extent cx="4370703" cy="3275938"/>
            <wp:effectExtent l="19050" t="0" r="0" b="0"/>
            <wp:docPr id="180" name="Imagem 180" descr="Foto 116 Ponto 148 Elevatória Triângulo Rua Antonio Baião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Foto 116 Ponto 148 Elevatória Triângulo Rua Antonio Baião 5.JP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383087" cy="3285220"/>
                    </a:xfrm>
                    <a:prstGeom prst="rect">
                      <a:avLst/>
                    </a:prstGeom>
                    <a:noFill/>
                    <a:ln>
                      <a:noFill/>
                    </a:ln>
                  </pic:spPr>
                </pic:pic>
              </a:graphicData>
            </a:graphic>
          </wp:inline>
        </w:drawing>
      </w:r>
    </w:p>
    <w:p w:rsidR="00E32574" w:rsidRPr="00192C99" w:rsidRDefault="003E1CEC" w:rsidP="003E1CEC">
      <w:pPr>
        <w:pStyle w:val="Fonte"/>
        <w:ind w:firstLine="708"/>
        <w:rPr>
          <w:lang w:eastAsia="pt-BR"/>
        </w:rPr>
      </w:pPr>
      <w:r>
        <w:rPr>
          <w:lang w:eastAsia="pt-BR"/>
        </w:rPr>
        <w:t xml:space="preserve"> </w:t>
      </w:r>
      <w:r w:rsidR="00E32574" w:rsidRPr="00192C99">
        <w:rPr>
          <w:lang w:eastAsia="pt-BR"/>
        </w:rPr>
        <w:t>Fonte: Fundação Educacional de Caratinga - FUNEC, 2013.</w:t>
      </w:r>
    </w:p>
    <w:p w:rsidR="003E1CEC" w:rsidRPr="004F571D" w:rsidRDefault="00291A25" w:rsidP="00291A25">
      <w:pPr>
        <w:pStyle w:val="Legenda"/>
      </w:pPr>
      <w:bookmarkStart w:id="448" w:name="_Toc372740214"/>
      <w:r>
        <w:t xml:space="preserve">Figura </w:t>
      </w:r>
      <w:fldSimple w:instr=" SEQ Figura \* ARABIC ">
        <w:r w:rsidR="004F77E2">
          <w:rPr>
            <w:noProof/>
          </w:rPr>
          <w:t>131</w:t>
        </w:r>
      </w:fldSimple>
      <w:r>
        <w:t xml:space="preserve"> - </w:t>
      </w:r>
      <w:r w:rsidRPr="00704563">
        <w:rPr>
          <w:noProof/>
        </w:rPr>
        <w:t>Estação Elevatório de Esgoto da Rua Cabo Benedito n° 26 (Local: 24K 0284279 7843633/ Altitude: 94 m).</w:t>
      </w:r>
      <w:bookmarkEnd w:id="448"/>
    </w:p>
    <w:p w:rsidR="00E32574" w:rsidRDefault="00E32574" w:rsidP="003E1CEC">
      <w:pPr>
        <w:spacing w:after="0" w:line="240" w:lineRule="auto"/>
        <w:jc w:val="center"/>
        <w:rPr>
          <w:szCs w:val="24"/>
        </w:rPr>
      </w:pPr>
      <w:r>
        <w:rPr>
          <w:noProof/>
          <w:szCs w:val="24"/>
          <w:lang w:eastAsia="pt-BR"/>
        </w:rPr>
        <w:drawing>
          <wp:inline distT="0" distB="0" distL="0" distR="0" wp14:anchorId="4484F30B" wp14:editId="3B6CB980">
            <wp:extent cx="4293705" cy="3218225"/>
            <wp:effectExtent l="19050" t="0" r="0" b="0"/>
            <wp:docPr id="179" name="Imagem 179" descr="Foto 9 Ponto 123 Elevatória de esgoto Rua Cabo Benedito,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Foto 9 Ponto 123 Elevatória de esgoto Rua Cabo Benedito,26.JP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310236" cy="3230616"/>
                    </a:xfrm>
                    <a:prstGeom prst="rect">
                      <a:avLst/>
                    </a:prstGeom>
                    <a:noFill/>
                    <a:ln>
                      <a:noFill/>
                    </a:ln>
                  </pic:spPr>
                </pic:pic>
              </a:graphicData>
            </a:graphic>
          </wp:inline>
        </w:drawing>
      </w:r>
    </w:p>
    <w:p w:rsidR="00E32574" w:rsidRDefault="003E1CEC" w:rsidP="003E1CEC">
      <w:pPr>
        <w:pStyle w:val="Fonte"/>
        <w:ind w:firstLine="708"/>
        <w:rPr>
          <w:lang w:eastAsia="pt-BR"/>
        </w:rPr>
      </w:pPr>
      <w:r>
        <w:rPr>
          <w:lang w:eastAsia="pt-BR"/>
        </w:rPr>
        <w:t xml:space="preserve"> </w:t>
      </w:r>
      <w:r w:rsidR="00E32574" w:rsidRPr="00192C99">
        <w:rPr>
          <w:lang w:eastAsia="pt-BR"/>
        </w:rPr>
        <w:t>Fonte: Fundação Educacional de Caratinga - FUNEC, 2013</w:t>
      </w:r>
      <w:r w:rsidR="00E32574">
        <w:rPr>
          <w:lang w:eastAsia="pt-BR"/>
        </w:rPr>
        <w:t>.</w:t>
      </w:r>
    </w:p>
    <w:p w:rsidR="00E32574" w:rsidRPr="000C5DD6" w:rsidRDefault="002B7B98" w:rsidP="00971B37">
      <w:pPr>
        <w:pStyle w:val="Titulo"/>
      </w:pPr>
      <w:bookmarkStart w:id="449" w:name="_Toc372559135"/>
      <w:bookmarkStart w:id="450" w:name="_Toc372789566"/>
      <w:r w:rsidRPr="000C5DD6">
        <w:lastRenderedPageBreak/>
        <w:t xml:space="preserve">12.9.3 </w:t>
      </w:r>
      <w:r w:rsidR="00E32574" w:rsidRPr="000C5DD6">
        <w:t>Reator Anaeróbio de Fluxo Ascendente</w:t>
      </w:r>
      <w:bookmarkEnd w:id="449"/>
      <w:bookmarkEnd w:id="450"/>
      <w:r w:rsidR="00E32574" w:rsidRPr="000C5DD6">
        <w:t xml:space="preserve"> </w:t>
      </w:r>
    </w:p>
    <w:p w:rsidR="00E32574" w:rsidRPr="00052D9C" w:rsidRDefault="00E32574" w:rsidP="002B7B98">
      <w:pPr>
        <w:pStyle w:val="CM73"/>
        <w:spacing w:line="360" w:lineRule="auto"/>
        <w:ind w:firstLine="709"/>
        <w:jc w:val="both"/>
        <w:rPr>
          <w:rFonts w:ascii="Times New Roman" w:hAnsi="Times New Roman" w:cs="Times New Roman"/>
        </w:rPr>
      </w:pPr>
      <w:r w:rsidRPr="00052D9C">
        <w:rPr>
          <w:rFonts w:ascii="Times New Roman" w:hAnsi="Times New Roman" w:cs="Times New Roman"/>
        </w:rPr>
        <w:t xml:space="preserve">A essência dos processos biológicos de tratamento de esgoto está na capacidade dos microrganismos envolvidos utilizarem os compostos orgânicos biodegradáveis, transformando-os em subprodutos que podem ser removidos do sistema de tratamento. Os subprodutos formados podem se apresentar na forma sólida (lodo), líquida (água) e ou gasosa (gás carbônico, metano etc.). </w:t>
      </w:r>
    </w:p>
    <w:p w:rsidR="00E32574" w:rsidRDefault="00E32574" w:rsidP="002B7B98">
      <w:pPr>
        <w:pStyle w:val="CM73"/>
        <w:spacing w:line="360" w:lineRule="auto"/>
        <w:ind w:firstLine="709"/>
        <w:jc w:val="both"/>
        <w:rPr>
          <w:rFonts w:ascii="Times New Roman" w:hAnsi="Times New Roman" w:cs="Times New Roman"/>
        </w:rPr>
      </w:pPr>
      <w:r w:rsidRPr="00052D9C">
        <w:rPr>
          <w:rFonts w:ascii="Times New Roman" w:hAnsi="Times New Roman" w:cs="Times New Roman"/>
        </w:rPr>
        <w:t xml:space="preserve">O Reator UASB é uma tecnologia de tratamento biológico de esgotos baseada na decomposição anaeróbia da matéria orgânica. </w:t>
      </w:r>
      <w:r>
        <w:rPr>
          <w:rFonts w:ascii="Times New Roman" w:hAnsi="Times New Roman" w:cs="Times New Roman"/>
        </w:rPr>
        <w:t xml:space="preserve">UASB significa </w:t>
      </w:r>
      <w:r w:rsidRPr="004A4D4F">
        <w:rPr>
          <w:rFonts w:ascii="Times New Roman" w:hAnsi="Times New Roman" w:cs="Times New Roman"/>
          <w:i/>
        </w:rPr>
        <w:t>Upflow Anaerobic Sludge Blanket</w:t>
      </w:r>
      <w:r>
        <w:rPr>
          <w:rFonts w:ascii="Times New Roman" w:hAnsi="Times New Roman" w:cs="Times New Roman"/>
        </w:rPr>
        <w:t xml:space="preserve">, ou </w:t>
      </w:r>
      <w:r w:rsidRPr="004A4D4F">
        <w:rPr>
          <w:rFonts w:ascii="Times New Roman" w:hAnsi="Times New Roman" w:cs="Times New Roman"/>
        </w:rPr>
        <w:t>Reator Anaeróbico de Fluxo Ascendente em</w:t>
      </w:r>
      <w:r>
        <w:rPr>
          <w:rFonts w:ascii="Times New Roman" w:hAnsi="Times New Roman" w:cs="Times New Roman"/>
        </w:rPr>
        <w:t xml:space="preserve"> Manto de Lodo, a mais popular </w:t>
      </w:r>
      <w:r w:rsidRPr="004A4D4F">
        <w:rPr>
          <w:rFonts w:ascii="Times New Roman" w:hAnsi="Times New Roman" w:cs="Times New Roman"/>
        </w:rPr>
        <w:t xml:space="preserve">concepção de reatores anaeróbicos do mundo, </w:t>
      </w:r>
      <w:r>
        <w:rPr>
          <w:rFonts w:ascii="Times New Roman" w:hAnsi="Times New Roman" w:cs="Times New Roman"/>
        </w:rPr>
        <w:t xml:space="preserve">denominada no Brasil de RAFA - </w:t>
      </w:r>
      <w:r w:rsidRPr="004A4D4F">
        <w:rPr>
          <w:rFonts w:ascii="Times New Roman" w:hAnsi="Times New Roman" w:cs="Times New Roman"/>
        </w:rPr>
        <w:t>Reator Anaeróbico de Fluxo Ascendente</w:t>
      </w:r>
      <w:r>
        <w:rPr>
          <w:rFonts w:ascii="Times New Roman" w:hAnsi="Times New Roman" w:cs="Times New Roman"/>
        </w:rPr>
        <w:t xml:space="preserve">. </w:t>
      </w:r>
      <w:r w:rsidRPr="00052D9C">
        <w:rPr>
          <w:rFonts w:ascii="Times New Roman" w:hAnsi="Times New Roman" w:cs="Times New Roman"/>
        </w:rPr>
        <w:t>Consiste em uma coluna de escoamento ascendente, composta de uma zona de digestão, uma zona de sedimentação, e o dispositivo separador de fases gás-sólido-líquido. O esgoto aflui ao reator e após ser distribuído pelo seu fundo, segue uma trajetória ascendente, desde a sua parte mais baixa, até encontrar a manta de lodo, onde ocorre a mistura, a biodegradação e a digestão anaeróbia do conteúdo orgânico, tendo como subproduto a geração de gases metano, carbônico e sulfídrico. Ainda em escoamento ascendente, e através de passagens definidas pela estrutura dos dispositivos de coleta de gases e de sedimentação, o esgoto alcança a zona de sedimentação. A manutenção de um leito de sólidos em suspensão constitui a manta de lodo, e em função do fluxo contínuo e ascendente de esgotos, nesta é que ocorre a decomposição do substrato orgânico pel</w:t>
      </w:r>
      <w:r>
        <w:rPr>
          <w:rFonts w:ascii="Times New Roman" w:hAnsi="Times New Roman" w:cs="Times New Roman"/>
        </w:rPr>
        <w:t>a ação de organismos anaeróbios (UFRJ, 2013).</w:t>
      </w:r>
    </w:p>
    <w:p w:rsidR="00E32574" w:rsidRPr="004A4D4F" w:rsidRDefault="00E32574" w:rsidP="002B7B98">
      <w:pPr>
        <w:pStyle w:val="CM73"/>
        <w:spacing w:line="360" w:lineRule="auto"/>
        <w:ind w:firstLine="709"/>
        <w:jc w:val="both"/>
        <w:rPr>
          <w:rFonts w:ascii="Times New Roman" w:hAnsi="Times New Roman" w:cs="Times New Roman"/>
        </w:rPr>
      </w:pPr>
      <w:r w:rsidRPr="004A4D4F">
        <w:rPr>
          <w:rFonts w:ascii="Times New Roman" w:hAnsi="Times New Roman" w:cs="Times New Roman"/>
        </w:rPr>
        <w:t>O tratamento de esgotos utilizando reator UASB constitui um método eficiente e relativamente de baixo custo para se removerem matéria orgânica e sólidos em suspensão, diminuindo consideravelmente o potencial poluidor dos esgotos após o tratamento (Bezerra et al.,1998).</w:t>
      </w:r>
    </w:p>
    <w:p w:rsidR="00E32574" w:rsidRPr="004A4D4F" w:rsidRDefault="00E32574" w:rsidP="002B7B98">
      <w:pPr>
        <w:pStyle w:val="CM73"/>
        <w:spacing w:line="360" w:lineRule="auto"/>
        <w:ind w:firstLine="709"/>
        <w:jc w:val="both"/>
        <w:rPr>
          <w:rFonts w:ascii="Times New Roman" w:hAnsi="Times New Roman" w:cs="Times New Roman"/>
        </w:rPr>
      </w:pPr>
      <w:r w:rsidRPr="004A4D4F">
        <w:rPr>
          <w:rFonts w:ascii="Times New Roman" w:hAnsi="Times New Roman" w:cs="Times New Roman"/>
        </w:rPr>
        <w:t>Para um mesmo tempo de detenção a razão área/profundidade não influi marcadamente sobre a eficiência de remoção do material orgânico e a massa de sólidos voláteis varia muito pouco com o tempo de detenção e a configuração dos reatores (</w:t>
      </w:r>
      <w:r w:rsidR="002B7B98" w:rsidRPr="004A4D4F">
        <w:rPr>
          <w:rFonts w:ascii="Times New Roman" w:hAnsi="Times New Roman" w:cs="Times New Roman"/>
        </w:rPr>
        <w:t>SOUSA</w:t>
      </w:r>
      <w:r w:rsidRPr="004A4D4F">
        <w:rPr>
          <w:rFonts w:ascii="Times New Roman" w:hAnsi="Times New Roman" w:cs="Times New Roman"/>
        </w:rPr>
        <w:t xml:space="preserve"> et al., 1998).</w:t>
      </w:r>
    </w:p>
    <w:p w:rsidR="00E32574" w:rsidRPr="004A4D4F" w:rsidRDefault="00E32574" w:rsidP="002B7B98">
      <w:pPr>
        <w:pStyle w:val="CM73"/>
        <w:spacing w:line="360" w:lineRule="auto"/>
        <w:ind w:firstLine="709"/>
        <w:jc w:val="both"/>
        <w:rPr>
          <w:rFonts w:ascii="Times New Roman" w:hAnsi="Times New Roman" w:cs="Times New Roman"/>
        </w:rPr>
      </w:pPr>
      <w:r w:rsidRPr="004A4D4F">
        <w:rPr>
          <w:rFonts w:ascii="Times New Roman" w:hAnsi="Times New Roman" w:cs="Times New Roman"/>
        </w:rPr>
        <w:t xml:space="preserve">Enquanto o reator não estiver cheio de lodo, uma parte do lodo produzido </w:t>
      </w:r>
      <w:r w:rsidRPr="004A4D4F">
        <w:rPr>
          <w:rFonts w:ascii="Times New Roman" w:hAnsi="Times New Roman" w:cs="Times New Roman"/>
        </w:rPr>
        <w:lastRenderedPageBreak/>
        <w:t>acumular-se-á no seu interior, enquanto outra parcela será descarregada junto com o afluente. Esta parte descarregada cresce com a redução do tempo de detenção hidráulica Para evitar que o lodo produzido seja descarregado junto com o efluente, diminuindo a qualidade, periodicamente são executadas descargas de lodo de modo a aliviar o volume de material sólido acumulado no interior do reator. Normalmente a capacidade de digestão do lodo acumulado num reator UASB tratando esgoto doméstico é muito maior do que a carga orgânica de modo que se pode dar descargas grandes de lodo de excesso sem prejudicar a eficiência ou a estabilidade operacional do reator. Segundo Medeiros et al., 1998, para tempos de detenção hidráulica de 4 a 8 horas é possível dar descargas de 50 a 60% da massa de lodo sem prejuízo do seu desempenho. Descargas de 80 % resultam numa redução temporária da eficiência de remoção da DQO e um aumento da concentração de ácidos voláteis no efluente, sem contudo ame</w:t>
      </w:r>
      <w:r>
        <w:rPr>
          <w:rFonts w:ascii="Times New Roman" w:hAnsi="Times New Roman" w:cs="Times New Roman"/>
        </w:rPr>
        <w:t>açar a estabilidade operacional (FERNANDES, 2013).</w:t>
      </w:r>
    </w:p>
    <w:p w:rsidR="00E32574" w:rsidRPr="004A4D4F" w:rsidRDefault="00E32574" w:rsidP="002B7B98">
      <w:pPr>
        <w:pStyle w:val="CM73"/>
        <w:spacing w:line="360" w:lineRule="auto"/>
        <w:ind w:firstLine="709"/>
        <w:jc w:val="both"/>
        <w:rPr>
          <w:rFonts w:ascii="Times New Roman" w:hAnsi="Times New Roman" w:cs="Times New Roman"/>
        </w:rPr>
      </w:pPr>
      <w:r w:rsidRPr="004A4D4F">
        <w:rPr>
          <w:rFonts w:ascii="Times New Roman" w:hAnsi="Times New Roman" w:cs="Times New Roman"/>
        </w:rPr>
        <w:t xml:space="preserve">O lodo também pode conter uma fração orgânica inerte que se origina da floculação de matéria orgânica biodegradável, mas particulada presente no afluente e, dependendo das condições operacionais, é possível que apareçam no efluente juntamente com outras partículas não metabolizadas, resultante de inadequadas condições hidráulicas ou de população bacteriana insuficiente. Outro problema que pode afetar o rendimento é </w:t>
      </w:r>
      <w:r w:rsidR="002B7B98">
        <w:rPr>
          <w:rFonts w:ascii="Times New Roman" w:hAnsi="Times New Roman" w:cs="Times New Roman"/>
        </w:rPr>
        <w:t xml:space="preserve">o </w:t>
      </w:r>
      <w:r w:rsidRPr="004A4D4F">
        <w:rPr>
          <w:rFonts w:ascii="Times New Roman" w:hAnsi="Times New Roman" w:cs="Times New Roman"/>
        </w:rPr>
        <w:t>volume do resíduo endógeno que, sabe-se, cresce com o prolongamento do período d</w:t>
      </w:r>
      <w:r>
        <w:rPr>
          <w:rFonts w:ascii="Times New Roman" w:hAnsi="Times New Roman" w:cs="Times New Roman"/>
        </w:rPr>
        <w:t>e atividade da massa bacteriana (FERNANDES, 2013).</w:t>
      </w:r>
    </w:p>
    <w:p w:rsidR="00E32574" w:rsidRPr="004A4D4F" w:rsidRDefault="00E32574" w:rsidP="002B7B98">
      <w:pPr>
        <w:pStyle w:val="CM73"/>
        <w:spacing w:line="360" w:lineRule="auto"/>
        <w:ind w:firstLine="709"/>
        <w:jc w:val="both"/>
        <w:rPr>
          <w:rFonts w:ascii="Times New Roman" w:hAnsi="Times New Roman" w:cs="Times New Roman"/>
        </w:rPr>
      </w:pPr>
      <w:r w:rsidRPr="004A4D4F">
        <w:rPr>
          <w:rFonts w:ascii="Times New Roman" w:hAnsi="Times New Roman" w:cs="Times New Roman"/>
        </w:rPr>
        <w:t xml:space="preserve">À primeira vista, a grande vantagem de um UASB, relacionando com a sua eficiência de remoção de DBO e de sólidos, é o seu curto tempo de detenção hidráulica, em torno de 6 horas para remoção de cerca de 80 por cento da DBO e 75 por cento dos sólidos em suspensão! Em sistemas de lodo ativado e em lagoas de estabilização o tempo de permanência é da ordem de 12 a 24 h e </w:t>
      </w:r>
      <w:r>
        <w:rPr>
          <w:rFonts w:ascii="Times New Roman" w:hAnsi="Times New Roman" w:cs="Times New Roman"/>
        </w:rPr>
        <w:t>de 20 a 30 dias respectivamente (FERNANDES, 2013).</w:t>
      </w:r>
    </w:p>
    <w:p w:rsidR="00E32574" w:rsidRPr="004A4D4F" w:rsidRDefault="00E32574" w:rsidP="007540B9">
      <w:pPr>
        <w:pStyle w:val="CM73"/>
        <w:spacing w:line="360" w:lineRule="auto"/>
        <w:ind w:firstLine="709"/>
        <w:jc w:val="both"/>
        <w:rPr>
          <w:rFonts w:ascii="Times New Roman" w:hAnsi="Times New Roman" w:cs="Times New Roman"/>
        </w:rPr>
      </w:pPr>
      <w:r w:rsidRPr="004A4D4F">
        <w:rPr>
          <w:rFonts w:ascii="Times New Roman" w:hAnsi="Times New Roman" w:cs="Times New Roman"/>
        </w:rPr>
        <w:t xml:space="preserve">Segundo van Haandel e Catunda (1995), apoiados em estudos desenvolvidos com um reator em escala real, tratando os esgotos domésticos gerados pela população do Bairro do Pedregal, Campina Grande, Paraíba, além das vantagens inerentes dos processos anaeróbios, os reatores UASB podem se tornar uma opção viável pois podem </w:t>
      </w:r>
      <w:r w:rsidRPr="004A4D4F">
        <w:rPr>
          <w:rFonts w:ascii="Times New Roman" w:hAnsi="Times New Roman" w:cs="Times New Roman"/>
        </w:rPr>
        <w:lastRenderedPageBreak/>
        <w:t>ser aplicados em vários pontos da rede de esgoto, "pulverizando-se" assim o sistema de tratamento, o que reduz significativamente os custos de construção da rede coletora e de condutores de esgoto. Ainda segundo os mesmos autores, requerem menor área de construção (aproximadamente 0,01 m</w:t>
      </w:r>
      <w:r w:rsidRPr="00830619">
        <w:rPr>
          <w:rFonts w:ascii="Times New Roman" w:hAnsi="Times New Roman" w:cs="Times New Roman"/>
          <w:vertAlign w:val="superscript"/>
        </w:rPr>
        <w:t>2</w:t>
      </w:r>
      <w:r w:rsidRPr="004A4D4F">
        <w:rPr>
          <w:rFonts w:ascii="Times New Roman" w:hAnsi="Times New Roman" w:cs="Times New Roman"/>
        </w:rPr>
        <w:t xml:space="preserve"> por habitante (lagoas de estabilização necessitam de 3 ou 4 m</w:t>
      </w:r>
      <w:r w:rsidRPr="00830619">
        <w:rPr>
          <w:rFonts w:ascii="Times New Roman" w:hAnsi="Times New Roman" w:cs="Times New Roman"/>
          <w:vertAlign w:val="superscript"/>
        </w:rPr>
        <w:t>2</w:t>
      </w:r>
      <w:r w:rsidRPr="004A4D4F">
        <w:rPr>
          <w:rFonts w:ascii="Times New Roman" w:hAnsi="Times New Roman" w:cs="Times New Roman"/>
        </w:rPr>
        <w:t xml:space="preserve"> por habitante).</w:t>
      </w:r>
    </w:p>
    <w:p w:rsidR="00E32574" w:rsidRPr="004A4D4F" w:rsidRDefault="00E32574" w:rsidP="007540B9">
      <w:pPr>
        <w:pStyle w:val="CM73"/>
        <w:spacing w:line="360" w:lineRule="auto"/>
        <w:ind w:firstLine="709"/>
        <w:jc w:val="both"/>
        <w:rPr>
          <w:rFonts w:ascii="Times New Roman" w:hAnsi="Times New Roman" w:cs="Times New Roman"/>
        </w:rPr>
      </w:pPr>
      <w:r w:rsidRPr="004A4D4F">
        <w:rPr>
          <w:rFonts w:ascii="Times New Roman" w:hAnsi="Times New Roman" w:cs="Times New Roman"/>
        </w:rPr>
        <w:t>A razão área/profundidade não tem influência significativa sobre o seu desempenho, podendo os valores de área em planta e a profundidade serem determinados principalmente pelos custos de construção e as características do terreno disponível para sua construção (</w:t>
      </w:r>
      <w:r w:rsidR="007540B9" w:rsidRPr="004A4D4F">
        <w:rPr>
          <w:rFonts w:ascii="Times New Roman" w:hAnsi="Times New Roman" w:cs="Times New Roman"/>
        </w:rPr>
        <w:t>SOUSA</w:t>
      </w:r>
      <w:r w:rsidRPr="004A4D4F">
        <w:rPr>
          <w:rFonts w:ascii="Times New Roman" w:hAnsi="Times New Roman" w:cs="Times New Roman"/>
        </w:rPr>
        <w:t xml:space="preserve"> et al., 1998).</w:t>
      </w:r>
    </w:p>
    <w:p w:rsidR="00E32574" w:rsidRPr="004A4D4F" w:rsidRDefault="00E32574" w:rsidP="007540B9">
      <w:pPr>
        <w:pStyle w:val="CM73"/>
        <w:spacing w:line="360" w:lineRule="auto"/>
        <w:ind w:firstLine="709"/>
        <w:jc w:val="both"/>
        <w:rPr>
          <w:rFonts w:ascii="Times New Roman" w:hAnsi="Times New Roman" w:cs="Times New Roman"/>
        </w:rPr>
      </w:pPr>
      <w:r w:rsidRPr="004A4D4F">
        <w:rPr>
          <w:rFonts w:ascii="Times New Roman" w:hAnsi="Times New Roman" w:cs="Times New Roman"/>
        </w:rPr>
        <w:t>O UASB não causa transtornos para a população beneficiada: O sistema é "invisível" (enterrado), não espalha odores e não causa proliferação de insetos</w:t>
      </w:r>
      <w:r w:rsidR="007540B9">
        <w:rPr>
          <w:rFonts w:ascii="Times New Roman" w:hAnsi="Times New Roman" w:cs="Times New Roman"/>
        </w:rPr>
        <w:t>,</w:t>
      </w:r>
      <w:r w:rsidRPr="004A4D4F">
        <w:rPr>
          <w:rFonts w:ascii="Times New Roman" w:hAnsi="Times New Roman" w:cs="Times New Roman"/>
        </w:rPr>
        <w:t xml:space="preserve"> a produção de lodo biológico é pequena e o lodo de excesso já sai estabilizado e com concentração elevada, podendo ser secado diretamente em leitos de secagem. Operação e manutenção são extremamente simples podendo ser feito por pessoal não especializado: precisa-se reter areia e desentupir tubulações obstruídas. A construção do UASB é simples podendo ser usados materiais e mão de obra locais. O custo de construção e de operação tendem a ser bem menores que os de outros sistemas de tratamento de esgoto (</w:t>
      </w:r>
      <w:r w:rsidR="007540B9" w:rsidRPr="004A4D4F">
        <w:rPr>
          <w:rFonts w:ascii="Times New Roman" w:hAnsi="Times New Roman" w:cs="Times New Roman"/>
        </w:rPr>
        <w:t>VAN HAANDEL</w:t>
      </w:r>
      <w:r w:rsidRPr="004A4D4F">
        <w:rPr>
          <w:rFonts w:ascii="Times New Roman" w:hAnsi="Times New Roman" w:cs="Times New Roman"/>
        </w:rPr>
        <w:t xml:space="preserve"> e </w:t>
      </w:r>
      <w:r w:rsidR="007540B9" w:rsidRPr="004A4D4F">
        <w:rPr>
          <w:rFonts w:ascii="Times New Roman" w:hAnsi="Times New Roman" w:cs="Times New Roman"/>
        </w:rPr>
        <w:t>CATUNDA</w:t>
      </w:r>
      <w:r w:rsidRPr="004A4D4F">
        <w:rPr>
          <w:rFonts w:ascii="Times New Roman" w:hAnsi="Times New Roman" w:cs="Times New Roman"/>
        </w:rPr>
        <w:t>, 1996).</w:t>
      </w:r>
    </w:p>
    <w:p w:rsidR="00E32574" w:rsidRDefault="00E32574" w:rsidP="007540B9">
      <w:pPr>
        <w:pStyle w:val="CM73"/>
        <w:spacing w:line="360" w:lineRule="auto"/>
        <w:ind w:firstLine="709"/>
        <w:jc w:val="both"/>
        <w:rPr>
          <w:rFonts w:ascii="Times New Roman" w:hAnsi="Times New Roman" w:cs="Times New Roman"/>
        </w:rPr>
      </w:pPr>
      <w:r w:rsidRPr="004A4D4F">
        <w:rPr>
          <w:rFonts w:ascii="Times New Roman" w:hAnsi="Times New Roman" w:cs="Times New Roman"/>
        </w:rPr>
        <w:t>Porém, é de conhecimento geral que uma significativa desvantagem do UASB seria sua baixa eficiência quanto à remoção de patógenos e nutrientes, sendo isto bastante compreensível, considerando-se o baixo tempo de detenção hidráulica deste tipo de reator. Entretanto, já foi demonstrado que este tipo de reator pode ser usado, por exemplo, em combinação com lagoas de estabilização, podendo-se obter um efluente de boa qualidade higiênica em um sistema que ocupa menos que metade da área necessária para um sistema de lagoas convencionais (</w:t>
      </w:r>
      <w:r w:rsidR="007540B9" w:rsidRPr="004A4D4F">
        <w:rPr>
          <w:rFonts w:ascii="Times New Roman" w:hAnsi="Times New Roman" w:cs="Times New Roman"/>
        </w:rPr>
        <w:t>DIXO</w:t>
      </w:r>
      <w:r w:rsidRPr="004A4D4F">
        <w:rPr>
          <w:rFonts w:ascii="Times New Roman" w:hAnsi="Times New Roman" w:cs="Times New Roman"/>
        </w:rPr>
        <w:t xml:space="preserve"> et al., 1995). Por outro lado, a combinação do UASB com um sistema de lodo ativado permite obter uma qualidade excelente do efluente, tendo-se menos que metade do volume de reatores, da produção de lodo e do consumo de oxigênio de um sistema convencional de lodo ativado. Dessa maneira, tanto no caso de se aplicar lagoas de estabilização como no caso de lodo ativado é sempre uma excelente providência ter um reator UASB como pré-tratamento de águas residuárias </w:t>
      </w:r>
      <w:r w:rsidRPr="004A4D4F">
        <w:rPr>
          <w:rFonts w:ascii="Times New Roman" w:hAnsi="Times New Roman" w:cs="Times New Roman"/>
        </w:rPr>
        <w:lastRenderedPageBreak/>
        <w:t>domésticas (</w:t>
      </w:r>
      <w:r w:rsidR="007540B9" w:rsidRPr="004A4D4F">
        <w:rPr>
          <w:rFonts w:ascii="Times New Roman" w:hAnsi="Times New Roman" w:cs="Times New Roman"/>
        </w:rPr>
        <w:t>HAANDEL</w:t>
      </w:r>
      <w:r w:rsidRPr="004A4D4F">
        <w:rPr>
          <w:rFonts w:ascii="Times New Roman" w:hAnsi="Times New Roman" w:cs="Times New Roman"/>
        </w:rPr>
        <w:t xml:space="preserve"> e </w:t>
      </w:r>
      <w:r w:rsidR="007540B9" w:rsidRPr="004A4D4F">
        <w:rPr>
          <w:rFonts w:ascii="Times New Roman" w:hAnsi="Times New Roman" w:cs="Times New Roman"/>
        </w:rPr>
        <w:t>CATUNDA</w:t>
      </w:r>
      <w:r w:rsidRPr="004A4D4F">
        <w:rPr>
          <w:rFonts w:ascii="Times New Roman" w:hAnsi="Times New Roman" w:cs="Times New Roman"/>
        </w:rPr>
        <w:t>, 1995).</w:t>
      </w:r>
    </w:p>
    <w:p w:rsidR="00E32574" w:rsidRPr="002D7309" w:rsidRDefault="00E32574" w:rsidP="007540B9">
      <w:pPr>
        <w:pStyle w:val="CM73"/>
        <w:spacing w:line="360" w:lineRule="auto"/>
        <w:ind w:firstLine="709"/>
        <w:jc w:val="both"/>
        <w:rPr>
          <w:rFonts w:ascii="Times New Roman" w:hAnsi="Times New Roman" w:cs="Times New Roman"/>
          <w:spacing w:val="-4"/>
        </w:rPr>
      </w:pPr>
      <w:r w:rsidRPr="002D7309">
        <w:rPr>
          <w:rFonts w:ascii="Times New Roman" w:hAnsi="Times New Roman" w:cs="Times New Roman"/>
          <w:spacing w:val="-4"/>
        </w:rPr>
        <w:t>O reator utilizado para o tratamento de esgoto na sede de Aimorés possui uma vazão tratada de 25 L.s</w:t>
      </w:r>
      <w:r w:rsidRPr="002D7309">
        <w:rPr>
          <w:rFonts w:ascii="Times New Roman" w:hAnsi="Times New Roman" w:cs="Times New Roman"/>
          <w:spacing w:val="-4"/>
          <w:vertAlign w:val="superscript"/>
        </w:rPr>
        <w:t>-1</w:t>
      </w:r>
      <w:r w:rsidRPr="002D7309">
        <w:rPr>
          <w:rFonts w:ascii="Times New Roman" w:hAnsi="Times New Roman" w:cs="Times New Roman"/>
          <w:spacing w:val="-4"/>
        </w:rPr>
        <w:t xml:space="preserve">, o nível de tratamento é secundário e o método de medição é Edsa pershell. Em relação ao estado de conservação do reator, há a necessidade de reparos na sua estrutura, uma vez que apresenta parte de vazamento de gases e oxidação nas paredes. </w:t>
      </w:r>
    </w:p>
    <w:p w:rsidR="00E32574" w:rsidRDefault="00E32574" w:rsidP="007540B9">
      <w:pPr>
        <w:pStyle w:val="CM73"/>
        <w:spacing w:line="360" w:lineRule="auto"/>
        <w:ind w:firstLine="709"/>
        <w:jc w:val="both"/>
        <w:rPr>
          <w:sz w:val="22"/>
          <w:szCs w:val="22"/>
        </w:rPr>
      </w:pPr>
      <w:r w:rsidRPr="005A139C">
        <w:rPr>
          <w:rFonts w:ascii="Times New Roman" w:hAnsi="Times New Roman" w:cs="Times New Roman"/>
        </w:rPr>
        <w:t xml:space="preserve">O SAAE é obrigado pela legislação (resolução do Conselho Nacional do Meio Ambiente - CONAMA nº. 430, de 13 de maio de 2011 e artigo 34 da resolução CONAMA nº. 357) a realizar o controle dos efluentes que estão sendo lançados nos corpos hídricos de Aimorés. Como somente a ETE de Aimorés está em atividade, ela tem suas análises realizadas, e os padrões dos parâmetros estão dentro do esperado, </w:t>
      </w:r>
      <w:r>
        <w:rPr>
          <w:rFonts w:ascii="Times New Roman" w:hAnsi="Times New Roman" w:cs="Times New Roman"/>
        </w:rPr>
        <w:t xml:space="preserve">porém para os parâmetros Nitrogênio amoniacal e Fenóis totais não atendem aos limites estabelecidos pela Resolução CONAMA 430/2011. </w:t>
      </w:r>
      <w:r w:rsidR="007540B9">
        <w:rPr>
          <w:rFonts w:ascii="Times New Roman" w:hAnsi="Times New Roman" w:cs="Times New Roman"/>
        </w:rPr>
        <w:t>Com o</w:t>
      </w:r>
      <w:r>
        <w:rPr>
          <w:rFonts w:ascii="Times New Roman" w:hAnsi="Times New Roman" w:cs="Times New Roman"/>
        </w:rPr>
        <w:t>s dados do laboratório cedido</w:t>
      </w:r>
      <w:r w:rsidR="007540B9">
        <w:rPr>
          <w:rFonts w:ascii="Times New Roman" w:hAnsi="Times New Roman" w:cs="Times New Roman"/>
        </w:rPr>
        <w:t>s</w:t>
      </w:r>
      <w:r>
        <w:rPr>
          <w:rFonts w:ascii="Times New Roman" w:hAnsi="Times New Roman" w:cs="Times New Roman"/>
        </w:rPr>
        <w:t xml:space="preserve"> pela SAAE foi elaborado a Tabela </w:t>
      </w:r>
      <w:r w:rsidR="007540B9">
        <w:rPr>
          <w:rFonts w:ascii="Times New Roman" w:hAnsi="Times New Roman" w:cs="Times New Roman"/>
        </w:rPr>
        <w:t>1</w:t>
      </w:r>
      <w:r w:rsidR="00B87BA2">
        <w:rPr>
          <w:rFonts w:ascii="Times New Roman" w:hAnsi="Times New Roman" w:cs="Times New Roman"/>
        </w:rPr>
        <w:t>1</w:t>
      </w:r>
      <w:r>
        <w:rPr>
          <w:rFonts w:ascii="Times New Roman" w:hAnsi="Times New Roman" w:cs="Times New Roman"/>
        </w:rPr>
        <w:t>.</w:t>
      </w:r>
      <w:r>
        <w:rPr>
          <w:sz w:val="22"/>
          <w:szCs w:val="22"/>
        </w:rPr>
        <w:t xml:space="preserve"> </w:t>
      </w:r>
    </w:p>
    <w:p w:rsidR="00E32574" w:rsidRDefault="00A80257" w:rsidP="00A80257">
      <w:pPr>
        <w:pStyle w:val="Legenda"/>
        <w:rPr>
          <w:rFonts w:ascii="Arial" w:hAnsi="Arial" w:cs="Arial"/>
          <w:color w:val="000000"/>
          <w:sz w:val="20"/>
        </w:rPr>
      </w:pPr>
      <w:bookmarkStart w:id="451" w:name="_Toc372740359"/>
      <w:r>
        <w:t xml:space="preserve">Tabela </w:t>
      </w:r>
      <w:fldSimple w:instr=" SEQ Tabela \* ARABIC ">
        <w:r w:rsidR="004F77E2">
          <w:rPr>
            <w:noProof/>
          </w:rPr>
          <w:t>11</w:t>
        </w:r>
      </w:fldSimple>
      <w:r>
        <w:t xml:space="preserve"> - </w:t>
      </w:r>
      <w:r w:rsidRPr="00046FE6">
        <w:rPr>
          <w:noProof/>
        </w:rPr>
        <w:t>Resultados médios das análises de eficiência da ETE Aimorés.</w:t>
      </w:r>
      <w:bookmarkEnd w:id="451"/>
    </w:p>
    <w:tbl>
      <w:tblPr>
        <w:tblW w:w="7944" w:type="dxa"/>
        <w:jc w:val="center"/>
        <w:tblLayout w:type="fixed"/>
        <w:tblLook w:val="0000" w:firstRow="0" w:lastRow="0" w:firstColumn="0" w:lastColumn="0" w:noHBand="0" w:noVBand="0"/>
      </w:tblPr>
      <w:tblGrid>
        <w:gridCol w:w="2666"/>
        <w:gridCol w:w="1159"/>
        <w:gridCol w:w="1984"/>
        <w:gridCol w:w="1109"/>
        <w:gridCol w:w="1026"/>
      </w:tblGrid>
      <w:tr w:rsidR="00E32574" w:rsidRPr="005243F8" w:rsidTr="00E32574">
        <w:trPr>
          <w:trHeight w:val="485"/>
          <w:tblHeader/>
          <w:jc w:val="center"/>
        </w:trPr>
        <w:tc>
          <w:tcPr>
            <w:tcW w:w="2666" w:type="dxa"/>
            <w:tcBorders>
              <w:top w:val="single" w:sz="6" w:space="0" w:color="000000"/>
              <w:left w:val="single" w:sz="2" w:space="0" w:color="000000"/>
              <w:bottom w:val="single" w:sz="6" w:space="0" w:color="000000"/>
              <w:right w:val="single" w:sz="4" w:space="0" w:color="000000"/>
            </w:tcBorders>
            <w:shd w:val="clear" w:color="auto" w:fill="E5E5E5"/>
            <w:vAlign w:val="center"/>
          </w:tcPr>
          <w:p w:rsidR="00E32574" w:rsidRPr="005243F8" w:rsidRDefault="00E32574" w:rsidP="007540B9">
            <w:pPr>
              <w:pStyle w:val="Default"/>
              <w:spacing w:before="120" w:after="120"/>
              <w:jc w:val="center"/>
              <w:rPr>
                <w:rFonts w:ascii="Times New Roman" w:hAnsi="Times New Roman" w:cs="Times New Roman"/>
                <w:sz w:val="22"/>
                <w:szCs w:val="22"/>
              </w:rPr>
            </w:pPr>
            <w:r w:rsidRPr="005243F8">
              <w:rPr>
                <w:rFonts w:ascii="Times New Roman" w:hAnsi="Times New Roman" w:cs="Times New Roman"/>
                <w:b/>
                <w:bCs/>
                <w:sz w:val="22"/>
                <w:szCs w:val="22"/>
              </w:rPr>
              <w:t>Parâmetro</w:t>
            </w:r>
          </w:p>
        </w:tc>
        <w:tc>
          <w:tcPr>
            <w:tcW w:w="1159" w:type="dxa"/>
            <w:tcBorders>
              <w:top w:val="single" w:sz="6" w:space="0" w:color="000000"/>
              <w:left w:val="single" w:sz="4" w:space="0" w:color="000000"/>
              <w:bottom w:val="single" w:sz="6" w:space="0" w:color="000000"/>
              <w:right w:val="single" w:sz="4" w:space="0" w:color="000000"/>
            </w:tcBorders>
            <w:shd w:val="clear" w:color="auto" w:fill="E5E5E5"/>
            <w:vAlign w:val="center"/>
          </w:tcPr>
          <w:p w:rsidR="00E32574" w:rsidRPr="005243F8" w:rsidRDefault="00E32574" w:rsidP="007540B9">
            <w:pPr>
              <w:pStyle w:val="Default"/>
              <w:spacing w:before="120" w:after="120"/>
              <w:jc w:val="center"/>
              <w:rPr>
                <w:rFonts w:ascii="Times New Roman" w:hAnsi="Times New Roman" w:cs="Times New Roman"/>
                <w:sz w:val="22"/>
                <w:szCs w:val="22"/>
              </w:rPr>
            </w:pPr>
            <w:r w:rsidRPr="005243F8">
              <w:rPr>
                <w:rFonts w:ascii="Times New Roman" w:hAnsi="Times New Roman" w:cs="Times New Roman"/>
                <w:b/>
                <w:bCs/>
                <w:sz w:val="22"/>
                <w:szCs w:val="22"/>
              </w:rPr>
              <w:t>Unidade</w:t>
            </w:r>
          </w:p>
        </w:tc>
        <w:tc>
          <w:tcPr>
            <w:tcW w:w="1984" w:type="dxa"/>
            <w:tcBorders>
              <w:top w:val="single" w:sz="6" w:space="0" w:color="000000"/>
              <w:left w:val="single" w:sz="4" w:space="0" w:color="000000"/>
              <w:bottom w:val="single" w:sz="6" w:space="0" w:color="000000"/>
              <w:right w:val="single" w:sz="4" w:space="0" w:color="000000"/>
            </w:tcBorders>
            <w:shd w:val="clear" w:color="auto" w:fill="E5E5E5"/>
            <w:vAlign w:val="center"/>
          </w:tcPr>
          <w:p w:rsidR="00E32574" w:rsidRPr="005243F8" w:rsidRDefault="00E32574" w:rsidP="007540B9">
            <w:pPr>
              <w:pStyle w:val="Default"/>
              <w:spacing w:before="120" w:after="120"/>
              <w:jc w:val="center"/>
              <w:rPr>
                <w:rFonts w:ascii="Times New Roman" w:hAnsi="Times New Roman" w:cs="Times New Roman"/>
                <w:b/>
                <w:bCs/>
                <w:sz w:val="22"/>
                <w:szCs w:val="22"/>
              </w:rPr>
            </w:pPr>
            <w:r w:rsidRPr="005243F8">
              <w:rPr>
                <w:rFonts w:ascii="Times New Roman" w:hAnsi="Times New Roman" w:cs="Times New Roman"/>
                <w:b/>
                <w:bCs/>
                <w:sz w:val="22"/>
                <w:szCs w:val="22"/>
              </w:rPr>
              <w:t>Valor Máximo Permitido Resolução CONAMA n° 357 de 17/03/2005</w:t>
            </w:r>
            <w:r w:rsidRPr="005243F8">
              <w:rPr>
                <w:rStyle w:val="Refdenotaderodap"/>
                <w:rFonts w:ascii="Times New Roman" w:hAnsi="Times New Roman"/>
                <w:b/>
                <w:bCs/>
                <w:sz w:val="22"/>
                <w:szCs w:val="22"/>
              </w:rPr>
              <w:footnoteReference w:id="17"/>
            </w:r>
          </w:p>
        </w:tc>
        <w:tc>
          <w:tcPr>
            <w:tcW w:w="1109" w:type="dxa"/>
            <w:tcBorders>
              <w:top w:val="single" w:sz="6" w:space="0" w:color="000000"/>
              <w:left w:val="single" w:sz="4" w:space="0" w:color="000000"/>
              <w:bottom w:val="single" w:sz="6" w:space="0" w:color="000000"/>
              <w:right w:val="single" w:sz="4" w:space="0" w:color="000000"/>
            </w:tcBorders>
            <w:shd w:val="clear" w:color="auto" w:fill="E5E5E5"/>
            <w:vAlign w:val="center"/>
          </w:tcPr>
          <w:p w:rsidR="00E32574" w:rsidRPr="005243F8" w:rsidRDefault="00E32574" w:rsidP="007540B9">
            <w:pPr>
              <w:pStyle w:val="Default"/>
              <w:spacing w:before="120" w:after="120"/>
              <w:jc w:val="center"/>
              <w:rPr>
                <w:rFonts w:ascii="Times New Roman" w:hAnsi="Times New Roman" w:cs="Times New Roman"/>
                <w:b/>
                <w:bCs/>
                <w:sz w:val="22"/>
                <w:szCs w:val="22"/>
              </w:rPr>
            </w:pPr>
            <w:r w:rsidRPr="005243F8">
              <w:rPr>
                <w:rFonts w:ascii="Times New Roman" w:hAnsi="Times New Roman" w:cs="Times New Roman"/>
                <w:b/>
                <w:bCs/>
                <w:sz w:val="22"/>
                <w:szCs w:val="22"/>
              </w:rPr>
              <w:t>Entrada</w:t>
            </w:r>
          </w:p>
        </w:tc>
        <w:tc>
          <w:tcPr>
            <w:tcW w:w="1026" w:type="dxa"/>
            <w:tcBorders>
              <w:top w:val="single" w:sz="6" w:space="0" w:color="000000"/>
              <w:left w:val="single" w:sz="4" w:space="0" w:color="000000"/>
              <w:bottom w:val="single" w:sz="6" w:space="0" w:color="000000"/>
              <w:right w:val="single" w:sz="2" w:space="0" w:color="000000"/>
            </w:tcBorders>
            <w:shd w:val="clear" w:color="auto" w:fill="E5E5E5"/>
            <w:vAlign w:val="center"/>
          </w:tcPr>
          <w:p w:rsidR="00E32574" w:rsidRPr="005243F8" w:rsidRDefault="00E32574" w:rsidP="007540B9">
            <w:pPr>
              <w:pStyle w:val="Default"/>
              <w:spacing w:before="120" w:after="120"/>
              <w:jc w:val="center"/>
              <w:rPr>
                <w:rFonts w:ascii="Times New Roman" w:hAnsi="Times New Roman" w:cs="Times New Roman"/>
                <w:b/>
                <w:bCs/>
                <w:sz w:val="22"/>
                <w:szCs w:val="22"/>
              </w:rPr>
            </w:pPr>
            <w:r w:rsidRPr="005243F8">
              <w:rPr>
                <w:rFonts w:ascii="Times New Roman" w:hAnsi="Times New Roman" w:cs="Times New Roman"/>
                <w:b/>
                <w:bCs/>
                <w:sz w:val="22"/>
                <w:szCs w:val="22"/>
              </w:rPr>
              <w:t>Saída</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Turbidez</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uT</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NTU</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184</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49,2</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pH</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5 a 9</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7,0</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7,0</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Fluoreto total</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 xml:space="preserve">10,0 </w:t>
            </w:r>
            <w:r w:rsidRPr="005243F8">
              <w:rPr>
                <w:rFonts w:ascii="Times New Roman" w:hAnsi="Times New Roman" w:cs="Times New Roman"/>
                <w:color w:val="auto"/>
                <w:sz w:val="20"/>
                <w:szCs w:val="20"/>
              </w:rPr>
              <w:t>mg/L F</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0,16</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0,1</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Ferro dissolvido</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 xml:space="preserve">15,0 </w:t>
            </w:r>
            <w:r w:rsidRPr="005243F8">
              <w:rPr>
                <w:rFonts w:ascii="Times New Roman" w:hAnsi="Times New Roman" w:cs="Times New Roman"/>
                <w:color w:val="auto"/>
                <w:sz w:val="20"/>
                <w:szCs w:val="20"/>
              </w:rPr>
              <w:t>mg/L Fe</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2,98</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0,87</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Zinco total</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 xml:space="preserve">5,0 </w:t>
            </w:r>
            <w:r w:rsidRPr="005243F8">
              <w:rPr>
                <w:rFonts w:ascii="Times New Roman" w:hAnsi="Times New Roman" w:cs="Times New Roman"/>
                <w:color w:val="auto"/>
                <w:sz w:val="20"/>
                <w:szCs w:val="20"/>
              </w:rPr>
              <w:t>mg/L Zn</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1,25</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1,52</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Manganês dissolvido</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 xml:space="preserve">1,0 </w:t>
            </w:r>
            <w:r w:rsidRPr="005243F8">
              <w:rPr>
                <w:rFonts w:ascii="Times New Roman" w:hAnsi="Times New Roman" w:cs="Times New Roman"/>
                <w:color w:val="auto"/>
                <w:sz w:val="20"/>
                <w:szCs w:val="20"/>
              </w:rPr>
              <w:t>mg/L Mn</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0,74</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0,41</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Cobre dissolvido</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color w:val="auto"/>
                <w:sz w:val="20"/>
                <w:szCs w:val="20"/>
              </w:rPr>
              <w:t>1,0 mg/L Cu</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0,88</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0,56</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Cromo Hexavalente</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0,5 mg/L Cr</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0,11</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0,09</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Nitrogênio Amoniacal total</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20 mg/L N</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35</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65,0</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lastRenderedPageBreak/>
              <w:t>Cianeto total</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0,2 mg/L CN</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&lt;0,0032</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&lt;0,032</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Fenóis totais</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0,5 mg/L C</w:t>
            </w:r>
            <w:r w:rsidRPr="005243F8">
              <w:rPr>
                <w:rFonts w:ascii="Times New Roman" w:hAnsi="Times New Roman" w:cs="Times New Roman"/>
                <w:color w:val="auto"/>
                <w:sz w:val="20"/>
                <w:szCs w:val="20"/>
                <w:vertAlign w:val="subscript"/>
              </w:rPr>
              <w:t>6</w:t>
            </w:r>
            <w:r w:rsidRPr="005243F8">
              <w:rPr>
                <w:rFonts w:ascii="Times New Roman" w:hAnsi="Times New Roman" w:cs="Times New Roman"/>
                <w:color w:val="auto"/>
                <w:sz w:val="20"/>
                <w:szCs w:val="20"/>
              </w:rPr>
              <w:t>H</w:t>
            </w:r>
            <w:r w:rsidRPr="005243F8">
              <w:rPr>
                <w:rFonts w:ascii="Times New Roman" w:hAnsi="Times New Roman" w:cs="Times New Roman"/>
                <w:color w:val="auto"/>
                <w:sz w:val="20"/>
                <w:szCs w:val="20"/>
                <w:vertAlign w:val="subscript"/>
              </w:rPr>
              <w:t>5</w:t>
            </w:r>
            <w:r w:rsidRPr="005243F8">
              <w:rPr>
                <w:rFonts w:ascii="Times New Roman" w:hAnsi="Times New Roman" w:cs="Times New Roman"/>
                <w:color w:val="auto"/>
                <w:sz w:val="20"/>
                <w:szCs w:val="20"/>
              </w:rPr>
              <w:t>OH</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0,880</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0,740</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Sólidos Sedimentáveis</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1,0 mg/L</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1,0</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Sólidos Dissolvidos Totais</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n.e</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n.e</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362,9</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Sólidos Suspensos Totais</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n.e</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n.e</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Sólidos Voláteis</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n.e</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n.e</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Sulfactantes</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mg/L</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Óleos minerais</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20 mg/L</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42,2</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16,3</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Óleos vegetais e gorduras animais</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50 mg/L</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87,9</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44,3</w:t>
            </w:r>
          </w:p>
        </w:tc>
      </w:tr>
      <w:tr w:rsidR="00E32574" w:rsidRPr="005243F8" w:rsidTr="002D7309">
        <w:trPr>
          <w:trHeight w:val="56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Coliformes totais</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UFC/100 mL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r>
      <w:tr w:rsidR="00E32574" w:rsidRPr="005243F8" w:rsidTr="002D7309">
        <w:trPr>
          <w:trHeight w:val="56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Coliformes fecais</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r w:rsidRPr="005243F8">
              <w:rPr>
                <w:rFonts w:ascii="Times New Roman" w:hAnsi="Times New Roman" w:cs="Times New Roman"/>
                <w:color w:val="auto"/>
                <w:sz w:val="20"/>
                <w:szCs w:val="20"/>
              </w:rPr>
              <w:t>UFC/100 mL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color w:val="auto"/>
                <w:sz w:val="20"/>
                <w:szCs w:val="20"/>
              </w:rPr>
            </w:pP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DBO</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 xml:space="preserve">mg/L O² </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 xml:space="preserve">Remoção &gt; 60% </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250</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46,6</w:t>
            </w:r>
          </w:p>
        </w:tc>
      </w:tr>
      <w:tr w:rsidR="00E32574" w:rsidRPr="005243F8" w:rsidTr="00E32574">
        <w:trPr>
          <w:trHeight w:val="302"/>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DQO</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 xml:space="preserve">mg/ L O² </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 xml:space="preserve">- </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513</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115</w:t>
            </w:r>
          </w:p>
        </w:tc>
      </w:tr>
      <w:tr w:rsidR="00E32574" w:rsidRPr="005243F8" w:rsidTr="00E32574">
        <w:trPr>
          <w:trHeight w:val="297"/>
          <w:jc w:val="center"/>
        </w:trPr>
        <w:tc>
          <w:tcPr>
            <w:tcW w:w="2666"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7540B9">
            <w:pPr>
              <w:pStyle w:val="Default"/>
              <w:spacing w:before="120" w:after="120"/>
              <w:rPr>
                <w:rFonts w:ascii="Times New Roman" w:hAnsi="Times New Roman" w:cs="Times New Roman"/>
                <w:sz w:val="20"/>
                <w:szCs w:val="20"/>
              </w:rPr>
            </w:pPr>
            <w:r w:rsidRPr="005243F8">
              <w:rPr>
                <w:rFonts w:ascii="Times New Roman" w:hAnsi="Times New Roman" w:cs="Times New Roman"/>
                <w:sz w:val="20"/>
                <w:szCs w:val="20"/>
              </w:rPr>
              <w:t>Oxigênio dissolvido</w:t>
            </w:r>
          </w:p>
        </w:tc>
        <w:tc>
          <w:tcPr>
            <w:tcW w:w="115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color w:val="auto"/>
                <w:sz w:val="20"/>
                <w:szCs w:val="20"/>
              </w:rPr>
              <w:t>mg/L</w:t>
            </w:r>
          </w:p>
        </w:tc>
        <w:tc>
          <w:tcPr>
            <w:tcW w:w="1984"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 xml:space="preserve">0 A 12,5 </w:t>
            </w:r>
            <w:r w:rsidRPr="005243F8">
              <w:rPr>
                <w:rFonts w:ascii="Times New Roman" w:hAnsi="Times New Roman" w:cs="Times New Roman"/>
                <w:color w:val="auto"/>
                <w:sz w:val="20"/>
                <w:szCs w:val="20"/>
              </w:rPr>
              <w:t>mg/L</w:t>
            </w:r>
          </w:p>
        </w:tc>
        <w:tc>
          <w:tcPr>
            <w:tcW w:w="1109"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1026"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7540B9">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4,5</w:t>
            </w:r>
          </w:p>
        </w:tc>
      </w:tr>
    </w:tbl>
    <w:p w:rsidR="00E32574" w:rsidRDefault="00E32574" w:rsidP="00E32574">
      <w:pPr>
        <w:pStyle w:val="CM25"/>
        <w:ind w:left="284"/>
        <w:rPr>
          <w:rFonts w:ascii="Times New Roman" w:hAnsi="Times New Roman" w:cs="Times New Roman"/>
          <w:b/>
          <w:bCs/>
          <w:sz w:val="20"/>
          <w:szCs w:val="20"/>
        </w:rPr>
      </w:pPr>
      <w:r>
        <w:rPr>
          <w:rFonts w:ascii="Times New Roman" w:hAnsi="Times New Roman" w:cs="Times New Roman"/>
          <w:b/>
          <w:bCs/>
          <w:sz w:val="20"/>
          <w:szCs w:val="20"/>
        </w:rPr>
        <w:t>Legenda:</w:t>
      </w:r>
    </w:p>
    <w:p w:rsidR="00E32574" w:rsidRDefault="00E32574" w:rsidP="00E32574">
      <w:pPr>
        <w:pStyle w:val="CM25"/>
        <w:ind w:left="284"/>
        <w:rPr>
          <w:rFonts w:ascii="Times New Roman" w:hAnsi="Times New Roman" w:cs="Times New Roman"/>
          <w:b/>
          <w:bCs/>
          <w:sz w:val="20"/>
          <w:szCs w:val="20"/>
        </w:rPr>
      </w:pPr>
      <w:r w:rsidRPr="00FF67E4">
        <w:rPr>
          <w:rFonts w:ascii="Times New Roman" w:hAnsi="Times New Roman" w:cs="Times New Roman"/>
          <w:b/>
          <w:bCs/>
          <w:sz w:val="20"/>
          <w:szCs w:val="20"/>
        </w:rPr>
        <w:t xml:space="preserve">DBO – Demanda bioquímica de oxigênio </w:t>
      </w:r>
    </w:p>
    <w:p w:rsidR="00E32574" w:rsidRDefault="00E32574" w:rsidP="00E32574">
      <w:pPr>
        <w:pStyle w:val="Default"/>
        <w:ind w:left="284"/>
        <w:rPr>
          <w:rFonts w:ascii="Times New Roman" w:hAnsi="Times New Roman" w:cs="Times New Roman"/>
          <w:b/>
          <w:bCs/>
          <w:color w:val="auto"/>
          <w:sz w:val="20"/>
          <w:szCs w:val="20"/>
        </w:rPr>
      </w:pPr>
      <w:r w:rsidRPr="00FF67E4">
        <w:rPr>
          <w:rFonts w:ascii="Times New Roman" w:hAnsi="Times New Roman" w:cs="Times New Roman"/>
          <w:b/>
          <w:bCs/>
          <w:color w:val="auto"/>
          <w:sz w:val="20"/>
          <w:szCs w:val="20"/>
        </w:rPr>
        <w:t xml:space="preserve">DQO – Demanda química de oxigênio </w:t>
      </w:r>
    </w:p>
    <w:p w:rsidR="00E32574" w:rsidRDefault="00E32574" w:rsidP="00E32574">
      <w:pPr>
        <w:pStyle w:val="Default"/>
        <w:ind w:left="284"/>
        <w:rPr>
          <w:rFonts w:ascii="Times New Roman" w:hAnsi="Times New Roman" w:cs="Times New Roman"/>
          <w:b/>
          <w:bCs/>
          <w:color w:val="auto"/>
          <w:sz w:val="20"/>
          <w:szCs w:val="20"/>
        </w:rPr>
      </w:pPr>
      <w:r>
        <w:rPr>
          <w:rFonts w:ascii="Times New Roman" w:hAnsi="Times New Roman" w:cs="Times New Roman"/>
          <w:b/>
          <w:bCs/>
          <w:color w:val="auto"/>
          <w:sz w:val="20"/>
          <w:szCs w:val="20"/>
        </w:rPr>
        <w:t>ND – Não Disponível</w:t>
      </w:r>
    </w:p>
    <w:p w:rsidR="00E32574" w:rsidRDefault="00E32574" w:rsidP="00E32574">
      <w:pPr>
        <w:pStyle w:val="Default"/>
        <w:ind w:left="284"/>
        <w:rPr>
          <w:rFonts w:ascii="Times New Roman" w:hAnsi="Times New Roman" w:cs="Times New Roman"/>
          <w:b/>
          <w:bCs/>
          <w:color w:val="auto"/>
          <w:sz w:val="20"/>
          <w:szCs w:val="20"/>
        </w:rPr>
      </w:pPr>
      <w:r>
        <w:rPr>
          <w:rFonts w:ascii="Times New Roman" w:hAnsi="Times New Roman" w:cs="Times New Roman"/>
          <w:b/>
          <w:bCs/>
          <w:color w:val="auto"/>
          <w:sz w:val="20"/>
          <w:szCs w:val="20"/>
        </w:rPr>
        <w:t>UFC – Unidade Formadora de Colônia</w:t>
      </w:r>
    </w:p>
    <w:p w:rsidR="00E32574" w:rsidRPr="00192C99" w:rsidRDefault="00E32574" w:rsidP="003E1CEC">
      <w:pPr>
        <w:pStyle w:val="Fonte"/>
        <w:ind w:firstLine="284"/>
        <w:rPr>
          <w:lang w:eastAsia="pt-BR"/>
        </w:rPr>
      </w:pPr>
      <w:r w:rsidRPr="00192C99">
        <w:rPr>
          <w:lang w:eastAsia="pt-BR"/>
        </w:rPr>
        <w:t xml:space="preserve">Fonte: </w:t>
      </w:r>
      <w:r>
        <w:rPr>
          <w:lang w:eastAsia="pt-BR"/>
        </w:rPr>
        <w:t>Adaptado de Laboratório CETAN, 2013.</w:t>
      </w:r>
    </w:p>
    <w:p w:rsidR="007540B9" w:rsidRDefault="00E32574" w:rsidP="00F071DD">
      <w:pPr>
        <w:pStyle w:val="CM73"/>
        <w:spacing w:line="380" w:lineRule="atLeast"/>
        <w:ind w:firstLine="708"/>
        <w:jc w:val="both"/>
        <w:rPr>
          <w:rFonts w:cs="Times New Roman"/>
          <w:b/>
          <w:bCs/>
        </w:rPr>
      </w:pPr>
      <w:r>
        <w:rPr>
          <w:rFonts w:ascii="Times New Roman" w:hAnsi="Times New Roman" w:cs="Times New Roman"/>
        </w:rPr>
        <w:t xml:space="preserve">O ponto de lançamento do esgoto tratado da ETE no córrego Natividade pode ser visualizado na Figura </w:t>
      </w:r>
      <w:r w:rsidR="007540B9">
        <w:rPr>
          <w:rFonts w:ascii="Times New Roman" w:hAnsi="Times New Roman" w:cs="Times New Roman"/>
        </w:rPr>
        <w:t>132</w:t>
      </w:r>
      <w:r>
        <w:rPr>
          <w:rFonts w:ascii="Times New Roman" w:hAnsi="Times New Roman" w:cs="Times New Roman"/>
        </w:rPr>
        <w:t xml:space="preserve">. Na Figura </w:t>
      </w:r>
      <w:r w:rsidR="007540B9">
        <w:rPr>
          <w:rFonts w:ascii="Times New Roman" w:hAnsi="Times New Roman" w:cs="Times New Roman"/>
        </w:rPr>
        <w:t>133</w:t>
      </w:r>
      <w:r>
        <w:rPr>
          <w:rFonts w:ascii="Times New Roman" w:hAnsi="Times New Roman" w:cs="Times New Roman"/>
        </w:rPr>
        <w:t xml:space="preserve"> mostra o aspecto visual do corpo hídrico já próximo a com rio Doce.</w:t>
      </w:r>
      <w:bookmarkStart w:id="452" w:name="_Toc372117182"/>
    </w:p>
    <w:p w:rsidR="003E1CEC" w:rsidRPr="00CF16A9" w:rsidRDefault="00291A25" w:rsidP="00291A25">
      <w:pPr>
        <w:pStyle w:val="Legenda"/>
      </w:pPr>
      <w:bookmarkStart w:id="453" w:name="_Toc372740215"/>
      <w:bookmarkEnd w:id="452"/>
      <w:r>
        <w:t xml:space="preserve">Figura </w:t>
      </w:r>
      <w:fldSimple w:instr=" SEQ Figura \* ARABIC ">
        <w:r w:rsidR="004F77E2">
          <w:rPr>
            <w:noProof/>
          </w:rPr>
          <w:t>132</w:t>
        </w:r>
      </w:fldSimple>
      <w:r>
        <w:t xml:space="preserve"> - </w:t>
      </w:r>
      <w:r w:rsidRPr="00A47E17">
        <w:rPr>
          <w:noProof/>
        </w:rPr>
        <w:t>Visualização da ETE, do ponto de lançamento de esgoto tratado no córrego da Natividade e o rio Doce.</w:t>
      </w:r>
      <w:bookmarkEnd w:id="453"/>
    </w:p>
    <w:p w:rsidR="00E32574" w:rsidRDefault="00986205" w:rsidP="003E1CEC">
      <w:pPr>
        <w:spacing w:after="0" w:line="240" w:lineRule="auto"/>
        <w:jc w:val="center"/>
        <w:rPr>
          <w:szCs w:val="24"/>
          <w:lang w:eastAsia="pt-BR"/>
        </w:rPr>
      </w:pPr>
      <w:r>
        <w:rPr>
          <w:rFonts w:ascii="Calibri" w:hAnsi="Calibri"/>
          <w:noProof/>
          <w:sz w:val="22"/>
          <w:lang w:eastAsia="pt-BR"/>
        </w:rPr>
        <w:lastRenderedPageBreak/>
        <mc:AlternateContent>
          <mc:Choice Requires="wps">
            <w:drawing>
              <wp:anchor distT="0" distB="0" distL="114300" distR="114300" simplePos="0" relativeHeight="251675648" behindDoc="0" locked="0" layoutInCell="1" allowOverlap="1" wp14:anchorId="5515286F" wp14:editId="27BD085C">
                <wp:simplePos x="0" y="0"/>
                <wp:positionH relativeFrom="column">
                  <wp:posOffset>3387090</wp:posOffset>
                </wp:positionH>
                <wp:positionV relativeFrom="paragraph">
                  <wp:posOffset>1965960</wp:posOffset>
                </wp:positionV>
                <wp:extent cx="942975" cy="527050"/>
                <wp:effectExtent l="0" t="0" r="28575" b="25400"/>
                <wp:wrapNone/>
                <wp:docPr id="36"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975" cy="527050"/>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F77E2" w:rsidRPr="00CF16A9" w:rsidRDefault="004F77E2" w:rsidP="00E32574">
                            <w:pPr>
                              <w:rPr>
                                <w:b/>
                              </w:rPr>
                            </w:pPr>
                            <w:r>
                              <w:rPr>
                                <w:b/>
                              </w:rPr>
                              <w:t>Córrego da Natividade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15286F" id="Rectangle 17" o:spid="_x0000_s1030" style="position:absolute;left:0;text-align:left;margin-left:266.7pt;margin-top:154.8pt;width:74.25pt;height:4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" filled="f" strokeweight=".25pt">
                <v:textbox>
                  <w:txbxContent>
                    <w:p w:rsidR="004F77E2" w:rsidRPr="00CF16A9" w:rsidRDefault="004F77E2" w:rsidP="00E32574">
                      <w:pPr>
                        <w:rPr>
                          <w:b/>
                        </w:rPr>
                      </w:pPr>
                      <w:r>
                        <w:rPr>
                          <w:b/>
                        </w:rPr>
                        <w:t>Córrego da Natividade</w:t>
                      </w:r>
                    </w:p>
                  </w:txbxContent>
                </v:textbox>
              </v:rect>
            </w:pict>
          </mc:Fallback>
        </mc:AlternateContent>
      </w:r>
      <w:r>
        <w:rPr>
          <w:rFonts w:ascii="Calibri" w:hAnsi="Calibri"/>
          <w:noProof/>
          <w:sz w:val="22"/>
          <w:lang w:eastAsia="pt-BR"/>
        </w:rPr>
        <mc:AlternateContent>
          <mc:Choice Requires="wps">
            <w:drawing>
              <wp:anchor distT="0" distB="0" distL="114300" distR="114300" simplePos="0" relativeHeight="251671552" behindDoc="0" locked="0" layoutInCell="1" allowOverlap="1" wp14:anchorId="19F689B1" wp14:editId="220CFDBB">
                <wp:simplePos x="0" y="0"/>
                <wp:positionH relativeFrom="column">
                  <wp:posOffset>958215</wp:posOffset>
                </wp:positionH>
                <wp:positionV relativeFrom="paragraph">
                  <wp:posOffset>1136015</wp:posOffset>
                </wp:positionV>
                <wp:extent cx="742950" cy="361950"/>
                <wp:effectExtent l="0" t="0" r="19050" b="19050"/>
                <wp:wrapNone/>
                <wp:docPr id="37"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0" cy="361950"/>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F77E2" w:rsidRPr="00291A25" w:rsidRDefault="004F77E2" w:rsidP="00E32574">
                            <w:pPr>
                              <w:rPr>
                                <w:b/>
                                <w:sz w:val="22"/>
                              </w:rPr>
                            </w:pPr>
                            <w:r w:rsidRPr="00291A25">
                              <w:rPr>
                                <w:b/>
                                <w:sz w:val="22"/>
                              </w:rPr>
                              <w:t>Rio Doce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F689B1" id="Rectangle 13" o:spid="_x0000_s1031" style="position:absolute;left:0;text-align:left;margin-left:75.45pt;margin-top:89.45pt;width:58.5pt;height:2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" filled="f" strokeweight=".25pt">
                <v:textbox>
                  <w:txbxContent>
                    <w:p w:rsidR="004F77E2" w:rsidRPr="00291A25" w:rsidRDefault="004F77E2" w:rsidP="00E32574">
                      <w:pPr>
                        <w:rPr>
                          <w:b/>
                          <w:sz w:val="22"/>
                        </w:rPr>
                      </w:pPr>
                      <w:r w:rsidRPr="00291A25">
                        <w:rPr>
                          <w:b/>
                          <w:sz w:val="22"/>
                        </w:rPr>
                        <w:t>Rio Doce</w:t>
                      </w:r>
                    </w:p>
                  </w:txbxContent>
                </v:textbox>
              </v:rect>
            </w:pict>
          </mc:Fallback>
        </mc:AlternateContent>
      </w:r>
      <w:r>
        <w:rPr>
          <w:rFonts w:ascii="Calibri" w:hAnsi="Calibri"/>
          <w:noProof/>
          <w:sz w:val="22"/>
          <w:lang w:eastAsia="pt-BR"/>
        </w:rPr>
        <mc:AlternateContent>
          <mc:Choice Requires="wps">
            <w:drawing>
              <wp:anchor distT="0" distB="0" distL="114300" distR="114300" simplePos="0" relativeHeight="251673600" behindDoc="0" locked="0" layoutInCell="1" allowOverlap="1" wp14:anchorId="676EABC6" wp14:editId="1BC0B7A7">
                <wp:simplePos x="0" y="0"/>
                <wp:positionH relativeFrom="column">
                  <wp:posOffset>2863215</wp:posOffset>
                </wp:positionH>
                <wp:positionV relativeFrom="paragraph">
                  <wp:posOffset>1734185</wp:posOffset>
                </wp:positionV>
                <wp:extent cx="504825" cy="400050"/>
                <wp:effectExtent l="0" t="0" r="66675" b="57150"/>
                <wp:wrapNone/>
                <wp:docPr id="241"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4825" cy="400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2C91BF" id="AutoShape 15" o:spid="_x0000_s1026" type="#_x0000_t32" style="position:absolute;margin-left:225.45pt;margin-top:136.55pt;width:39.75pt;height:3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">
                <v:stroke endarrow="block"/>
              </v:shape>
            </w:pict>
          </mc:Fallback>
        </mc:AlternateContent>
      </w:r>
      <w:r>
        <w:rPr>
          <w:rFonts w:ascii="Calibri" w:hAnsi="Calibri"/>
          <w:noProof/>
          <w:sz w:val="22"/>
          <w:lang w:eastAsia="pt-BR"/>
        </w:rPr>
        <mc:AlternateContent>
          <mc:Choice Requires="wps">
            <w:drawing>
              <wp:anchor distT="0" distB="0" distL="114300" distR="114300" simplePos="0" relativeHeight="251674624" behindDoc="0" locked="0" layoutInCell="1" allowOverlap="1" wp14:anchorId="4B524AA6" wp14:editId="2F069900">
                <wp:simplePos x="0" y="0"/>
                <wp:positionH relativeFrom="column">
                  <wp:posOffset>2367915</wp:posOffset>
                </wp:positionH>
                <wp:positionV relativeFrom="paragraph">
                  <wp:posOffset>2400935</wp:posOffset>
                </wp:positionV>
                <wp:extent cx="504825" cy="266700"/>
                <wp:effectExtent l="0" t="0" r="28575" b="19050"/>
                <wp:wrapNone/>
                <wp:docPr id="1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266700"/>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4F77E2" w:rsidRPr="00CF16A9" w:rsidRDefault="004F77E2" w:rsidP="00E32574">
                            <w:pPr>
                              <w:rPr>
                                <w:b/>
                              </w:rPr>
                            </w:pPr>
                            <w:r>
                              <w:rPr>
                                <w:b/>
                              </w:rPr>
                              <w:t>ETE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524AA6" id="Rectangle 16" o:spid="_x0000_s1032" style="position:absolute;left:0;text-align:left;margin-left:186.45pt;margin-top:189.05pt;width:39.75pt;height:2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" filled="f" strokeweight=".25pt">
                <v:textbox>
                  <w:txbxContent>
                    <w:p w:rsidR="004F77E2" w:rsidRPr="00CF16A9" w:rsidRDefault="004F77E2" w:rsidP="00E32574">
                      <w:pPr>
                        <w:rPr>
                          <w:b/>
                        </w:rPr>
                      </w:pPr>
                      <w:r>
                        <w:rPr>
                          <w:b/>
                        </w:rPr>
                        <w:t>ETE</w:t>
                      </w:r>
                    </w:p>
                  </w:txbxContent>
                </v:textbox>
              </v:rect>
            </w:pict>
          </mc:Fallback>
        </mc:AlternateContent>
      </w:r>
      <w:r>
        <w:rPr>
          <w:rFonts w:ascii="Calibri" w:hAnsi="Calibri"/>
          <w:noProof/>
          <w:sz w:val="22"/>
          <w:lang w:eastAsia="pt-BR"/>
        </w:rPr>
        <mc:AlternateContent>
          <mc:Choice Requires="wps">
            <w:drawing>
              <wp:anchor distT="0" distB="0" distL="114300" distR="114300" simplePos="0" relativeHeight="251672576" behindDoc="0" locked="0" layoutInCell="1" allowOverlap="1" wp14:anchorId="2B284E8C" wp14:editId="445A1784">
                <wp:simplePos x="0" y="0"/>
                <wp:positionH relativeFrom="column">
                  <wp:posOffset>1815465</wp:posOffset>
                </wp:positionH>
                <wp:positionV relativeFrom="paragraph">
                  <wp:posOffset>2042160</wp:posOffset>
                </wp:positionV>
                <wp:extent cx="533400" cy="409575"/>
                <wp:effectExtent l="0" t="0" r="57150" b="47625"/>
                <wp:wrapNone/>
                <wp:docPr id="32"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 cy="409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27AD60" id="AutoShape 14" o:spid="_x0000_s1026" type="#_x0000_t32" style="position:absolute;margin-left:142.95pt;margin-top:160.8pt;width:42pt;height:32.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">
                <v:stroke endarrow="block"/>
              </v:shape>
            </w:pict>
          </mc:Fallback>
        </mc:AlternateContent>
      </w:r>
      <w:r w:rsidR="00E32574">
        <w:rPr>
          <w:noProof/>
          <w:szCs w:val="24"/>
          <w:lang w:eastAsia="pt-BR"/>
        </w:rPr>
        <w:drawing>
          <wp:inline distT="0" distB="0" distL="0" distR="0" wp14:anchorId="4F4507CE" wp14:editId="26495669">
            <wp:extent cx="4992332" cy="2949934"/>
            <wp:effectExtent l="19050" t="0" r="0" b="0"/>
            <wp:docPr id="178" name="Imagem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4998133" cy="2953361"/>
                    </a:xfrm>
                    <a:prstGeom prst="rect">
                      <a:avLst/>
                    </a:prstGeom>
                    <a:noFill/>
                    <a:ln>
                      <a:noFill/>
                    </a:ln>
                  </pic:spPr>
                </pic:pic>
              </a:graphicData>
            </a:graphic>
          </wp:inline>
        </w:drawing>
      </w:r>
    </w:p>
    <w:p w:rsidR="00E32574" w:rsidRPr="00CF16A9" w:rsidRDefault="00E32574" w:rsidP="00466071">
      <w:pPr>
        <w:pStyle w:val="Fonte"/>
        <w:ind w:left="284"/>
        <w:rPr>
          <w:lang w:eastAsia="pt-BR"/>
        </w:rPr>
      </w:pPr>
      <w:r w:rsidRPr="00CF16A9">
        <w:rPr>
          <w:lang w:eastAsia="pt-BR"/>
        </w:rPr>
        <w:t>Fonte: Google Earth, 2013.</w:t>
      </w:r>
    </w:p>
    <w:p w:rsidR="003E1CEC" w:rsidRDefault="00291A25" w:rsidP="00291A25">
      <w:pPr>
        <w:pStyle w:val="Legenda"/>
      </w:pPr>
      <w:bookmarkStart w:id="454" w:name="_Toc372740216"/>
      <w:r>
        <w:t xml:space="preserve">Figura </w:t>
      </w:r>
      <w:fldSimple w:instr=" SEQ Figura \* ARABIC ">
        <w:r w:rsidR="004F77E2">
          <w:rPr>
            <w:noProof/>
          </w:rPr>
          <w:t>133</w:t>
        </w:r>
      </w:fldSimple>
      <w:r>
        <w:t xml:space="preserve"> - </w:t>
      </w:r>
      <w:r w:rsidRPr="00957117">
        <w:rPr>
          <w:noProof/>
        </w:rPr>
        <w:t>Aspecto visual da galeria onde recebe o esgoto tratado da ETE, e o esgoto in natura e águas pluviais. (Local: 24K 0284364 7843710 / Altitude: 99 m).</w:t>
      </w:r>
      <w:bookmarkEnd w:id="454"/>
    </w:p>
    <w:p w:rsidR="00E32574" w:rsidRDefault="00E32574" w:rsidP="003E1CEC">
      <w:pPr>
        <w:spacing w:after="0" w:line="240" w:lineRule="auto"/>
        <w:jc w:val="center"/>
        <w:rPr>
          <w:szCs w:val="24"/>
          <w:lang w:eastAsia="pt-BR"/>
        </w:rPr>
      </w:pPr>
      <w:r>
        <w:rPr>
          <w:noProof/>
          <w:szCs w:val="24"/>
          <w:lang w:eastAsia="pt-BR"/>
        </w:rPr>
        <w:drawing>
          <wp:inline distT="0" distB="0" distL="0" distR="0" wp14:anchorId="6684B530" wp14:editId="0C27D160">
            <wp:extent cx="4423994" cy="3285523"/>
            <wp:effectExtent l="19050" t="0" r="0" b="0"/>
            <wp:docPr id="177" name="Imagem 177" descr="Foto 5 Ponto 122 Rancho do Pantanal - Lançamento de esgoto in natura, esgoto tratado e água pluv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Foto 5 Ponto 122 Rancho do Pantanal - Lançamento de esgoto in natura, esgoto tratado e água pluvial.JP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445026" cy="3301143"/>
                    </a:xfrm>
                    <a:prstGeom prst="rect">
                      <a:avLst/>
                    </a:prstGeom>
                    <a:noFill/>
                    <a:ln>
                      <a:noFill/>
                    </a:ln>
                  </pic:spPr>
                </pic:pic>
              </a:graphicData>
            </a:graphic>
          </wp:inline>
        </w:drawing>
      </w:r>
    </w:p>
    <w:p w:rsidR="00E32574" w:rsidRPr="00192C99" w:rsidRDefault="00E32574" w:rsidP="00DC09AB">
      <w:pPr>
        <w:pStyle w:val="Fonte"/>
        <w:ind w:firstLine="567"/>
        <w:rPr>
          <w:lang w:eastAsia="pt-BR"/>
        </w:rPr>
      </w:pPr>
      <w:r w:rsidRPr="00192C99">
        <w:rPr>
          <w:lang w:eastAsia="pt-BR"/>
        </w:rPr>
        <w:t>Fonte: Fundação Educacional de Caratinga - FUNEC, 2013.</w:t>
      </w:r>
    </w:p>
    <w:p w:rsidR="00E32574" w:rsidRDefault="00E32574" w:rsidP="00E32574">
      <w:pPr>
        <w:pStyle w:val="CM73"/>
        <w:spacing w:line="380" w:lineRule="atLeast"/>
        <w:ind w:firstLine="708"/>
        <w:jc w:val="both"/>
        <w:rPr>
          <w:rFonts w:ascii="Times New Roman" w:hAnsi="Times New Roman" w:cs="Times New Roman"/>
        </w:rPr>
      </w:pPr>
      <w:r>
        <w:rPr>
          <w:rFonts w:ascii="Times New Roman" w:hAnsi="Times New Roman" w:cs="Times New Roman"/>
        </w:rPr>
        <w:t>A ETE possui um laboratório para as analise dos efluentes domésticos com uma área de aproximadamente 30 m². As análises físico-químicas e as bacteriológicas são realizadas com uma frequência mensal, realizadas por um laboratório terceirizado.</w:t>
      </w:r>
    </w:p>
    <w:p w:rsidR="00E32574" w:rsidRPr="000C5DD6" w:rsidRDefault="00DC09AB" w:rsidP="00971B37">
      <w:pPr>
        <w:pStyle w:val="Titulo"/>
      </w:pPr>
      <w:bookmarkStart w:id="455" w:name="_Toc372559136"/>
      <w:bookmarkStart w:id="456" w:name="_Toc372789567"/>
      <w:r w:rsidRPr="000C5DD6">
        <w:lastRenderedPageBreak/>
        <w:t xml:space="preserve">12.10 </w:t>
      </w:r>
      <w:r w:rsidR="00E32574" w:rsidRPr="000C5DD6">
        <w:t>Sistemas de Abastecimento de Esgoto Sanitário dos Distritos e Povoados</w:t>
      </w:r>
      <w:bookmarkEnd w:id="455"/>
      <w:bookmarkEnd w:id="456"/>
    </w:p>
    <w:p w:rsidR="00E32574" w:rsidRPr="000C5DD6" w:rsidRDefault="00DC09AB" w:rsidP="00971B37">
      <w:pPr>
        <w:pStyle w:val="Titulo"/>
      </w:pPr>
      <w:bookmarkStart w:id="457" w:name="_Toc372559137"/>
      <w:bookmarkStart w:id="458" w:name="_Toc372789568"/>
      <w:r w:rsidRPr="000C5DD6">
        <w:t xml:space="preserve">12.10.1 </w:t>
      </w:r>
      <w:r w:rsidR="00E32574" w:rsidRPr="000C5DD6">
        <w:t>Alto Capim</w:t>
      </w:r>
      <w:bookmarkEnd w:id="457"/>
      <w:bookmarkEnd w:id="458"/>
    </w:p>
    <w:p w:rsidR="00E32574" w:rsidRDefault="00E32574" w:rsidP="00DC09AB">
      <w:pPr>
        <w:spacing w:after="0" w:line="360" w:lineRule="auto"/>
        <w:ind w:firstLine="709"/>
        <w:jc w:val="both"/>
        <w:rPr>
          <w:lang w:eastAsia="pt-BR"/>
        </w:rPr>
      </w:pPr>
      <w:r>
        <w:rPr>
          <w:lang w:eastAsia="pt-BR"/>
        </w:rPr>
        <w:t xml:space="preserve">O </w:t>
      </w:r>
      <w:r w:rsidRPr="006A5BAD">
        <w:rPr>
          <w:lang w:eastAsia="pt-BR"/>
        </w:rPr>
        <w:t xml:space="preserve">Sistema </w:t>
      </w:r>
      <w:r>
        <w:rPr>
          <w:lang w:eastAsia="pt-BR"/>
        </w:rPr>
        <w:t>é s</w:t>
      </w:r>
      <w:r w:rsidRPr="006A5BAD">
        <w:rPr>
          <w:lang w:eastAsia="pt-BR"/>
        </w:rPr>
        <w:t>atisfatório, toda rede de</w:t>
      </w:r>
      <w:r>
        <w:rPr>
          <w:lang w:eastAsia="pt-BR"/>
        </w:rPr>
        <w:t xml:space="preserve"> coleta é em</w:t>
      </w:r>
      <w:r w:rsidRPr="006A5BAD">
        <w:rPr>
          <w:lang w:eastAsia="pt-BR"/>
        </w:rPr>
        <w:t xml:space="preserve"> PVC, </w:t>
      </w:r>
      <w:r>
        <w:rPr>
          <w:lang w:eastAsia="pt-BR"/>
        </w:rPr>
        <w:t xml:space="preserve">aproximadamente </w:t>
      </w:r>
      <w:r w:rsidRPr="006A5BAD">
        <w:rPr>
          <w:lang w:eastAsia="pt-BR"/>
        </w:rPr>
        <w:t>100 % do esgoto é coletado</w:t>
      </w:r>
      <w:r>
        <w:rPr>
          <w:lang w:eastAsia="pt-BR"/>
        </w:rPr>
        <w:t>,</w:t>
      </w:r>
      <w:r w:rsidRPr="006A5BAD">
        <w:rPr>
          <w:lang w:eastAsia="pt-BR"/>
        </w:rPr>
        <w:t xml:space="preserve"> porém o esgoto é lançado </w:t>
      </w:r>
      <w:r w:rsidRPr="001D22C7">
        <w:rPr>
          <w:i/>
          <w:lang w:eastAsia="pt-BR"/>
        </w:rPr>
        <w:t>in natura</w:t>
      </w:r>
      <w:r>
        <w:rPr>
          <w:lang w:eastAsia="pt-BR"/>
        </w:rPr>
        <w:t xml:space="preserve"> no Córrego do Arrependido</w:t>
      </w:r>
      <w:r w:rsidR="00DC09AB">
        <w:rPr>
          <w:lang w:eastAsia="pt-BR"/>
        </w:rPr>
        <w:t>.</w:t>
      </w:r>
      <w:r>
        <w:rPr>
          <w:lang w:eastAsia="pt-BR"/>
        </w:rPr>
        <w:t xml:space="preserve"> </w:t>
      </w:r>
      <w:r w:rsidRPr="006A5BAD">
        <w:rPr>
          <w:lang w:eastAsia="pt-BR"/>
        </w:rPr>
        <w:t xml:space="preserve">Há </w:t>
      </w:r>
      <w:r>
        <w:rPr>
          <w:lang w:eastAsia="pt-BR"/>
        </w:rPr>
        <w:t>necessidade de se criar uma ETE para o tratamento do esgoto doméstico.</w:t>
      </w:r>
      <w:r w:rsidR="00DC09AB">
        <w:rPr>
          <w:lang w:eastAsia="pt-BR"/>
        </w:rPr>
        <w:t xml:space="preserve"> Na Figura 134 pode observar-se o aspecto do córrego do perdido no local do lançamento do esgoto sem tratamento.</w:t>
      </w:r>
    </w:p>
    <w:p w:rsidR="000B3308" w:rsidRPr="000B3308" w:rsidRDefault="00291A25" w:rsidP="00291A25">
      <w:pPr>
        <w:pStyle w:val="Legenda"/>
        <w:rPr>
          <w:spacing w:val="-8"/>
        </w:rPr>
      </w:pPr>
      <w:bookmarkStart w:id="459" w:name="_Toc372740217"/>
      <w:r>
        <w:t xml:space="preserve">Figura </w:t>
      </w:r>
      <w:fldSimple w:instr=" SEQ Figura \* ARABIC ">
        <w:r w:rsidR="004F77E2">
          <w:rPr>
            <w:noProof/>
          </w:rPr>
          <w:t>134</w:t>
        </w:r>
      </w:fldSimple>
      <w:r>
        <w:t xml:space="preserve"> - </w:t>
      </w:r>
      <w:r w:rsidRPr="002E4B5A">
        <w:rPr>
          <w:noProof/>
        </w:rPr>
        <w:t>Aspecto visual do lançamento de esgoto in natura localizado no córrego do Perdido, próximo à Rua Secundino Cipriano. (Local: 24K 0265960 7801887 / Altitude: -107m).</w:t>
      </w:r>
      <w:bookmarkEnd w:id="459"/>
    </w:p>
    <w:p w:rsidR="00E32574" w:rsidRDefault="00E32574" w:rsidP="000B3308">
      <w:pPr>
        <w:spacing w:after="0" w:line="240" w:lineRule="auto"/>
        <w:jc w:val="center"/>
        <w:rPr>
          <w:lang w:eastAsia="pt-BR"/>
        </w:rPr>
      </w:pPr>
      <w:r>
        <w:rPr>
          <w:noProof/>
          <w:lang w:eastAsia="pt-BR"/>
        </w:rPr>
        <w:drawing>
          <wp:inline distT="0" distB="0" distL="0" distR="0" wp14:anchorId="6E9808AB" wp14:editId="59917C2F">
            <wp:extent cx="4481115" cy="3364992"/>
            <wp:effectExtent l="0" t="0" r="0" b="6985"/>
            <wp:docPr id="175" name="Imagem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506839" cy="3384309"/>
                    </a:xfrm>
                    <a:prstGeom prst="rect">
                      <a:avLst/>
                    </a:prstGeom>
                    <a:noFill/>
                    <a:ln>
                      <a:noFill/>
                    </a:ln>
                  </pic:spPr>
                </pic:pic>
              </a:graphicData>
            </a:graphic>
          </wp:inline>
        </w:drawing>
      </w:r>
    </w:p>
    <w:p w:rsidR="00E32574" w:rsidRDefault="00E32574" w:rsidP="000B3308">
      <w:pPr>
        <w:pStyle w:val="Fonte"/>
        <w:ind w:firstLine="708"/>
        <w:rPr>
          <w:sz w:val="24"/>
          <w:lang w:eastAsia="pt-BR"/>
        </w:rPr>
      </w:pPr>
      <w:r w:rsidRPr="00192C99">
        <w:rPr>
          <w:lang w:eastAsia="pt-BR"/>
        </w:rPr>
        <w:t>Fonte: Fundação Educacional de Caratinga - FUNEC, 2013.</w:t>
      </w:r>
    </w:p>
    <w:p w:rsidR="00E32574" w:rsidRPr="000C5DD6" w:rsidRDefault="00DC09AB" w:rsidP="00971B37">
      <w:pPr>
        <w:pStyle w:val="Titulo"/>
      </w:pPr>
      <w:bookmarkStart w:id="460" w:name="_Toc372559138"/>
      <w:bookmarkStart w:id="461" w:name="_Toc372789569"/>
      <w:r w:rsidRPr="000C5DD6">
        <w:t xml:space="preserve">12.10.2 </w:t>
      </w:r>
      <w:r w:rsidR="00E32574" w:rsidRPr="000C5DD6">
        <w:t>Conceição do Capim</w:t>
      </w:r>
      <w:bookmarkEnd w:id="460"/>
      <w:bookmarkEnd w:id="461"/>
    </w:p>
    <w:p w:rsidR="00E32574" w:rsidRDefault="00E32574" w:rsidP="00886DAD">
      <w:pPr>
        <w:spacing w:after="0" w:line="360" w:lineRule="auto"/>
        <w:ind w:firstLine="709"/>
        <w:jc w:val="both"/>
        <w:rPr>
          <w:szCs w:val="24"/>
          <w:lang w:eastAsia="pt-BR"/>
        </w:rPr>
      </w:pPr>
      <w:r>
        <w:rPr>
          <w:szCs w:val="24"/>
          <w:lang w:eastAsia="pt-BR"/>
        </w:rPr>
        <w:t xml:space="preserve">O </w:t>
      </w:r>
      <w:r w:rsidRPr="006A5BAD">
        <w:rPr>
          <w:szCs w:val="24"/>
          <w:lang w:eastAsia="pt-BR"/>
        </w:rPr>
        <w:t xml:space="preserve">Sistema de esgotamento </w:t>
      </w:r>
      <w:r>
        <w:rPr>
          <w:szCs w:val="24"/>
          <w:lang w:eastAsia="pt-BR"/>
        </w:rPr>
        <w:t xml:space="preserve">é insatisfatório devido os </w:t>
      </w:r>
      <w:r w:rsidRPr="006A5BAD">
        <w:rPr>
          <w:szCs w:val="24"/>
          <w:lang w:eastAsia="pt-BR"/>
        </w:rPr>
        <w:t>constantes entupimentos</w:t>
      </w:r>
      <w:r>
        <w:rPr>
          <w:szCs w:val="24"/>
          <w:lang w:eastAsia="pt-BR"/>
        </w:rPr>
        <w:t xml:space="preserve"> na rede coletora</w:t>
      </w:r>
      <w:r w:rsidRPr="006A5BAD">
        <w:rPr>
          <w:szCs w:val="24"/>
          <w:lang w:eastAsia="pt-BR"/>
        </w:rPr>
        <w:t xml:space="preserve">, vários </w:t>
      </w:r>
      <w:r>
        <w:rPr>
          <w:szCs w:val="24"/>
          <w:lang w:eastAsia="pt-BR"/>
        </w:rPr>
        <w:t>pontos de lançamento</w:t>
      </w:r>
      <w:r w:rsidRPr="006A5BAD">
        <w:rPr>
          <w:szCs w:val="24"/>
          <w:lang w:eastAsia="pt-BR"/>
        </w:rPr>
        <w:t xml:space="preserve"> de esgoto </w:t>
      </w:r>
      <w:r w:rsidR="00DC09AB">
        <w:rPr>
          <w:szCs w:val="24"/>
          <w:lang w:eastAsia="pt-BR"/>
        </w:rPr>
        <w:t>“</w:t>
      </w:r>
      <w:r w:rsidRPr="001D22C7">
        <w:rPr>
          <w:i/>
          <w:szCs w:val="24"/>
          <w:lang w:eastAsia="pt-BR"/>
        </w:rPr>
        <w:t>in natura</w:t>
      </w:r>
      <w:r w:rsidR="00DC09AB">
        <w:rPr>
          <w:i/>
          <w:szCs w:val="24"/>
          <w:lang w:eastAsia="pt-BR"/>
        </w:rPr>
        <w:t>”</w:t>
      </w:r>
      <w:r>
        <w:rPr>
          <w:szCs w:val="24"/>
          <w:lang w:eastAsia="pt-BR"/>
        </w:rPr>
        <w:t xml:space="preserve"> </w:t>
      </w:r>
      <w:r w:rsidRPr="006A5BAD">
        <w:rPr>
          <w:szCs w:val="24"/>
          <w:lang w:eastAsia="pt-BR"/>
        </w:rPr>
        <w:t xml:space="preserve">no Rio Capim, toda rede coletora </w:t>
      </w:r>
      <w:r>
        <w:rPr>
          <w:szCs w:val="24"/>
          <w:lang w:eastAsia="pt-BR"/>
        </w:rPr>
        <w:t xml:space="preserve">é de </w:t>
      </w:r>
      <w:r w:rsidRPr="006A5BAD">
        <w:rPr>
          <w:szCs w:val="24"/>
          <w:lang w:eastAsia="pt-BR"/>
        </w:rPr>
        <w:t>cerâmica</w:t>
      </w:r>
      <w:r>
        <w:rPr>
          <w:szCs w:val="24"/>
          <w:lang w:eastAsia="pt-BR"/>
        </w:rPr>
        <w:t>,</w:t>
      </w:r>
      <w:r w:rsidRPr="006A5BAD">
        <w:rPr>
          <w:szCs w:val="24"/>
          <w:lang w:eastAsia="pt-BR"/>
        </w:rPr>
        <w:t xml:space="preserve"> sendo necessária a troca</w:t>
      </w:r>
      <w:r>
        <w:rPr>
          <w:szCs w:val="24"/>
          <w:lang w:eastAsia="pt-BR"/>
        </w:rPr>
        <w:t>, além de r</w:t>
      </w:r>
      <w:r w:rsidRPr="006A5BAD">
        <w:rPr>
          <w:szCs w:val="24"/>
          <w:lang w:eastAsia="pt-BR"/>
        </w:rPr>
        <w:t xml:space="preserve">edimensionar a rede de 150 mm para 200 mm. </w:t>
      </w:r>
      <w:r>
        <w:rPr>
          <w:szCs w:val="24"/>
          <w:lang w:eastAsia="pt-BR"/>
        </w:rPr>
        <w:t>O distrito necessita de</w:t>
      </w:r>
      <w:r w:rsidRPr="006A5BAD">
        <w:rPr>
          <w:szCs w:val="24"/>
          <w:lang w:eastAsia="pt-BR"/>
        </w:rPr>
        <w:t xml:space="preserve"> uma ETE</w:t>
      </w:r>
      <w:r>
        <w:rPr>
          <w:szCs w:val="24"/>
          <w:lang w:eastAsia="pt-BR"/>
        </w:rPr>
        <w:t xml:space="preserve"> para o tratamento do esgoto </w:t>
      </w:r>
      <w:r>
        <w:rPr>
          <w:szCs w:val="24"/>
          <w:lang w:eastAsia="pt-BR"/>
        </w:rPr>
        <w:lastRenderedPageBreak/>
        <w:t>doméstico.</w:t>
      </w:r>
      <w:r w:rsidR="00DC09AB">
        <w:rPr>
          <w:szCs w:val="24"/>
          <w:lang w:eastAsia="pt-BR"/>
        </w:rPr>
        <w:t xml:space="preserve"> Nas Figuras 135, 136 e 137 pode-se observar as condições do sistema de tratamento de esgoto de Conceição do Capim</w:t>
      </w:r>
    </w:p>
    <w:p w:rsidR="000B3308" w:rsidRPr="004F571D" w:rsidRDefault="00291A25" w:rsidP="00291A25">
      <w:pPr>
        <w:pStyle w:val="Legenda"/>
      </w:pPr>
      <w:bookmarkStart w:id="462" w:name="_Toc372740218"/>
      <w:r>
        <w:t xml:space="preserve">Figura </w:t>
      </w:r>
      <w:fldSimple w:instr=" SEQ Figura \* ARABIC ">
        <w:r w:rsidR="004F77E2">
          <w:rPr>
            <w:noProof/>
          </w:rPr>
          <w:t>135</w:t>
        </w:r>
      </w:fldSimple>
      <w:r>
        <w:t xml:space="preserve"> - </w:t>
      </w:r>
      <w:r w:rsidRPr="003F30B1">
        <w:rPr>
          <w:noProof/>
        </w:rPr>
        <w:t xml:space="preserve"> Aspecto visual das estruturas da antiga Estação de Tratamento de Esgoto do distrito. (Local: 24K 0266099 7834809 / Altitude: 162 m).</w:t>
      </w:r>
      <w:bookmarkEnd w:id="462"/>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3D55FEDA" wp14:editId="271EBAA0">
            <wp:extent cx="4500595" cy="3379622"/>
            <wp:effectExtent l="0" t="0" r="0" b="0"/>
            <wp:docPr id="173" name="Imagem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522712" cy="3396230"/>
                    </a:xfrm>
                    <a:prstGeom prst="rect">
                      <a:avLst/>
                    </a:prstGeom>
                    <a:noFill/>
                    <a:ln>
                      <a:noFill/>
                    </a:ln>
                  </pic:spPr>
                </pic:pic>
              </a:graphicData>
            </a:graphic>
          </wp:inline>
        </w:drawing>
      </w:r>
    </w:p>
    <w:p w:rsidR="00E32574" w:rsidRDefault="00E32574" w:rsidP="00523A67">
      <w:pPr>
        <w:pStyle w:val="Fonte"/>
        <w:ind w:firstLine="708"/>
        <w:rPr>
          <w:lang w:eastAsia="pt-BR"/>
        </w:rPr>
      </w:pPr>
      <w:r w:rsidRPr="00192C99">
        <w:rPr>
          <w:lang w:eastAsia="pt-BR"/>
        </w:rPr>
        <w:t>Fonte: Fundação Educacional de Caratinga - FUNEC, 2013</w:t>
      </w:r>
    </w:p>
    <w:p w:rsidR="00886DAD" w:rsidRDefault="00886DAD">
      <w:pPr>
        <w:spacing w:after="200" w:line="276" w:lineRule="auto"/>
        <w:rPr>
          <w:rFonts w:eastAsiaTheme="minorEastAsia" w:cs="Times New Roman"/>
          <w:bCs/>
          <w:szCs w:val="24"/>
          <w:lang w:eastAsia="pt-BR"/>
        </w:rPr>
      </w:pPr>
      <w:bookmarkStart w:id="463" w:name="_Toc372117188"/>
      <w:r>
        <w:br w:type="page"/>
      </w:r>
    </w:p>
    <w:p w:rsidR="00523A67" w:rsidRPr="004F571D" w:rsidRDefault="00291A25" w:rsidP="00291A25">
      <w:pPr>
        <w:pStyle w:val="Legenda"/>
      </w:pPr>
      <w:bookmarkStart w:id="464" w:name="_Toc372740219"/>
      <w:bookmarkEnd w:id="463"/>
      <w:r>
        <w:lastRenderedPageBreak/>
        <w:t xml:space="preserve">Figura </w:t>
      </w:r>
      <w:fldSimple w:instr=" SEQ Figura \* ARABIC ">
        <w:r w:rsidR="004F77E2">
          <w:rPr>
            <w:noProof/>
          </w:rPr>
          <w:t>136</w:t>
        </w:r>
      </w:fldSimple>
      <w:r>
        <w:t xml:space="preserve"> - </w:t>
      </w:r>
      <w:r w:rsidRPr="007D2A04">
        <w:rPr>
          <w:noProof/>
        </w:rPr>
        <w:t>Aspecto visual do de lançamento de esgoto in natura localizado no rio Capim. (Local: 24K 0266099 7834809 / Altitude: 162 m).</w:t>
      </w:r>
      <w:bookmarkEnd w:id="464"/>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60EA6643" wp14:editId="1B6205E3">
            <wp:extent cx="4224871" cy="3172571"/>
            <wp:effectExtent l="19050" t="0" r="4229" b="0"/>
            <wp:docPr id="172" name="Imagem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4273552" cy="3209127"/>
                    </a:xfrm>
                    <a:prstGeom prst="rect">
                      <a:avLst/>
                    </a:prstGeom>
                    <a:noFill/>
                    <a:ln>
                      <a:noFill/>
                    </a:ln>
                  </pic:spPr>
                </pic:pic>
              </a:graphicData>
            </a:graphic>
          </wp:inline>
        </w:drawing>
      </w:r>
    </w:p>
    <w:p w:rsidR="00E32574" w:rsidRDefault="00523A67" w:rsidP="00523A67">
      <w:pPr>
        <w:pStyle w:val="Fonte"/>
        <w:ind w:firstLine="708"/>
        <w:rPr>
          <w:lang w:eastAsia="pt-BR"/>
        </w:rPr>
      </w:pPr>
      <w:r>
        <w:rPr>
          <w:lang w:eastAsia="pt-BR"/>
        </w:rPr>
        <w:t xml:space="preserve"> </w:t>
      </w:r>
      <w:r w:rsidR="00E32574" w:rsidRPr="00192C99">
        <w:rPr>
          <w:lang w:eastAsia="pt-BR"/>
        </w:rPr>
        <w:t>Fonte: Fundação Educacional de Caratinga - FUNEC, 2013</w:t>
      </w:r>
    </w:p>
    <w:p w:rsidR="00523A67" w:rsidRPr="004F571D" w:rsidRDefault="00291A25" w:rsidP="00291A25">
      <w:pPr>
        <w:pStyle w:val="Legenda"/>
      </w:pPr>
      <w:bookmarkStart w:id="465" w:name="_Toc372740220"/>
      <w:r>
        <w:t xml:space="preserve">Figura </w:t>
      </w:r>
      <w:fldSimple w:instr=" SEQ Figura \* ARABIC ">
        <w:r w:rsidR="004F77E2">
          <w:rPr>
            <w:noProof/>
          </w:rPr>
          <w:t>137</w:t>
        </w:r>
      </w:fldSimple>
      <w:r>
        <w:t xml:space="preserve"> - </w:t>
      </w:r>
      <w:r w:rsidRPr="00544874">
        <w:rPr>
          <w:noProof/>
        </w:rPr>
        <w:t>Aspecto visual do de lançamento de esgoto in natura localizado no rio Capim. (Local: 24K 0266308 7835326 / Altitude: 155 m).</w:t>
      </w:r>
      <w:bookmarkEnd w:id="465"/>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1A889E5F" wp14:editId="0630723D">
            <wp:extent cx="4338265" cy="3257723"/>
            <wp:effectExtent l="19050" t="0" r="5135" b="0"/>
            <wp:docPr id="171" name="Imagem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345412" cy="3263090"/>
                    </a:xfrm>
                    <a:prstGeom prst="rect">
                      <a:avLst/>
                    </a:prstGeom>
                    <a:noFill/>
                    <a:ln>
                      <a:noFill/>
                    </a:ln>
                  </pic:spPr>
                </pic:pic>
              </a:graphicData>
            </a:graphic>
          </wp:inline>
        </w:drawing>
      </w:r>
    </w:p>
    <w:p w:rsidR="00E32574" w:rsidRDefault="00523A67" w:rsidP="00523A67">
      <w:pPr>
        <w:pStyle w:val="Fonte"/>
        <w:ind w:firstLine="708"/>
        <w:rPr>
          <w:lang w:eastAsia="pt-BR"/>
        </w:rPr>
      </w:pPr>
      <w:r>
        <w:rPr>
          <w:lang w:eastAsia="pt-BR"/>
        </w:rPr>
        <w:t xml:space="preserve"> </w:t>
      </w:r>
      <w:r w:rsidR="00E32574" w:rsidRPr="00192C99">
        <w:rPr>
          <w:lang w:eastAsia="pt-BR"/>
        </w:rPr>
        <w:t>Fonte: Fundação Educacional de Caratinga - FUNEC, 2013</w:t>
      </w:r>
    </w:p>
    <w:p w:rsidR="00E32574" w:rsidRPr="000C5DD6" w:rsidRDefault="00886DAD" w:rsidP="00971B37">
      <w:pPr>
        <w:pStyle w:val="Titulo"/>
      </w:pPr>
      <w:bookmarkStart w:id="466" w:name="_Toc372559139"/>
      <w:bookmarkStart w:id="467" w:name="_Toc372789570"/>
      <w:r w:rsidRPr="000C5DD6">
        <w:lastRenderedPageBreak/>
        <w:t xml:space="preserve">12.10.3 </w:t>
      </w:r>
      <w:r w:rsidR="00E32574" w:rsidRPr="000C5DD6">
        <w:t>Expedicionário Alicio</w:t>
      </w:r>
      <w:bookmarkEnd w:id="466"/>
      <w:bookmarkEnd w:id="467"/>
    </w:p>
    <w:p w:rsidR="00E32574" w:rsidRPr="00523A67" w:rsidRDefault="00E32574" w:rsidP="00BC3186">
      <w:pPr>
        <w:spacing w:after="0" w:line="360" w:lineRule="auto"/>
        <w:ind w:firstLine="709"/>
        <w:jc w:val="both"/>
        <w:rPr>
          <w:spacing w:val="-2"/>
        </w:rPr>
      </w:pPr>
      <w:r w:rsidRPr="00523A67">
        <w:rPr>
          <w:spacing w:val="-2"/>
        </w:rPr>
        <w:t>O Sistema de esgotamento é insatisfatório devido à baixa declividade, entupimentos constantes</w:t>
      </w:r>
      <w:r w:rsidR="00886DAD">
        <w:rPr>
          <w:spacing w:val="-2"/>
        </w:rPr>
        <w:t xml:space="preserve"> é</w:t>
      </w:r>
      <w:r w:rsidRPr="00523A67">
        <w:rPr>
          <w:spacing w:val="-2"/>
        </w:rPr>
        <w:t xml:space="preserve"> alvo de muitas reclamações pelos moradores do distrito. A elevatória foi construída em local inadequado, quando há problemas ocorre</w:t>
      </w:r>
      <w:r w:rsidR="00886DAD">
        <w:rPr>
          <w:spacing w:val="-2"/>
        </w:rPr>
        <w:t>m</w:t>
      </w:r>
      <w:r w:rsidRPr="00523A67">
        <w:rPr>
          <w:spacing w:val="-2"/>
        </w:rPr>
        <w:t xml:space="preserve"> vazamento</w:t>
      </w:r>
      <w:r w:rsidR="00886DAD">
        <w:rPr>
          <w:spacing w:val="-2"/>
        </w:rPr>
        <w:t>s</w:t>
      </w:r>
      <w:r w:rsidRPr="00523A67">
        <w:rPr>
          <w:spacing w:val="-2"/>
        </w:rPr>
        <w:t xml:space="preserve"> de esgoto para o local onde capta água bruta para abastecimento da população. A rede de esgoto em PVC precisa redimensiona-la de 150 mm para 200 mm, o esgoto é 100% coletado e lançado </w:t>
      </w:r>
      <w:r w:rsidR="00886DAD">
        <w:rPr>
          <w:spacing w:val="-2"/>
        </w:rPr>
        <w:t>“</w:t>
      </w:r>
      <w:r w:rsidRPr="00523A67">
        <w:rPr>
          <w:i/>
          <w:spacing w:val="-2"/>
        </w:rPr>
        <w:t>in natura</w:t>
      </w:r>
      <w:r w:rsidR="00886DAD">
        <w:rPr>
          <w:i/>
          <w:spacing w:val="-2"/>
        </w:rPr>
        <w:t>”</w:t>
      </w:r>
      <w:r w:rsidRPr="00523A67">
        <w:rPr>
          <w:spacing w:val="-2"/>
        </w:rPr>
        <w:t xml:space="preserve"> na lagoa, devendo criar uma ETE para o distrito.</w:t>
      </w:r>
      <w:r w:rsidR="00886DAD">
        <w:rPr>
          <w:spacing w:val="-2"/>
        </w:rPr>
        <w:t xml:space="preserve"> Nas fotos da Figuras 138, 139 e 140 pode ser observada a situação do sistema de esgoto do distrito de Expedicionário Alicio.</w:t>
      </w:r>
    </w:p>
    <w:p w:rsidR="00523A67" w:rsidRPr="004F571D" w:rsidRDefault="00291A25" w:rsidP="00291A25">
      <w:pPr>
        <w:pStyle w:val="Legenda"/>
      </w:pPr>
      <w:bookmarkStart w:id="468" w:name="_Toc372740221"/>
      <w:r>
        <w:t xml:space="preserve">Figura </w:t>
      </w:r>
      <w:fldSimple w:instr=" SEQ Figura \* ARABIC ">
        <w:r w:rsidR="004F77E2">
          <w:rPr>
            <w:noProof/>
          </w:rPr>
          <w:t>138</w:t>
        </w:r>
      </w:fldSimple>
      <w:r>
        <w:t xml:space="preserve"> - </w:t>
      </w:r>
      <w:r w:rsidRPr="00DB4B28">
        <w:rPr>
          <w:noProof/>
        </w:rPr>
        <w:t>Vista da entrada da Estação Elevatória localizada na Rua 01. (Local: 24K 0258852 7826358 / Altitude: 236 m).</w:t>
      </w:r>
      <w:bookmarkEnd w:id="468"/>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0B9B4BD4" wp14:editId="5FB8CA4C">
            <wp:extent cx="4500596" cy="3379622"/>
            <wp:effectExtent l="0" t="0" r="0" b="0"/>
            <wp:docPr id="169" name="Imagem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508381" cy="3385468"/>
                    </a:xfrm>
                    <a:prstGeom prst="rect">
                      <a:avLst/>
                    </a:prstGeom>
                    <a:noFill/>
                    <a:ln>
                      <a:noFill/>
                    </a:ln>
                  </pic:spPr>
                </pic:pic>
              </a:graphicData>
            </a:graphic>
          </wp:inline>
        </w:drawing>
      </w:r>
    </w:p>
    <w:p w:rsidR="00E32574" w:rsidRDefault="00E32574" w:rsidP="00523A67">
      <w:pPr>
        <w:pStyle w:val="Fonte"/>
        <w:ind w:firstLine="708"/>
        <w:rPr>
          <w:lang w:eastAsia="pt-BR"/>
        </w:rPr>
      </w:pPr>
      <w:r w:rsidRPr="00192C99">
        <w:rPr>
          <w:lang w:eastAsia="pt-BR"/>
        </w:rPr>
        <w:t>Fonte: Fundação Educacional de Caratinga - FUNEC, 2013</w:t>
      </w:r>
    </w:p>
    <w:p w:rsidR="00523A67" w:rsidRDefault="00523A67">
      <w:pPr>
        <w:spacing w:after="200" w:line="276" w:lineRule="auto"/>
        <w:rPr>
          <w:rFonts w:eastAsiaTheme="minorEastAsia" w:cs="Times New Roman"/>
          <w:bCs/>
          <w:szCs w:val="24"/>
          <w:lang w:eastAsia="pt-BR"/>
        </w:rPr>
      </w:pPr>
      <w:r>
        <w:br w:type="page"/>
      </w:r>
    </w:p>
    <w:p w:rsidR="00523A67" w:rsidRPr="004F571D" w:rsidRDefault="00291A25" w:rsidP="00291A25">
      <w:pPr>
        <w:pStyle w:val="Legenda"/>
      </w:pPr>
      <w:bookmarkStart w:id="469" w:name="_Toc372740222"/>
      <w:r>
        <w:lastRenderedPageBreak/>
        <w:t xml:space="preserve">Figura </w:t>
      </w:r>
      <w:fldSimple w:instr=" SEQ Figura \* ARABIC ">
        <w:r w:rsidR="004F77E2">
          <w:rPr>
            <w:noProof/>
          </w:rPr>
          <w:t>139</w:t>
        </w:r>
      </w:fldSimple>
      <w:r>
        <w:t xml:space="preserve"> - </w:t>
      </w:r>
      <w:r w:rsidRPr="005C775B">
        <w:rPr>
          <w:noProof/>
        </w:rPr>
        <w:t xml:space="preserve">Lançamento de esgoto </w:t>
      </w:r>
      <w:r w:rsidRPr="00291A25">
        <w:rPr>
          <w:i/>
          <w:noProof/>
        </w:rPr>
        <w:t>in natura</w:t>
      </w:r>
      <w:r w:rsidRPr="005C775B">
        <w:rPr>
          <w:noProof/>
        </w:rPr>
        <w:t>, atrás da Escola Municipal José Teixeira de Franco. (Local: 24K 0259166 7826844 / Altitude: 190 m).</w:t>
      </w:r>
      <w:bookmarkEnd w:id="469"/>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4F35ADFC" wp14:editId="5960775C">
            <wp:extent cx="4388895" cy="3295742"/>
            <wp:effectExtent l="19050" t="0" r="0" b="0"/>
            <wp:docPr id="168" name="Imagem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401088" cy="3304898"/>
                    </a:xfrm>
                    <a:prstGeom prst="rect">
                      <a:avLst/>
                    </a:prstGeom>
                    <a:noFill/>
                    <a:ln>
                      <a:noFill/>
                    </a:ln>
                  </pic:spPr>
                </pic:pic>
              </a:graphicData>
            </a:graphic>
          </wp:inline>
        </w:drawing>
      </w:r>
    </w:p>
    <w:p w:rsidR="00E32574" w:rsidRDefault="00E32574" w:rsidP="00466071">
      <w:pPr>
        <w:pStyle w:val="Fonte"/>
        <w:ind w:firstLine="851"/>
        <w:rPr>
          <w:lang w:eastAsia="pt-BR"/>
        </w:rPr>
      </w:pPr>
      <w:r w:rsidRPr="00192C99">
        <w:rPr>
          <w:lang w:eastAsia="pt-BR"/>
        </w:rPr>
        <w:t>Fonte: Fundação Educacional de Caratinga - FUNEC, 2013</w:t>
      </w:r>
    </w:p>
    <w:p w:rsidR="00523A67" w:rsidRPr="004F571D" w:rsidRDefault="00291A25" w:rsidP="00291A25">
      <w:pPr>
        <w:pStyle w:val="Legenda"/>
      </w:pPr>
      <w:bookmarkStart w:id="470" w:name="_Toc372740223"/>
      <w:r>
        <w:t xml:space="preserve">Figura </w:t>
      </w:r>
      <w:fldSimple w:instr=" SEQ Figura \* ARABIC ">
        <w:r w:rsidR="004F77E2">
          <w:rPr>
            <w:noProof/>
          </w:rPr>
          <w:t>140</w:t>
        </w:r>
      </w:fldSimple>
      <w:r>
        <w:t xml:space="preserve"> - </w:t>
      </w:r>
      <w:r w:rsidRPr="007F02F2">
        <w:rPr>
          <w:noProof/>
        </w:rPr>
        <w:t>Estação Elevatória próxima ao ponto de captação de água bruta (Local: 24K 0258917 7826208 / Altitude: 168 m).</w:t>
      </w:r>
      <w:bookmarkEnd w:id="470"/>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64CFE3F4" wp14:editId="1668F830">
            <wp:extent cx="4266041" cy="3203489"/>
            <wp:effectExtent l="19050" t="0" r="1159" b="0"/>
            <wp:docPr id="167" name="Imagem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269208" cy="3205867"/>
                    </a:xfrm>
                    <a:prstGeom prst="rect">
                      <a:avLst/>
                    </a:prstGeom>
                    <a:noFill/>
                    <a:ln>
                      <a:noFill/>
                    </a:ln>
                  </pic:spPr>
                </pic:pic>
              </a:graphicData>
            </a:graphic>
          </wp:inline>
        </w:drawing>
      </w:r>
    </w:p>
    <w:p w:rsidR="00E32574" w:rsidRDefault="00523A67" w:rsidP="00466071">
      <w:pPr>
        <w:pStyle w:val="Fonte"/>
        <w:ind w:firstLine="851"/>
        <w:rPr>
          <w:lang w:eastAsia="pt-BR"/>
        </w:rPr>
      </w:pPr>
      <w:r>
        <w:rPr>
          <w:lang w:eastAsia="pt-BR"/>
        </w:rPr>
        <w:t xml:space="preserve"> </w:t>
      </w:r>
      <w:r w:rsidR="00E32574" w:rsidRPr="00192C99">
        <w:rPr>
          <w:lang w:eastAsia="pt-BR"/>
        </w:rPr>
        <w:t>Fonte: Fundação Educacional de Caratinga - FUNEC, 2013</w:t>
      </w:r>
    </w:p>
    <w:p w:rsidR="00E32574" w:rsidRPr="000C5DD6" w:rsidRDefault="00475E31" w:rsidP="00971B37">
      <w:pPr>
        <w:pStyle w:val="Titulo"/>
      </w:pPr>
      <w:bookmarkStart w:id="471" w:name="_Toc372559140"/>
      <w:bookmarkStart w:id="472" w:name="_Toc372789571"/>
      <w:r w:rsidRPr="000C5DD6">
        <w:lastRenderedPageBreak/>
        <w:t xml:space="preserve">12.10.4 </w:t>
      </w:r>
      <w:r w:rsidR="00E32574" w:rsidRPr="000C5DD6">
        <w:t>Mundo Novo de Minas</w:t>
      </w:r>
      <w:bookmarkEnd w:id="471"/>
      <w:bookmarkEnd w:id="472"/>
    </w:p>
    <w:p w:rsidR="00E32574" w:rsidRDefault="00E32574" w:rsidP="00BC3186">
      <w:pPr>
        <w:spacing w:after="0" w:line="360" w:lineRule="auto"/>
        <w:ind w:firstLine="709"/>
        <w:jc w:val="both"/>
      </w:pPr>
      <w:r>
        <w:t xml:space="preserve">O </w:t>
      </w:r>
      <w:r w:rsidRPr="003D4E2C">
        <w:t xml:space="preserve">Sistema de esgotamento </w:t>
      </w:r>
      <w:r>
        <w:t xml:space="preserve">é </w:t>
      </w:r>
      <w:r w:rsidRPr="003D4E2C">
        <w:t xml:space="preserve">satisfatório, </w:t>
      </w:r>
      <w:r>
        <w:t xml:space="preserve">a rede de distribuição </w:t>
      </w:r>
      <w:r w:rsidRPr="003D4E2C">
        <w:t xml:space="preserve">PVC de 150 mm </w:t>
      </w:r>
      <w:r>
        <w:t xml:space="preserve">atende ao sistema, </w:t>
      </w:r>
      <w:r w:rsidRPr="003D4E2C">
        <w:t xml:space="preserve">não sendo necessário investir no seu redimensionamento, </w:t>
      </w:r>
      <w:r w:rsidR="00BC3186">
        <w:t>porém sendo necessária a realização de</w:t>
      </w:r>
      <w:r w:rsidRPr="003D4E2C">
        <w:t xml:space="preserve"> eventuais reparos. </w:t>
      </w:r>
      <w:r w:rsidR="00BC3186">
        <w:t>O e</w:t>
      </w:r>
      <w:r w:rsidRPr="003D4E2C">
        <w:t>sgoto</w:t>
      </w:r>
      <w:r>
        <w:t xml:space="preserve"> é lançado </w:t>
      </w:r>
      <w:r w:rsidR="00BC3186">
        <w:t>“</w:t>
      </w:r>
      <w:r w:rsidRPr="00164AD6">
        <w:rPr>
          <w:i/>
        </w:rPr>
        <w:t>in natura</w:t>
      </w:r>
      <w:r w:rsidR="00BC3186">
        <w:rPr>
          <w:i/>
        </w:rPr>
        <w:t>”</w:t>
      </w:r>
      <w:r>
        <w:t xml:space="preserve"> em uma l</w:t>
      </w:r>
      <w:r w:rsidRPr="003D4E2C">
        <w:t xml:space="preserve">agoa, </w:t>
      </w:r>
      <w:r w:rsidR="00BC3186">
        <w:t xml:space="preserve">é </w:t>
      </w:r>
      <w:r w:rsidRPr="003D4E2C">
        <w:t xml:space="preserve">necessário </w:t>
      </w:r>
      <w:r w:rsidR="00BC3186">
        <w:t>construir</w:t>
      </w:r>
      <w:r w:rsidRPr="003D4E2C">
        <w:t xml:space="preserve"> uma ETE.</w:t>
      </w:r>
      <w:r w:rsidR="00BC3186">
        <w:t xml:space="preserve"> Nas fotos da Figuras 141, 142, e 143 pode-se observar as condições gerais do sistema de coleta de esgoto do distrito de Mundo Novo de Minas</w:t>
      </w:r>
    </w:p>
    <w:p w:rsidR="00523A67" w:rsidRPr="004F571D" w:rsidRDefault="00291A25" w:rsidP="00291A25">
      <w:pPr>
        <w:pStyle w:val="Legenda"/>
      </w:pPr>
      <w:bookmarkStart w:id="473" w:name="_Toc372740224"/>
      <w:r>
        <w:t xml:space="preserve">Figura </w:t>
      </w:r>
      <w:fldSimple w:instr=" SEQ Figura \* ARABIC ">
        <w:r w:rsidR="004F77E2">
          <w:rPr>
            <w:noProof/>
          </w:rPr>
          <w:t>141</w:t>
        </w:r>
      </w:fldSimple>
      <w:r>
        <w:t xml:space="preserve"> - </w:t>
      </w:r>
      <w:r w:rsidRPr="00E02469">
        <w:rPr>
          <w:noProof/>
        </w:rPr>
        <w:t xml:space="preserve">Aspecto visual do de lançamento de esgoto </w:t>
      </w:r>
      <w:r w:rsidRPr="00291A25">
        <w:rPr>
          <w:i/>
          <w:noProof/>
        </w:rPr>
        <w:t>in natura</w:t>
      </w:r>
      <w:r w:rsidRPr="00E02469">
        <w:rPr>
          <w:noProof/>
        </w:rPr>
        <w:t xml:space="preserve"> ao lado do campo de futebol. (Local: 24K 0253332 7815218/ Altitude: 230 m).</w:t>
      </w:r>
      <w:bookmarkEnd w:id="473"/>
    </w:p>
    <w:p w:rsidR="00E32574" w:rsidRDefault="00E32574" w:rsidP="000B3308">
      <w:pPr>
        <w:spacing w:after="0" w:line="240" w:lineRule="auto"/>
        <w:jc w:val="center"/>
        <w:rPr>
          <w:noProof/>
          <w:lang w:eastAsia="pt-BR"/>
        </w:rPr>
      </w:pPr>
      <w:r>
        <w:rPr>
          <w:noProof/>
          <w:lang w:eastAsia="pt-BR"/>
        </w:rPr>
        <w:drawing>
          <wp:inline distT="0" distB="0" distL="0" distR="0" wp14:anchorId="5405F62B" wp14:editId="03C1BA53">
            <wp:extent cx="4510338" cy="3386938"/>
            <wp:effectExtent l="0" t="0" r="5080" b="4445"/>
            <wp:docPr id="166" name="Imagem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514224" cy="3389856"/>
                    </a:xfrm>
                    <a:prstGeom prst="rect">
                      <a:avLst/>
                    </a:prstGeom>
                    <a:noFill/>
                    <a:ln>
                      <a:noFill/>
                    </a:ln>
                  </pic:spPr>
                </pic:pic>
              </a:graphicData>
            </a:graphic>
          </wp:inline>
        </w:drawing>
      </w:r>
    </w:p>
    <w:p w:rsidR="00E32574" w:rsidRDefault="00E32574" w:rsidP="00523A67">
      <w:pPr>
        <w:pStyle w:val="Fonte"/>
        <w:ind w:firstLine="708"/>
        <w:rPr>
          <w:lang w:eastAsia="pt-BR"/>
        </w:rPr>
      </w:pPr>
      <w:r w:rsidRPr="00192C99">
        <w:rPr>
          <w:lang w:eastAsia="pt-BR"/>
        </w:rPr>
        <w:t>Fonte: Fundação Educacional de Caratinga - FUNEC, 2013</w:t>
      </w:r>
    </w:p>
    <w:p w:rsidR="00523A67" w:rsidRDefault="00523A67">
      <w:pPr>
        <w:spacing w:after="200" w:line="276" w:lineRule="auto"/>
        <w:rPr>
          <w:rFonts w:eastAsiaTheme="minorEastAsia" w:cs="Times New Roman"/>
          <w:bCs/>
          <w:szCs w:val="24"/>
          <w:lang w:eastAsia="pt-BR"/>
        </w:rPr>
      </w:pPr>
      <w:r>
        <w:br w:type="page"/>
      </w:r>
    </w:p>
    <w:p w:rsidR="00523A67" w:rsidRPr="00BC3186" w:rsidRDefault="00291A25" w:rsidP="00291A25">
      <w:pPr>
        <w:pStyle w:val="Legenda"/>
        <w:rPr>
          <w:b w:val="0"/>
        </w:rPr>
      </w:pPr>
      <w:bookmarkStart w:id="474" w:name="_Toc372740225"/>
      <w:r>
        <w:lastRenderedPageBreak/>
        <w:t xml:space="preserve">Figura </w:t>
      </w:r>
      <w:fldSimple w:instr=" SEQ Figura \* ARABIC ">
        <w:r w:rsidR="004F77E2">
          <w:rPr>
            <w:noProof/>
          </w:rPr>
          <w:t>142</w:t>
        </w:r>
      </w:fldSimple>
      <w:r>
        <w:t xml:space="preserve"> - </w:t>
      </w:r>
      <w:r w:rsidRPr="00840359">
        <w:rPr>
          <w:noProof/>
        </w:rPr>
        <w:t xml:space="preserve">Ponto de lançamento de esgoto </w:t>
      </w:r>
      <w:r w:rsidRPr="00291A25">
        <w:rPr>
          <w:i/>
          <w:noProof/>
        </w:rPr>
        <w:t>in natura</w:t>
      </w:r>
      <w:r w:rsidRPr="00840359">
        <w:rPr>
          <w:noProof/>
        </w:rPr>
        <w:t>.  (Local: 24K 0253299 7815220 / Altitude: 232 m).</w:t>
      </w:r>
      <w:bookmarkEnd w:id="474"/>
    </w:p>
    <w:p w:rsidR="00E32574" w:rsidRDefault="00E32574" w:rsidP="000B3308">
      <w:pPr>
        <w:spacing w:after="0" w:line="240" w:lineRule="auto"/>
        <w:jc w:val="center"/>
        <w:rPr>
          <w:noProof/>
          <w:lang w:eastAsia="pt-BR"/>
        </w:rPr>
      </w:pPr>
      <w:r>
        <w:rPr>
          <w:noProof/>
          <w:lang w:eastAsia="pt-BR"/>
        </w:rPr>
        <w:drawing>
          <wp:inline distT="0" distB="0" distL="0" distR="0" wp14:anchorId="3A15A871" wp14:editId="6BEBC9EB">
            <wp:extent cx="4182512" cy="3140765"/>
            <wp:effectExtent l="19050" t="0" r="8488" b="0"/>
            <wp:docPr id="165" name="Imagem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196127" cy="3150989"/>
                    </a:xfrm>
                    <a:prstGeom prst="rect">
                      <a:avLst/>
                    </a:prstGeom>
                    <a:noFill/>
                    <a:ln>
                      <a:noFill/>
                    </a:ln>
                  </pic:spPr>
                </pic:pic>
              </a:graphicData>
            </a:graphic>
          </wp:inline>
        </w:drawing>
      </w:r>
    </w:p>
    <w:p w:rsidR="00E32574" w:rsidRDefault="00523A67" w:rsidP="00523A67">
      <w:pPr>
        <w:pStyle w:val="Fonte"/>
        <w:ind w:left="708"/>
        <w:rPr>
          <w:lang w:eastAsia="pt-BR"/>
        </w:rPr>
      </w:pPr>
      <w:r>
        <w:rPr>
          <w:lang w:eastAsia="pt-BR"/>
        </w:rPr>
        <w:t xml:space="preserve"> </w:t>
      </w:r>
      <w:r w:rsidR="00E32574" w:rsidRPr="00192C99">
        <w:rPr>
          <w:lang w:eastAsia="pt-BR"/>
        </w:rPr>
        <w:t>Fonte: Fundação Educacional de Caratinga - FUNEC, 2013</w:t>
      </w:r>
    </w:p>
    <w:p w:rsidR="00523A67" w:rsidRDefault="00291A25" w:rsidP="00291A25">
      <w:pPr>
        <w:pStyle w:val="Legenda"/>
      </w:pPr>
      <w:bookmarkStart w:id="475" w:name="_Toc372740226"/>
      <w:r>
        <w:t xml:space="preserve">Figura </w:t>
      </w:r>
      <w:fldSimple w:instr=" SEQ Figura \* ARABIC ">
        <w:r w:rsidR="004F77E2">
          <w:rPr>
            <w:noProof/>
          </w:rPr>
          <w:t>143</w:t>
        </w:r>
      </w:fldSimple>
      <w:r>
        <w:t xml:space="preserve"> - </w:t>
      </w:r>
      <w:r w:rsidRPr="009B6A74">
        <w:t>Aspecto visual do despejo de esgoto doméstico.  (Local: 24K 0253299 7815220 / Altitude: 232 m).</w:t>
      </w:r>
      <w:bookmarkEnd w:id="475"/>
    </w:p>
    <w:p w:rsidR="00E32574" w:rsidRDefault="00E32574" w:rsidP="000B3308">
      <w:pPr>
        <w:spacing w:after="0" w:line="240" w:lineRule="auto"/>
        <w:jc w:val="center"/>
        <w:rPr>
          <w:noProof/>
          <w:lang w:eastAsia="pt-BR"/>
        </w:rPr>
      </w:pPr>
      <w:r>
        <w:rPr>
          <w:noProof/>
          <w:lang w:eastAsia="pt-BR"/>
        </w:rPr>
        <w:drawing>
          <wp:inline distT="0" distB="0" distL="0" distR="0" wp14:anchorId="4FAE3887" wp14:editId="69BB6C21">
            <wp:extent cx="2482409" cy="3301241"/>
            <wp:effectExtent l="19050" t="0" r="0" b="0"/>
            <wp:docPr id="164" name="Imagem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494864" cy="3317804"/>
                    </a:xfrm>
                    <a:prstGeom prst="rect">
                      <a:avLst/>
                    </a:prstGeom>
                    <a:noFill/>
                    <a:ln>
                      <a:noFill/>
                    </a:ln>
                  </pic:spPr>
                </pic:pic>
              </a:graphicData>
            </a:graphic>
          </wp:inline>
        </w:drawing>
      </w:r>
    </w:p>
    <w:p w:rsidR="00E32574" w:rsidRDefault="00523A67" w:rsidP="00523A67">
      <w:pPr>
        <w:pStyle w:val="Fonte"/>
        <w:ind w:left="1416" w:firstLine="708"/>
        <w:rPr>
          <w:lang w:eastAsia="pt-BR"/>
        </w:rPr>
      </w:pPr>
      <w:r>
        <w:rPr>
          <w:lang w:eastAsia="pt-BR"/>
        </w:rPr>
        <w:t xml:space="preserve">  </w:t>
      </w:r>
      <w:r w:rsidR="00E32574" w:rsidRPr="00192C99">
        <w:rPr>
          <w:lang w:eastAsia="pt-BR"/>
        </w:rPr>
        <w:t>Fonte: Fundação Educacional de Caratinga - FUNEC, 2013</w:t>
      </w:r>
    </w:p>
    <w:p w:rsidR="00E32574" w:rsidRPr="000C5DD6" w:rsidRDefault="00BC3186" w:rsidP="00971B37">
      <w:pPr>
        <w:pStyle w:val="Titulo"/>
      </w:pPr>
      <w:bookmarkStart w:id="476" w:name="_Toc372559141"/>
      <w:bookmarkStart w:id="477" w:name="_Toc372789572"/>
      <w:r w:rsidRPr="000C5DD6">
        <w:lastRenderedPageBreak/>
        <w:t xml:space="preserve">12.10.5 </w:t>
      </w:r>
      <w:r w:rsidR="00E32574" w:rsidRPr="000C5DD6">
        <w:t>Penha do Capim</w:t>
      </w:r>
      <w:bookmarkEnd w:id="476"/>
      <w:bookmarkEnd w:id="477"/>
    </w:p>
    <w:p w:rsidR="00E32574" w:rsidRPr="00BC3186" w:rsidRDefault="00E32574" w:rsidP="00C03B56">
      <w:pPr>
        <w:spacing w:after="0" w:line="360" w:lineRule="auto"/>
        <w:ind w:firstLine="709"/>
        <w:jc w:val="both"/>
        <w:rPr>
          <w:rFonts w:cs="Times New Roman"/>
          <w:szCs w:val="24"/>
        </w:rPr>
      </w:pPr>
      <w:r>
        <w:rPr>
          <w:szCs w:val="24"/>
        </w:rPr>
        <w:t>A r</w:t>
      </w:r>
      <w:r w:rsidRPr="003D4E2C">
        <w:rPr>
          <w:szCs w:val="24"/>
        </w:rPr>
        <w:t xml:space="preserve">ede </w:t>
      </w:r>
      <w:r>
        <w:rPr>
          <w:szCs w:val="24"/>
        </w:rPr>
        <w:t xml:space="preserve">coletora </w:t>
      </w:r>
      <w:r w:rsidRPr="003D4E2C">
        <w:rPr>
          <w:szCs w:val="24"/>
        </w:rPr>
        <w:t>de esgoto de cerâmica</w:t>
      </w:r>
      <w:r>
        <w:rPr>
          <w:szCs w:val="24"/>
        </w:rPr>
        <w:t xml:space="preserve"> é</w:t>
      </w:r>
      <w:r w:rsidRPr="003D4E2C">
        <w:rPr>
          <w:szCs w:val="24"/>
        </w:rPr>
        <w:t xml:space="preserve"> precária</w:t>
      </w:r>
      <w:r>
        <w:rPr>
          <w:szCs w:val="24"/>
        </w:rPr>
        <w:t xml:space="preserve">, necessitando redimensiona-la de </w:t>
      </w:r>
      <w:r w:rsidRPr="003D4E2C">
        <w:rPr>
          <w:szCs w:val="24"/>
        </w:rPr>
        <w:t>150</w:t>
      </w:r>
      <w:r>
        <w:rPr>
          <w:szCs w:val="24"/>
        </w:rPr>
        <w:t xml:space="preserve"> </w:t>
      </w:r>
      <w:r w:rsidRPr="003D4E2C">
        <w:rPr>
          <w:szCs w:val="24"/>
        </w:rPr>
        <w:t xml:space="preserve">mm para 200 mm, </w:t>
      </w:r>
      <w:r>
        <w:rPr>
          <w:szCs w:val="24"/>
        </w:rPr>
        <w:t xml:space="preserve">para evitar os entupimentos constantes. Existe a </w:t>
      </w:r>
      <w:r w:rsidRPr="003D4E2C">
        <w:rPr>
          <w:szCs w:val="24"/>
        </w:rPr>
        <w:t xml:space="preserve">presença de água pluvial na rede de esgoto. A ETE </w:t>
      </w:r>
      <w:r>
        <w:rPr>
          <w:szCs w:val="24"/>
        </w:rPr>
        <w:t>foi mal construída pela empresa contratada pelo SAAE</w:t>
      </w:r>
      <w:r w:rsidRPr="003D4E2C">
        <w:rPr>
          <w:szCs w:val="24"/>
        </w:rPr>
        <w:t xml:space="preserve"> e segue na justiça o processo da mesma, deve-se criar outra ETE em outro lugar</w:t>
      </w:r>
      <w:r>
        <w:t>.</w:t>
      </w:r>
      <w:r w:rsidR="00BC3186">
        <w:t xml:space="preserve"> </w:t>
      </w:r>
      <w:r w:rsidR="00BC3186" w:rsidRPr="00BC3186">
        <w:rPr>
          <w:rFonts w:cs="Times New Roman"/>
          <w:szCs w:val="24"/>
        </w:rPr>
        <w:t>Nas fotos das Figuras 144, 145, 146 e 147</w:t>
      </w:r>
      <w:r w:rsidR="00BC3186">
        <w:rPr>
          <w:rFonts w:cs="Times New Roman"/>
          <w:szCs w:val="24"/>
        </w:rPr>
        <w:t>, pode-se observar as condições do sistema de coleta e tratamento do esgoto do distrito de Penha do Capim</w:t>
      </w:r>
      <w:r w:rsidR="00BC3186" w:rsidRPr="00BC3186">
        <w:rPr>
          <w:rFonts w:cs="Times New Roman"/>
          <w:szCs w:val="24"/>
        </w:rPr>
        <w:t xml:space="preserve"> </w:t>
      </w:r>
    </w:p>
    <w:p w:rsidR="00523A67" w:rsidRDefault="00291A25" w:rsidP="00291A25">
      <w:pPr>
        <w:pStyle w:val="Legenda"/>
      </w:pPr>
      <w:bookmarkStart w:id="478" w:name="_Toc372740227"/>
      <w:r>
        <w:t xml:space="preserve">Figura </w:t>
      </w:r>
      <w:fldSimple w:instr=" SEQ Figura \* ARABIC ">
        <w:r w:rsidR="004F77E2">
          <w:rPr>
            <w:noProof/>
          </w:rPr>
          <w:t>144</w:t>
        </w:r>
      </w:fldSimple>
      <w:r>
        <w:t xml:space="preserve"> - </w:t>
      </w:r>
      <w:r w:rsidRPr="007708C1">
        <w:rPr>
          <w:noProof/>
        </w:rPr>
        <w:t>Aspecto visual do lançamento de esgoto “</w:t>
      </w:r>
      <w:r w:rsidRPr="00466071">
        <w:rPr>
          <w:i/>
          <w:noProof/>
        </w:rPr>
        <w:t>in natura</w:t>
      </w:r>
      <w:r w:rsidRPr="007708C1">
        <w:rPr>
          <w:noProof/>
        </w:rPr>
        <w:t>”, localizado no córrego Ibiruçu. (Local: 24K 0263583 7823801 / Altitude: 190 m).</w:t>
      </w:r>
      <w:bookmarkEnd w:id="478"/>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56302D11" wp14:editId="113DC16A">
            <wp:extent cx="4495238" cy="3375599"/>
            <wp:effectExtent l="0" t="0" r="635" b="0"/>
            <wp:docPr id="163" name="Imagem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513628" cy="3389408"/>
                    </a:xfrm>
                    <a:prstGeom prst="rect">
                      <a:avLst/>
                    </a:prstGeom>
                    <a:noFill/>
                    <a:ln>
                      <a:noFill/>
                    </a:ln>
                  </pic:spPr>
                </pic:pic>
              </a:graphicData>
            </a:graphic>
          </wp:inline>
        </w:drawing>
      </w:r>
    </w:p>
    <w:p w:rsidR="00E32574" w:rsidRDefault="00E32574" w:rsidP="00523A67">
      <w:pPr>
        <w:pStyle w:val="Fonte"/>
        <w:ind w:firstLine="708"/>
        <w:rPr>
          <w:lang w:eastAsia="pt-BR"/>
        </w:rPr>
      </w:pPr>
      <w:r w:rsidRPr="00192C99">
        <w:rPr>
          <w:lang w:eastAsia="pt-BR"/>
        </w:rPr>
        <w:t>Fonte: Fundação Educacional de Caratinga - FUNEC, 2013</w:t>
      </w:r>
    </w:p>
    <w:p w:rsidR="00523A67" w:rsidRDefault="00523A67">
      <w:pPr>
        <w:spacing w:after="200" w:line="276" w:lineRule="auto"/>
        <w:rPr>
          <w:rFonts w:eastAsiaTheme="minorEastAsia" w:cs="Times New Roman"/>
          <w:bCs/>
          <w:szCs w:val="24"/>
          <w:lang w:eastAsia="pt-BR"/>
        </w:rPr>
      </w:pPr>
      <w:r>
        <w:br w:type="page"/>
      </w:r>
    </w:p>
    <w:p w:rsidR="00523A67" w:rsidRDefault="00291A25" w:rsidP="00291A25">
      <w:pPr>
        <w:pStyle w:val="Legenda"/>
      </w:pPr>
      <w:bookmarkStart w:id="479" w:name="_Toc372740228"/>
      <w:r>
        <w:lastRenderedPageBreak/>
        <w:t xml:space="preserve">Figura </w:t>
      </w:r>
      <w:fldSimple w:instr=" SEQ Figura \* ARABIC ">
        <w:r w:rsidR="004F77E2">
          <w:rPr>
            <w:noProof/>
          </w:rPr>
          <w:t>145</w:t>
        </w:r>
      </w:fldSimple>
      <w:r>
        <w:t xml:space="preserve"> - </w:t>
      </w:r>
      <w:r w:rsidRPr="00AB2AD9">
        <w:rPr>
          <w:noProof/>
        </w:rPr>
        <w:t xml:space="preserve">Aspecto visual do lançamento de esgoto </w:t>
      </w:r>
      <w:r w:rsidRPr="00291A25">
        <w:rPr>
          <w:i/>
          <w:noProof/>
        </w:rPr>
        <w:t>in natura</w:t>
      </w:r>
      <w:r w:rsidRPr="00AB2AD9">
        <w:rPr>
          <w:noProof/>
        </w:rPr>
        <w:t>, localizado no córrego Ibiruçu. (Local: 24K 0263583 7823801 / Altitude: 190 m).</w:t>
      </w:r>
      <w:bookmarkEnd w:id="479"/>
    </w:p>
    <w:p w:rsidR="00E32574" w:rsidRPr="00523A67" w:rsidRDefault="00E32574" w:rsidP="00523A67">
      <w:pPr>
        <w:pStyle w:val="TituloFiguras"/>
        <w:jc w:val="center"/>
      </w:pPr>
      <w:r w:rsidRPr="000B3308">
        <w:rPr>
          <w:noProof/>
          <w:szCs w:val="22"/>
        </w:rPr>
        <w:drawing>
          <wp:inline distT="0" distB="0" distL="0" distR="0" wp14:anchorId="0931C9FD" wp14:editId="561EB784">
            <wp:extent cx="4302456" cy="3230832"/>
            <wp:effectExtent l="19050" t="0" r="2844" b="0"/>
            <wp:docPr id="162" name="Imagem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9"/>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311658" cy="3237742"/>
                    </a:xfrm>
                    <a:prstGeom prst="rect">
                      <a:avLst/>
                    </a:prstGeom>
                    <a:noFill/>
                    <a:ln>
                      <a:noFill/>
                    </a:ln>
                  </pic:spPr>
                </pic:pic>
              </a:graphicData>
            </a:graphic>
          </wp:inline>
        </w:drawing>
      </w:r>
    </w:p>
    <w:p w:rsidR="00E32574" w:rsidRDefault="00523A67" w:rsidP="00523A67">
      <w:pPr>
        <w:pStyle w:val="Fonte"/>
        <w:ind w:left="708"/>
        <w:rPr>
          <w:lang w:eastAsia="pt-BR"/>
        </w:rPr>
      </w:pPr>
      <w:r>
        <w:rPr>
          <w:lang w:eastAsia="pt-BR"/>
        </w:rPr>
        <w:t xml:space="preserve"> </w:t>
      </w:r>
      <w:r w:rsidR="00E32574" w:rsidRPr="00192C99">
        <w:rPr>
          <w:lang w:eastAsia="pt-BR"/>
        </w:rPr>
        <w:t>Fonte: Fundação Educacional de Caratinga - FUNEC, 2013</w:t>
      </w:r>
    </w:p>
    <w:p w:rsidR="00523A67" w:rsidRPr="00F26135" w:rsidRDefault="00291A25" w:rsidP="00291A25">
      <w:pPr>
        <w:pStyle w:val="Legenda"/>
        <w:rPr>
          <w:b w:val="0"/>
        </w:rPr>
      </w:pPr>
      <w:bookmarkStart w:id="480" w:name="_Toc372740229"/>
      <w:r>
        <w:t xml:space="preserve">Figura </w:t>
      </w:r>
      <w:fldSimple w:instr=" SEQ Figura \* ARABIC ">
        <w:r w:rsidR="004F77E2">
          <w:rPr>
            <w:noProof/>
          </w:rPr>
          <w:t>146</w:t>
        </w:r>
      </w:fldSimple>
      <w:r>
        <w:t xml:space="preserve"> - </w:t>
      </w:r>
      <w:r w:rsidRPr="00BE5EC7">
        <w:rPr>
          <w:noProof/>
        </w:rPr>
        <w:t>Vista de parte da antiga ETE desativada devido a problemas estruturais. (Local: 24K 0263360 7823530 / Altitude: 179 m).</w:t>
      </w:r>
      <w:bookmarkEnd w:id="480"/>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73731D2A" wp14:editId="2232C8C6">
            <wp:extent cx="4309607" cy="3236203"/>
            <wp:effectExtent l="19050" t="0" r="0" b="0"/>
            <wp:docPr id="161" name="Imagem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338138" cy="3257628"/>
                    </a:xfrm>
                    <a:prstGeom prst="rect">
                      <a:avLst/>
                    </a:prstGeom>
                    <a:noFill/>
                    <a:ln>
                      <a:noFill/>
                    </a:ln>
                  </pic:spPr>
                </pic:pic>
              </a:graphicData>
            </a:graphic>
          </wp:inline>
        </w:drawing>
      </w:r>
    </w:p>
    <w:p w:rsidR="00E32574" w:rsidRDefault="00523A67" w:rsidP="00523A67">
      <w:pPr>
        <w:pStyle w:val="Fonte"/>
        <w:ind w:left="708"/>
        <w:rPr>
          <w:lang w:eastAsia="pt-BR"/>
        </w:rPr>
      </w:pPr>
      <w:r>
        <w:rPr>
          <w:lang w:eastAsia="pt-BR"/>
        </w:rPr>
        <w:t xml:space="preserve"> </w:t>
      </w:r>
      <w:r w:rsidR="00E32574" w:rsidRPr="00192C99">
        <w:rPr>
          <w:lang w:eastAsia="pt-BR"/>
        </w:rPr>
        <w:t>Fonte: Fundação Educacional de Caratinga - FUNEC, 2013</w:t>
      </w:r>
    </w:p>
    <w:p w:rsidR="00523A67" w:rsidRPr="00F26135" w:rsidRDefault="00291A25" w:rsidP="00291A25">
      <w:pPr>
        <w:pStyle w:val="Legenda"/>
        <w:rPr>
          <w:b w:val="0"/>
        </w:rPr>
      </w:pPr>
      <w:bookmarkStart w:id="481" w:name="_Toc372740230"/>
      <w:r>
        <w:lastRenderedPageBreak/>
        <w:t xml:space="preserve">Figura </w:t>
      </w:r>
      <w:fldSimple w:instr=" SEQ Figura \* ARABIC ">
        <w:r w:rsidR="004F77E2">
          <w:rPr>
            <w:noProof/>
          </w:rPr>
          <w:t>147</w:t>
        </w:r>
      </w:fldSimple>
      <w:r>
        <w:t xml:space="preserve"> - </w:t>
      </w:r>
      <w:r w:rsidRPr="00CA487E">
        <w:rPr>
          <w:noProof/>
        </w:rPr>
        <w:t>Aspecto visual de parte da estrutura do antigo sistema de tratamento de esgoto doméstico (Local: 24K 0263331 7823550 / Altitude: 179 m).</w:t>
      </w:r>
      <w:bookmarkEnd w:id="481"/>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114D18CB" wp14:editId="55BCD473">
            <wp:extent cx="4471372" cy="3357677"/>
            <wp:effectExtent l="0" t="0" r="5715" b="0"/>
            <wp:docPr id="160" name="Imagem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476315" cy="3361388"/>
                    </a:xfrm>
                    <a:prstGeom prst="rect">
                      <a:avLst/>
                    </a:prstGeom>
                    <a:noFill/>
                    <a:ln>
                      <a:noFill/>
                    </a:ln>
                  </pic:spPr>
                </pic:pic>
              </a:graphicData>
            </a:graphic>
          </wp:inline>
        </w:drawing>
      </w:r>
    </w:p>
    <w:p w:rsidR="00E32574" w:rsidRDefault="00E32574" w:rsidP="00523A67">
      <w:pPr>
        <w:pStyle w:val="Fonte"/>
        <w:ind w:firstLine="708"/>
        <w:rPr>
          <w:lang w:eastAsia="pt-BR"/>
        </w:rPr>
      </w:pPr>
      <w:r w:rsidRPr="00192C99">
        <w:rPr>
          <w:lang w:eastAsia="pt-BR"/>
        </w:rPr>
        <w:t>Fonte: Fundação Educacional de Caratinga - FUNEC, 2013</w:t>
      </w:r>
    </w:p>
    <w:p w:rsidR="00E32574" w:rsidRPr="000C5DD6" w:rsidRDefault="00F26135" w:rsidP="00971B37">
      <w:pPr>
        <w:pStyle w:val="Titulo"/>
      </w:pPr>
      <w:bookmarkStart w:id="482" w:name="_Toc372559142"/>
      <w:bookmarkStart w:id="483" w:name="_Toc372789573"/>
      <w:r w:rsidRPr="000C5DD6">
        <w:t xml:space="preserve">12.10.6 </w:t>
      </w:r>
      <w:r w:rsidR="00E32574" w:rsidRPr="000C5DD6">
        <w:t>Santo Antônio do Rio Doce</w:t>
      </w:r>
      <w:bookmarkEnd w:id="482"/>
      <w:bookmarkEnd w:id="483"/>
    </w:p>
    <w:p w:rsidR="00E32574" w:rsidRDefault="00E32574" w:rsidP="00C03B56">
      <w:pPr>
        <w:spacing w:after="0" w:line="360" w:lineRule="auto"/>
        <w:ind w:firstLine="709"/>
        <w:jc w:val="both"/>
      </w:pPr>
      <w:r>
        <w:t xml:space="preserve">O </w:t>
      </w:r>
      <w:r w:rsidRPr="00C26696">
        <w:t xml:space="preserve">Sistema de esgotamento </w:t>
      </w:r>
      <w:r>
        <w:t xml:space="preserve">é </w:t>
      </w:r>
      <w:r w:rsidRPr="00C26696">
        <w:t xml:space="preserve">insatisfatório, a rede </w:t>
      </w:r>
      <w:r w:rsidR="00F26135">
        <w:t>construída com</w:t>
      </w:r>
      <w:r w:rsidRPr="00C26696">
        <w:t xml:space="preserve"> manilha </w:t>
      </w:r>
      <w:r w:rsidR="00F26135">
        <w:t xml:space="preserve">de </w:t>
      </w:r>
      <w:r w:rsidRPr="00C26696">
        <w:t>cerâmica em péssimo estado, necessita</w:t>
      </w:r>
      <w:r>
        <w:t>ndo</w:t>
      </w:r>
      <w:r w:rsidRPr="00C26696">
        <w:t xml:space="preserve"> troca-la e redimen</w:t>
      </w:r>
      <w:r>
        <w:t xml:space="preserve">siona-la de 150 mm para 200 mm. A </w:t>
      </w:r>
      <w:r w:rsidRPr="00C26696">
        <w:t>a</w:t>
      </w:r>
      <w:r>
        <w:t>ntiga</w:t>
      </w:r>
      <w:r w:rsidRPr="00C26696">
        <w:t xml:space="preserve"> ETE foi sucateada e construída </w:t>
      </w:r>
      <w:r w:rsidR="00F26135">
        <w:t xml:space="preserve">em </w:t>
      </w:r>
      <w:r w:rsidRPr="00C26696">
        <w:t xml:space="preserve">local impróprio. Sugere-se que seja feito um estudo sobre a situação geral devido a constantes entupimentos e lançamentos de esgoto </w:t>
      </w:r>
      <w:r>
        <w:t xml:space="preserve">in natura </w:t>
      </w:r>
      <w:r w:rsidRPr="00C26696">
        <w:t>no rio Doce.</w:t>
      </w:r>
      <w:r w:rsidR="00F26135">
        <w:t xml:space="preserve"> As fotos das Figuras 148, 149, 150, 151, 152, 153 e 154 mostram claramente a situação caótica do sistema de coleta e tratamento do esgoto no distrito de Santo Antônio do Rio Doce.</w:t>
      </w:r>
    </w:p>
    <w:p w:rsidR="00E66158" w:rsidRDefault="00E66158">
      <w:pPr>
        <w:spacing w:after="200" w:line="276" w:lineRule="auto"/>
        <w:rPr>
          <w:rFonts w:eastAsiaTheme="minorEastAsia" w:cs="Times New Roman"/>
          <w:bCs/>
          <w:szCs w:val="24"/>
          <w:lang w:eastAsia="pt-BR"/>
        </w:rPr>
      </w:pPr>
      <w:r>
        <w:br w:type="page"/>
      </w:r>
    </w:p>
    <w:p w:rsidR="00E66158" w:rsidRPr="00F26135" w:rsidRDefault="00291A25" w:rsidP="00291A25">
      <w:pPr>
        <w:pStyle w:val="Legenda"/>
        <w:rPr>
          <w:b w:val="0"/>
        </w:rPr>
      </w:pPr>
      <w:bookmarkStart w:id="484" w:name="_Toc372740231"/>
      <w:r>
        <w:lastRenderedPageBreak/>
        <w:t xml:space="preserve">Figura </w:t>
      </w:r>
      <w:fldSimple w:instr=" SEQ Figura \* ARABIC ">
        <w:r w:rsidR="004F77E2">
          <w:rPr>
            <w:noProof/>
          </w:rPr>
          <w:t>148</w:t>
        </w:r>
      </w:fldSimple>
      <w:r>
        <w:t xml:space="preserve"> - </w:t>
      </w:r>
      <w:r w:rsidRPr="002850E5">
        <w:rPr>
          <w:noProof/>
        </w:rPr>
        <w:t>Estação Elevatória no final da Rua Travessa Guarani (Local: 24K 0288805 7842110 / Altitude: 70 m).</w:t>
      </w:r>
      <w:bookmarkEnd w:id="484"/>
    </w:p>
    <w:p w:rsidR="00E32574" w:rsidRDefault="00E32574" w:rsidP="000B3308">
      <w:pPr>
        <w:spacing w:after="0" w:line="240" w:lineRule="auto"/>
        <w:jc w:val="center"/>
        <w:rPr>
          <w:noProof/>
          <w:lang w:eastAsia="pt-BR"/>
        </w:rPr>
      </w:pPr>
      <w:r>
        <w:rPr>
          <w:noProof/>
          <w:lang w:eastAsia="pt-BR"/>
        </w:rPr>
        <w:drawing>
          <wp:inline distT="0" distB="0" distL="0" distR="0" wp14:anchorId="482F1C2A" wp14:editId="52584FAC">
            <wp:extent cx="4293596" cy="3224180"/>
            <wp:effectExtent l="19050" t="0" r="0" b="0"/>
            <wp:docPr id="159" name="Imagem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307959" cy="3234965"/>
                    </a:xfrm>
                    <a:prstGeom prst="rect">
                      <a:avLst/>
                    </a:prstGeom>
                    <a:noFill/>
                    <a:ln>
                      <a:noFill/>
                    </a:ln>
                  </pic:spPr>
                </pic:pic>
              </a:graphicData>
            </a:graphic>
          </wp:inline>
        </w:drawing>
      </w:r>
    </w:p>
    <w:p w:rsidR="00E32574" w:rsidRDefault="00033760" w:rsidP="00033760">
      <w:pPr>
        <w:pStyle w:val="Fonte"/>
        <w:ind w:firstLine="708"/>
        <w:rPr>
          <w:lang w:eastAsia="pt-BR"/>
        </w:rPr>
      </w:pPr>
      <w:r>
        <w:rPr>
          <w:lang w:eastAsia="pt-BR"/>
        </w:rPr>
        <w:t xml:space="preserve"> </w:t>
      </w:r>
      <w:r w:rsidR="00E32574" w:rsidRPr="00192C99">
        <w:rPr>
          <w:lang w:eastAsia="pt-BR"/>
        </w:rPr>
        <w:t>Fonte: Fundação Educacional de Caratinga - FUNEC, 2013</w:t>
      </w:r>
    </w:p>
    <w:p w:rsidR="00E66158" w:rsidRPr="00F26135" w:rsidRDefault="00291A25" w:rsidP="00291A25">
      <w:pPr>
        <w:pStyle w:val="Legenda"/>
        <w:rPr>
          <w:b w:val="0"/>
        </w:rPr>
      </w:pPr>
      <w:bookmarkStart w:id="485" w:name="_Toc372740232"/>
      <w:r>
        <w:t xml:space="preserve">Figura </w:t>
      </w:r>
      <w:fldSimple w:instr=" SEQ Figura \* ARABIC ">
        <w:r w:rsidR="004F77E2">
          <w:rPr>
            <w:noProof/>
          </w:rPr>
          <w:t>149</w:t>
        </w:r>
      </w:fldSimple>
      <w:r>
        <w:t xml:space="preserve"> - </w:t>
      </w:r>
      <w:r w:rsidRPr="006A2765">
        <w:rPr>
          <w:noProof/>
        </w:rPr>
        <w:t xml:space="preserve">Aspecto visual do lançamento de esgoto </w:t>
      </w:r>
      <w:r w:rsidRPr="00466071">
        <w:rPr>
          <w:i/>
          <w:noProof/>
        </w:rPr>
        <w:t>in natura</w:t>
      </w:r>
      <w:r w:rsidRPr="006A2765">
        <w:rPr>
          <w:noProof/>
        </w:rPr>
        <w:t xml:space="preserve"> localizado no rio Doce. (Local: 24K 0288775 7842025 / Altitude: 63 m).</w:t>
      </w:r>
      <w:bookmarkEnd w:id="485"/>
    </w:p>
    <w:p w:rsidR="00E32574" w:rsidRDefault="00E32574" w:rsidP="000B3308">
      <w:pPr>
        <w:spacing w:after="0" w:line="240" w:lineRule="auto"/>
        <w:jc w:val="center"/>
        <w:rPr>
          <w:noProof/>
          <w:lang w:eastAsia="pt-BR"/>
        </w:rPr>
      </w:pPr>
      <w:r>
        <w:rPr>
          <w:noProof/>
          <w:lang w:eastAsia="pt-BR"/>
        </w:rPr>
        <w:drawing>
          <wp:inline distT="0" distB="0" distL="0" distR="0" wp14:anchorId="20F56037" wp14:editId="0078D296">
            <wp:extent cx="4298872" cy="3228141"/>
            <wp:effectExtent l="19050" t="0" r="6428" b="0"/>
            <wp:docPr id="158" name="Imagem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309832" cy="3236371"/>
                    </a:xfrm>
                    <a:prstGeom prst="rect">
                      <a:avLst/>
                    </a:prstGeom>
                    <a:noFill/>
                    <a:ln>
                      <a:noFill/>
                    </a:ln>
                  </pic:spPr>
                </pic:pic>
              </a:graphicData>
            </a:graphic>
          </wp:inline>
        </w:drawing>
      </w:r>
    </w:p>
    <w:p w:rsidR="00E32574" w:rsidRDefault="00033760" w:rsidP="00033760">
      <w:pPr>
        <w:pStyle w:val="Fonte"/>
        <w:ind w:firstLine="708"/>
        <w:rPr>
          <w:lang w:eastAsia="pt-BR"/>
        </w:rPr>
      </w:pPr>
      <w:r>
        <w:rPr>
          <w:lang w:eastAsia="pt-BR"/>
        </w:rPr>
        <w:t xml:space="preserve"> </w:t>
      </w:r>
      <w:r w:rsidR="00E32574" w:rsidRPr="00192C99">
        <w:rPr>
          <w:lang w:eastAsia="pt-BR"/>
        </w:rPr>
        <w:t>Fonte: Fundação Educacional de Caratinga - FUNEC, 2013</w:t>
      </w:r>
    </w:p>
    <w:p w:rsidR="00033760" w:rsidRPr="004F571D" w:rsidRDefault="00291A25" w:rsidP="00291A25">
      <w:pPr>
        <w:pStyle w:val="Legenda"/>
      </w:pPr>
      <w:bookmarkStart w:id="486" w:name="_Toc372740233"/>
      <w:r>
        <w:lastRenderedPageBreak/>
        <w:t xml:space="preserve">Figura </w:t>
      </w:r>
      <w:fldSimple w:instr=" SEQ Figura \* ARABIC ">
        <w:r w:rsidR="004F77E2">
          <w:rPr>
            <w:noProof/>
          </w:rPr>
          <w:t>150</w:t>
        </w:r>
      </w:fldSimple>
      <w:r>
        <w:t xml:space="preserve"> - </w:t>
      </w:r>
      <w:r w:rsidRPr="00C7660B">
        <w:rPr>
          <w:noProof/>
        </w:rPr>
        <w:t xml:space="preserve">Vista de parte de tubulação de lançamento de esgoto </w:t>
      </w:r>
      <w:r w:rsidRPr="00291A25">
        <w:rPr>
          <w:i/>
          <w:noProof/>
        </w:rPr>
        <w:t>in natura</w:t>
      </w:r>
      <w:r w:rsidRPr="00C7660B">
        <w:rPr>
          <w:noProof/>
        </w:rPr>
        <w:t xml:space="preserve"> localizado no final da rua Governador Valadares, próximo ao córrego Vala Seca.  (Local: 24K 0288776 7842026 / Altitude: 63 m).</w:t>
      </w:r>
      <w:bookmarkEnd w:id="486"/>
    </w:p>
    <w:p w:rsidR="00E32574" w:rsidRDefault="00E32574" w:rsidP="000B3308">
      <w:pPr>
        <w:spacing w:after="0" w:line="240" w:lineRule="auto"/>
        <w:jc w:val="center"/>
        <w:rPr>
          <w:noProof/>
          <w:lang w:eastAsia="pt-BR"/>
        </w:rPr>
      </w:pPr>
      <w:r>
        <w:rPr>
          <w:noProof/>
          <w:lang w:eastAsia="pt-BR"/>
        </w:rPr>
        <w:drawing>
          <wp:inline distT="0" distB="0" distL="0" distR="0" wp14:anchorId="3633653D" wp14:editId="6CBF9719">
            <wp:extent cx="4129571" cy="3101009"/>
            <wp:effectExtent l="19050" t="0" r="4279" b="0"/>
            <wp:docPr id="157" name="Imagem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4"/>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147700" cy="3114623"/>
                    </a:xfrm>
                    <a:prstGeom prst="rect">
                      <a:avLst/>
                    </a:prstGeom>
                    <a:noFill/>
                    <a:ln>
                      <a:noFill/>
                    </a:ln>
                  </pic:spPr>
                </pic:pic>
              </a:graphicData>
            </a:graphic>
          </wp:inline>
        </w:drawing>
      </w:r>
    </w:p>
    <w:p w:rsidR="00E32574" w:rsidRDefault="00033760" w:rsidP="00033760">
      <w:pPr>
        <w:pStyle w:val="Fonte"/>
        <w:ind w:firstLine="708"/>
        <w:rPr>
          <w:lang w:eastAsia="pt-BR"/>
        </w:rPr>
      </w:pPr>
      <w:r>
        <w:rPr>
          <w:lang w:eastAsia="pt-BR"/>
        </w:rPr>
        <w:t xml:space="preserve">   </w:t>
      </w:r>
      <w:r w:rsidR="00E32574" w:rsidRPr="00192C99">
        <w:rPr>
          <w:lang w:eastAsia="pt-BR"/>
        </w:rPr>
        <w:t>Fonte: Fundação Educacional de Caratinga - FUNEC, 2013</w:t>
      </w:r>
    </w:p>
    <w:p w:rsidR="00033760" w:rsidRPr="00F26135" w:rsidRDefault="00291A25" w:rsidP="00291A25">
      <w:pPr>
        <w:pStyle w:val="Legenda"/>
        <w:rPr>
          <w:b w:val="0"/>
        </w:rPr>
      </w:pPr>
      <w:bookmarkStart w:id="487" w:name="_Toc372740234"/>
      <w:r>
        <w:t xml:space="preserve">Figura </w:t>
      </w:r>
      <w:fldSimple w:instr=" SEQ Figura \* ARABIC ">
        <w:r w:rsidR="004F77E2">
          <w:rPr>
            <w:noProof/>
          </w:rPr>
          <w:t>151</w:t>
        </w:r>
      </w:fldSimple>
      <w:r>
        <w:t xml:space="preserve"> - </w:t>
      </w:r>
      <w:r w:rsidRPr="00933E9D">
        <w:rPr>
          <w:noProof/>
        </w:rPr>
        <w:t>Aspecto visual do retorno do fluxo de esgoto devido aos entupimentos. (Local: 24K 0288851 7842334 / Altitude: 65 m).</w:t>
      </w:r>
      <w:bookmarkEnd w:id="487"/>
    </w:p>
    <w:p w:rsidR="00E32574" w:rsidRDefault="00E32574" w:rsidP="000B3308">
      <w:pPr>
        <w:spacing w:after="0" w:line="240" w:lineRule="auto"/>
        <w:jc w:val="center"/>
        <w:rPr>
          <w:noProof/>
          <w:lang w:eastAsia="pt-BR"/>
        </w:rPr>
      </w:pPr>
      <w:r>
        <w:rPr>
          <w:noProof/>
          <w:lang w:eastAsia="pt-BR"/>
        </w:rPr>
        <w:drawing>
          <wp:inline distT="0" distB="0" distL="0" distR="0" wp14:anchorId="0D147965" wp14:editId="6581CCF7">
            <wp:extent cx="4244450" cy="3187277"/>
            <wp:effectExtent l="19050" t="0" r="3700" b="0"/>
            <wp:docPr id="156" name="Imagem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266832" cy="3204084"/>
                    </a:xfrm>
                    <a:prstGeom prst="rect">
                      <a:avLst/>
                    </a:prstGeom>
                    <a:noFill/>
                    <a:ln>
                      <a:noFill/>
                    </a:ln>
                  </pic:spPr>
                </pic:pic>
              </a:graphicData>
            </a:graphic>
          </wp:inline>
        </w:drawing>
      </w:r>
    </w:p>
    <w:p w:rsidR="00E32574" w:rsidRDefault="00F26135" w:rsidP="00F26135">
      <w:pPr>
        <w:pStyle w:val="Fonte"/>
        <w:ind w:left="709"/>
        <w:rPr>
          <w:lang w:eastAsia="pt-BR"/>
        </w:rPr>
      </w:pPr>
      <w:r>
        <w:rPr>
          <w:lang w:eastAsia="pt-BR"/>
        </w:rPr>
        <w:t xml:space="preserve"> </w:t>
      </w:r>
      <w:r w:rsidR="00E32574" w:rsidRPr="00192C99">
        <w:rPr>
          <w:lang w:eastAsia="pt-BR"/>
        </w:rPr>
        <w:t>Fonte: Fundação Educacional de Caratinga - FUNEC, 2013</w:t>
      </w:r>
    </w:p>
    <w:p w:rsidR="00033760" w:rsidRPr="00F26135" w:rsidRDefault="00291A25" w:rsidP="00291A25">
      <w:pPr>
        <w:pStyle w:val="Legenda"/>
        <w:rPr>
          <w:b w:val="0"/>
        </w:rPr>
      </w:pPr>
      <w:bookmarkStart w:id="488" w:name="_Toc372740235"/>
      <w:r>
        <w:lastRenderedPageBreak/>
        <w:t xml:space="preserve">Figura </w:t>
      </w:r>
      <w:fldSimple w:instr=" SEQ Figura \* ARABIC ">
        <w:r w:rsidR="004F77E2">
          <w:rPr>
            <w:noProof/>
          </w:rPr>
          <w:t>152</w:t>
        </w:r>
      </w:fldSimple>
      <w:r>
        <w:t xml:space="preserve"> - </w:t>
      </w:r>
      <w:r w:rsidRPr="00B976B6">
        <w:rPr>
          <w:noProof/>
        </w:rPr>
        <w:t>Aspecto visual do retorno do fluxo de esgoto devido aos entupimentos. (Local: 24K 0288851 7842334 / Altitude: 65 m).</w:t>
      </w:r>
      <w:bookmarkEnd w:id="488"/>
    </w:p>
    <w:p w:rsidR="00E32574" w:rsidRDefault="00E32574" w:rsidP="000B3308">
      <w:pPr>
        <w:spacing w:after="0" w:line="240" w:lineRule="auto"/>
        <w:jc w:val="center"/>
        <w:rPr>
          <w:noProof/>
          <w:lang w:eastAsia="pt-BR"/>
        </w:rPr>
      </w:pPr>
      <w:r>
        <w:rPr>
          <w:noProof/>
          <w:lang w:eastAsia="pt-BR"/>
        </w:rPr>
        <w:drawing>
          <wp:inline distT="0" distB="0" distL="0" distR="0" wp14:anchorId="3FA0FF31" wp14:editId="1E6ABE04">
            <wp:extent cx="4246047" cy="3188473"/>
            <wp:effectExtent l="19050" t="0" r="2103" b="0"/>
            <wp:docPr id="155" name="Imagem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258344" cy="3197707"/>
                    </a:xfrm>
                    <a:prstGeom prst="rect">
                      <a:avLst/>
                    </a:prstGeom>
                    <a:noFill/>
                    <a:ln>
                      <a:noFill/>
                    </a:ln>
                  </pic:spPr>
                </pic:pic>
              </a:graphicData>
            </a:graphic>
          </wp:inline>
        </w:drawing>
      </w:r>
    </w:p>
    <w:p w:rsidR="00E32574" w:rsidRDefault="00033760" w:rsidP="00033760">
      <w:pPr>
        <w:pStyle w:val="Fonte"/>
        <w:ind w:firstLine="708"/>
        <w:rPr>
          <w:lang w:eastAsia="pt-BR"/>
        </w:rPr>
      </w:pPr>
      <w:r>
        <w:rPr>
          <w:lang w:eastAsia="pt-BR"/>
        </w:rPr>
        <w:t xml:space="preserve"> </w:t>
      </w:r>
      <w:r w:rsidR="00E32574" w:rsidRPr="00192C99">
        <w:rPr>
          <w:lang w:eastAsia="pt-BR"/>
        </w:rPr>
        <w:t>Fonte: Fundação Educacional de Caratinga - FUNEC, 2013</w:t>
      </w:r>
    </w:p>
    <w:p w:rsidR="00033760" w:rsidRPr="00A732CE" w:rsidRDefault="00291A25" w:rsidP="00291A25">
      <w:pPr>
        <w:pStyle w:val="Legenda"/>
        <w:rPr>
          <w:b w:val="0"/>
        </w:rPr>
      </w:pPr>
      <w:bookmarkStart w:id="489" w:name="_Toc372740236"/>
      <w:r>
        <w:t xml:space="preserve">Figura </w:t>
      </w:r>
      <w:fldSimple w:instr=" SEQ Figura \* ARABIC ">
        <w:r w:rsidR="004F77E2">
          <w:rPr>
            <w:noProof/>
          </w:rPr>
          <w:t>153</w:t>
        </w:r>
      </w:fldSimple>
      <w:r>
        <w:t xml:space="preserve"> - </w:t>
      </w:r>
      <w:r w:rsidRPr="001108D3">
        <w:rPr>
          <w:noProof/>
        </w:rPr>
        <w:t xml:space="preserve">Aspecto visual do lançamento de esgoto </w:t>
      </w:r>
      <w:r w:rsidRPr="00291A25">
        <w:rPr>
          <w:i/>
          <w:noProof/>
        </w:rPr>
        <w:t>in natura</w:t>
      </w:r>
      <w:r w:rsidRPr="001108D3">
        <w:rPr>
          <w:noProof/>
        </w:rPr>
        <w:t xml:space="preserve"> localizado no córrego Vala Seca, próximo ao fim da rua Tamandaré. (Local: 24K 0288669 7842430 / Altitude: 71 m).</w:t>
      </w:r>
      <w:bookmarkEnd w:id="489"/>
    </w:p>
    <w:p w:rsidR="00E32574" w:rsidRDefault="00E32574" w:rsidP="000B3308">
      <w:pPr>
        <w:spacing w:after="0" w:line="240" w:lineRule="auto"/>
        <w:jc w:val="center"/>
        <w:rPr>
          <w:noProof/>
          <w:lang w:eastAsia="pt-BR"/>
        </w:rPr>
      </w:pPr>
      <w:r>
        <w:rPr>
          <w:noProof/>
          <w:lang w:eastAsia="pt-BR"/>
        </w:rPr>
        <w:drawing>
          <wp:inline distT="0" distB="0" distL="0" distR="0" wp14:anchorId="00085050" wp14:editId="59FDAAA8">
            <wp:extent cx="4161336" cy="3124862"/>
            <wp:effectExtent l="19050" t="0" r="0" b="0"/>
            <wp:docPr id="154" name="Imagem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71045" cy="3132153"/>
                    </a:xfrm>
                    <a:prstGeom prst="rect">
                      <a:avLst/>
                    </a:prstGeom>
                    <a:noFill/>
                    <a:ln>
                      <a:noFill/>
                    </a:ln>
                  </pic:spPr>
                </pic:pic>
              </a:graphicData>
            </a:graphic>
          </wp:inline>
        </w:drawing>
      </w:r>
    </w:p>
    <w:p w:rsidR="00E32574" w:rsidRDefault="00033760" w:rsidP="00033760">
      <w:pPr>
        <w:pStyle w:val="Fonte"/>
        <w:ind w:firstLine="708"/>
        <w:rPr>
          <w:lang w:eastAsia="pt-BR"/>
        </w:rPr>
      </w:pPr>
      <w:r>
        <w:rPr>
          <w:lang w:eastAsia="pt-BR"/>
        </w:rPr>
        <w:t xml:space="preserve">  </w:t>
      </w:r>
      <w:r w:rsidR="00E32574" w:rsidRPr="00192C99">
        <w:rPr>
          <w:lang w:eastAsia="pt-BR"/>
        </w:rPr>
        <w:t>Fonte: Fundação Educacional de Caratinga - FUNEC, 2013</w:t>
      </w:r>
    </w:p>
    <w:p w:rsidR="00033760" w:rsidRPr="00A732CE" w:rsidRDefault="00291A25" w:rsidP="00291A25">
      <w:pPr>
        <w:pStyle w:val="Legenda"/>
        <w:rPr>
          <w:b w:val="0"/>
        </w:rPr>
      </w:pPr>
      <w:bookmarkStart w:id="490" w:name="_Toc372740237"/>
      <w:r>
        <w:lastRenderedPageBreak/>
        <w:t xml:space="preserve">Figura </w:t>
      </w:r>
      <w:fldSimple w:instr=" SEQ Figura \* ARABIC ">
        <w:r w:rsidR="004F77E2">
          <w:rPr>
            <w:noProof/>
          </w:rPr>
          <w:t>154</w:t>
        </w:r>
      </w:fldSimple>
      <w:r>
        <w:t xml:space="preserve"> - </w:t>
      </w:r>
      <w:r w:rsidRPr="00865B29">
        <w:rPr>
          <w:noProof/>
        </w:rPr>
        <w:t xml:space="preserve">Aspecto visual do lançamento de esgoto </w:t>
      </w:r>
      <w:r w:rsidRPr="00291A25">
        <w:rPr>
          <w:i/>
          <w:noProof/>
        </w:rPr>
        <w:t>in natura</w:t>
      </w:r>
      <w:r w:rsidRPr="00865B29">
        <w:rPr>
          <w:noProof/>
        </w:rPr>
        <w:t xml:space="preserve"> localizado no final da Rua Oswaldo Paiva no rio Doce. (Local: 24K 0288563 7842062 / Altitude: 62m).</w:t>
      </w:r>
      <w:bookmarkEnd w:id="490"/>
    </w:p>
    <w:p w:rsidR="00E32574" w:rsidRDefault="00E32574" w:rsidP="000B3308">
      <w:pPr>
        <w:spacing w:after="0" w:line="240" w:lineRule="auto"/>
        <w:jc w:val="center"/>
        <w:rPr>
          <w:noProof/>
          <w:lang w:eastAsia="pt-BR"/>
        </w:rPr>
      </w:pPr>
      <w:r>
        <w:rPr>
          <w:noProof/>
          <w:lang w:eastAsia="pt-BR"/>
        </w:rPr>
        <w:drawing>
          <wp:inline distT="0" distB="0" distL="0" distR="0" wp14:anchorId="7388E591" wp14:editId="65DBE0C9">
            <wp:extent cx="4461631" cy="3350362"/>
            <wp:effectExtent l="0" t="0" r="0" b="2540"/>
            <wp:docPr id="153" name="Imagem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4469038" cy="3355924"/>
                    </a:xfrm>
                    <a:prstGeom prst="rect">
                      <a:avLst/>
                    </a:prstGeom>
                    <a:noFill/>
                    <a:ln>
                      <a:noFill/>
                    </a:ln>
                  </pic:spPr>
                </pic:pic>
              </a:graphicData>
            </a:graphic>
          </wp:inline>
        </w:drawing>
      </w:r>
    </w:p>
    <w:p w:rsidR="00E32574" w:rsidRDefault="00033760" w:rsidP="00033760">
      <w:pPr>
        <w:pStyle w:val="Fonte"/>
        <w:ind w:firstLine="708"/>
        <w:rPr>
          <w:lang w:eastAsia="pt-BR"/>
        </w:rPr>
      </w:pPr>
      <w:r>
        <w:rPr>
          <w:lang w:eastAsia="pt-BR"/>
        </w:rPr>
        <w:t xml:space="preserve"> </w:t>
      </w:r>
      <w:r w:rsidR="00E32574" w:rsidRPr="00192C99">
        <w:rPr>
          <w:lang w:eastAsia="pt-BR"/>
        </w:rPr>
        <w:t>Fonte: Fundação Educacional de Caratinga - FUNEC, 2013</w:t>
      </w:r>
    </w:p>
    <w:p w:rsidR="00E32574" w:rsidRPr="000C5DD6" w:rsidRDefault="009A5340" w:rsidP="00971B37">
      <w:pPr>
        <w:pStyle w:val="Titulo"/>
      </w:pPr>
      <w:bookmarkStart w:id="491" w:name="_Toc372559143"/>
      <w:bookmarkStart w:id="492" w:name="_Toc372789574"/>
      <w:r w:rsidRPr="000C5DD6">
        <w:t xml:space="preserve">12.10.7 </w:t>
      </w:r>
      <w:r w:rsidR="00E32574" w:rsidRPr="000C5DD6">
        <w:t>São Sebastião da Vala</w:t>
      </w:r>
      <w:bookmarkEnd w:id="491"/>
      <w:bookmarkEnd w:id="492"/>
    </w:p>
    <w:p w:rsidR="00E32574" w:rsidRDefault="00E32574" w:rsidP="00C03B56">
      <w:pPr>
        <w:spacing w:after="0" w:line="360" w:lineRule="auto"/>
        <w:ind w:firstLine="709"/>
        <w:jc w:val="both"/>
        <w:rPr>
          <w:szCs w:val="24"/>
          <w:lang w:eastAsia="pt-BR"/>
        </w:rPr>
      </w:pPr>
      <w:r>
        <w:rPr>
          <w:szCs w:val="24"/>
          <w:lang w:eastAsia="pt-BR"/>
        </w:rPr>
        <w:t>O sistema está funcionando, mas</w:t>
      </w:r>
      <w:r w:rsidRPr="004D4614">
        <w:rPr>
          <w:szCs w:val="24"/>
          <w:lang w:eastAsia="pt-BR"/>
        </w:rPr>
        <w:t xml:space="preserve"> não é satisfatório devido a constantes entupimentos</w:t>
      </w:r>
      <w:r>
        <w:rPr>
          <w:szCs w:val="24"/>
          <w:lang w:eastAsia="pt-BR"/>
        </w:rPr>
        <w:t xml:space="preserve"> na tubulação</w:t>
      </w:r>
      <w:r w:rsidRPr="004D4614">
        <w:rPr>
          <w:szCs w:val="24"/>
          <w:lang w:eastAsia="pt-BR"/>
        </w:rPr>
        <w:t>. Toda</w:t>
      </w:r>
      <w:r w:rsidR="009A5340">
        <w:rPr>
          <w:szCs w:val="24"/>
          <w:lang w:eastAsia="pt-BR"/>
        </w:rPr>
        <w:t xml:space="preserve"> a</w:t>
      </w:r>
      <w:r w:rsidRPr="004D4614">
        <w:rPr>
          <w:szCs w:val="24"/>
          <w:lang w:eastAsia="pt-BR"/>
        </w:rPr>
        <w:t xml:space="preserve"> extensão da rede é de cerâmica necessitando ser trocada e redimensionada de 150 mm para 200 mm. </w:t>
      </w:r>
      <w:r>
        <w:rPr>
          <w:szCs w:val="24"/>
          <w:lang w:eastAsia="pt-BR"/>
        </w:rPr>
        <w:t>Deve-se construir uma</w:t>
      </w:r>
      <w:r w:rsidRPr="004D4614">
        <w:rPr>
          <w:szCs w:val="24"/>
          <w:lang w:eastAsia="pt-BR"/>
        </w:rPr>
        <w:t xml:space="preserve"> nova ETE</w:t>
      </w:r>
      <w:r>
        <w:rPr>
          <w:szCs w:val="24"/>
          <w:lang w:eastAsia="pt-BR"/>
        </w:rPr>
        <w:t>,</w:t>
      </w:r>
      <w:r w:rsidRPr="004D4614">
        <w:rPr>
          <w:szCs w:val="24"/>
          <w:lang w:eastAsia="pt-BR"/>
        </w:rPr>
        <w:t xml:space="preserve"> pois no local há uma ETE desativada e era alvo de constantes reclamações devido ao mau cheiro e localização da mesma</w:t>
      </w:r>
      <w:r>
        <w:rPr>
          <w:szCs w:val="24"/>
          <w:lang w:eastAsia="pt-BR"/>
        </w:rPr>
        <w:t>.</w:t>
      </w:r>
      <w:r w:rsidR="009A5340">
        <w:rPr>
          <w:szCs w:val="24"/>
          <w:lang w:eastAsia="pt-BR"/>
        </w:rPr>
        <w:t xml:space="preserve"> As fotos das Figuras 155, 156 e 157 </w:t>
      </w:r>
      <w:r w:rsidR="009A5340">
        <w:t xml:space="preserve">mostram a situação do sistema de coleta e tratamento do esgoto no distrito de </w:t>
      </w:r>
      <w:r w:rsidR="004F24F3">
        <w:t>São Sebastião da Vala.</w:t>
      </w:r>
    </w:p>
    <w:p w:rsidR="00033760" w:rsidRDefault="00033760">
      <w:pPr>
        <w:spacing w:after="200" w:line="276" w:lineRule="auto"/>
        <w:rPr>
          <w:rFonts w:eastAsiaTheme="minorEastAsia" w:cs="Times New Roman"/>
          <w:bCs/>
          <w:szCs w:val="24"/>
          <w:lang w:eastAsia="pt-BR"/>
        </w:rPr>
      </w:pPr>
      <w:r>
        <w:br w:type="page"/>
      </w:r>
    </w:p>
    <w:p w:rsidR="00033760" w:rsidRPr="009A5340" w:rsidRDefault="00291A25" w:rsidP="00291A25">
      <w:pPr>
        <w:pStyle w:val="Legenda"/>
        <w:rPr>
          <w:b w:val="0"/>
        </w:rPr>
      </w:pPr>
      <w:bookmarkStart w:id="493" w:name="_Toc372740238"/>
      <w:r>
        <w:lastRenderedPageBreak/>
        <w:t xml:space="preserve">Figura </w:t>
      </w:r>
      <w:fldSimple w:instr=" SEQ Figura \* ARABIC ">
        <w:r w:rsidR="004F77E2">
          <w:rPr>
            <w:noProof/>
          </w:rPr>
          <w:t>155</w:t>
        </w:r>
      </w:fldSimple>
      <w:r>
        <w:t xml:space="preserve"> - </w:t>
      </w:r>
      <w:r w:rsidRPr="002F4CC3">
        <w:t>Vista de parte da estrutura da antiga ETE, atualmente desativada. (Local: 24K 0261002 7813979 / Altitude: 220 m).</w:t>
      </w:r>
      <w:bookmarkEnd w:id="493"/>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3F4B7BA0" wp14:editId="4DD28596">
            <wp:extent cx="4285646" cy="3218210"/>
            <wp:effectExtent l="19050" t="0" r="604" b="0"/>
            <wp:docPr id="152" name="Imagem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306271" cy="3233698"/>
                    </a:xfrm>
                    <a:prstGeom prst="rect">
                      <a:avLst/>
                    </a:prstGeom>
                    <a:noFill/>
                    <a:ln>
                      <a:noFill/>
                    </a:ln>
                  </pic:spPr>
                </pic:pic>
              </a:graphicData>
            </a:graphic>
          </wp:inline>
        </w:drawing>
      </w:r>
    </w:p>
    <w:p w:rsidR="00E32574" w:rsidRDefault="00033760" w:rsidP="00033760">
      <w:pPr>
        <w:pStyle w:val="Fonte"/>
        <w:ind w:firstLine="708"/>
        <w:rPr>
          <w:lang w:eastAsia="pt-BR"/>
        </w:rPr>
      </w:pPr>
      <w:r>
        <w:rPr>
          <w:lang w:eastAsia="pt-BR"/>
        </w:rPr>
        <w:t xml:space="preserve"> </w:t>
      </w:r>
      <w:r w:rsidR="009A5340">
        <w:rPr>
          <w:lang w:eastAsia="pt-BR"/>
        </w:rPr>
        <w:t>F</w:t>
      </w:r>
      <w:r w:rsidR="00E32574" w:rsidRPr="00192C99">
        <w:rPr>
          <w:lang w:eastAsia="pt-BR"/>
        </w:rPr>
        <w:t>onte: Fundação Educacional de Caratinga - FUNEC, 2013</w:t>
      </w:r>
    </w:p>
    <w:p w:rsidR="00033760" w:rsidRPr="009A5340" w:rsidRDefault="00291A25" w:rsidP="00291A25">
      <w:pPr>
        <w:pStyle w:val="Legenda"/>
        <w:rPr>
          <w:b w:val="0"/>
        </w:rPr>
      </w:pPr>
      <w:bookmarkStart w:id="494" w:name="_Toc372740239"/>
      <w:r>
        <w:t xml:space="preserve">Figura </w:t>
      </w:r>
      <w:fldSimple w:instr=" SEQ Figura \* ARABIC ">
        <w:r w:rsidR="004F77E2">
          <w:rPr>
            <w:noProof/>
          </w:rPr>
          <w:t>156</w:t>
        </w:r>
      </w:fldSimple>
      <w:r>
        <w:t xml:space="preserve"> - </w:t>
      </w:r>
      <w:r w:rsidRPr="00923E73">
        <w:rPr>
          <w:noProof/>
        </w:rPr>
        <w:t>Aspecto visual do lançamento de esgoto “</w:t>
      </w:r>
      <w:r w:rsidRPr="00466071">
        <w:rPr>
          <w:i/>
          <w:noProof/>
        </w:rPr>
        <w:t>in natura</w:t>
      </w:r>
      <w:r w:rsidRPr="00923E73">
        <w:rPr>
          <w:noProof/>
        </w:rPr>
        <w:t>” localizado na rua José Henrique Filho. (Local: 24K 0261001 7813977 / Altitude: 221 m).</w:t>
      </w:r>
      <w:bookmarkEnd w:id="494"/>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205BAAE1" wp14:editId="77B735FA">
            <wp:extent cx="4309607" cy="3236203"/>
            <wp:effectExtent l="19050" t="0" r="0" b="0"/>
            <wp:docPr id="151" name="Imagem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323669" cy="3246762"/>
                    </a:xfrm>
                    <a:prstGeom prst="rect">
                      <a:avLst/>
                    </a:prstGeom>
                    <a:noFill/>
                    <a:ln>
                      <a:noFill/>
                    </a:ln>
                  </pic:spPr>
                </pic:pic>
              </a:graphicData>
            </a:graphic>
          </wp:inline>
        </w:drawing>
      </w:r>
    </w:p>
    <w:p w:rsidR="00E32574" w:rsidRDefault="00033760" w:rsidP="00033760">
      <w:pPr>
        <w:pStyle w:val="Fonte"/>
        <w:ind w:left="708"/>
        <w:rPr>
          <w:lang w:eastAsia="pt-BR"/>
        </w:rPr>
      </w:pPr>
      <w:r>
        <w:rPr>
          <w:lang w:eastAsia="pt-BR"/>
        </w:rPr>
        <w:t xml:space="preserve"> </w:t>
      </w:r>
      <w:r w:rsidR="00E32574" w:rsidRPr="00192C99">
        <w:rPr>
          <w:lang w:eastAsia="pt-BR"/>
        </w:rPr>
        <w:t>Fonte: Fundação Educacional de Caratinga - FUNEC, 2013</w:t>
      </w:r>
    </w:p>
    <w:p w:rsidR="00033760" w:rsidRPr="009A5340" w:rsidRDefault="00291A25" w:rsidP="00291A25">
      <w:pPr>
        <w:pStyle w:val="Legenda"/>
        <w:rPr>
          <w:b w:val="0"/>
        </w:rPr>
      </w:pPr>
      <w:bookmarkStart w:id="495" w:name="_Toc372740240"/>
      <w:r>
        <w:lastRenderedPageBreak/>
        <w:t xml:space="preserve">Figura </w:t>
      </w:r>
      <w:fldSimple w:instr=" SEQ Figura \* ARABIC ">
        <w:r w:rsidR="004F77E2">
          <w:rPr>
            <w:noProof/>
          </w:rPr>
          <w:t>157</w:t>
        </w:r>
      </w:fldSimple>
      <w:r>
        <w:t xml:space="preserve"> - </w:t>
      </w:r>
      <w:r w:rsidRPr="00466EFC">
        <w:rPr>
          <w:noProof/>
        </w:rPr>
        <w:t>Vista de parte da tubulação que conduzia o esgoto até a Antiga ETE. (Local: 24K 0261001 7813977 / Altitude: 221 m).</w:t>
      </w:r>
      <w:bookmarkEnd w:id="495"/>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4A9EB985" wp14:editId="46400D57">
            <wp:extent cx="4529819" cy="3401568"/>
            <wp:effectExtent l="0" t="0" r="4445" b="8890"/>
            <wp:docPr id="150" name="Imagem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4533892" cy="3404626"/>
                    </a:xfrm>
                    <a:prstGeom prst="rect">
                      <a:avLst/>
                    </a:prstGeom>
                    <a:noFill/>
                    <a:ln>
                      <a:noFill/>
                    </a:ln>
                  </pic:spPr>
                </pic:pic>
              </a:graphicData>
            </a:graphic>
          </wp:inline>
        </w:drawing>
      </w:r>
    </w:p>
    <w:p w:rsidR="00E32574" w:rsidRDefault="00E32574" w:rsidP="00033760">
      <w:pPr>
        <w:pStyle w:val="Fonte"/>
        <w:ind w:firstLine="708"/>
        <w:rPr>
          <w:lang w:eastAsia="pt-BR"/>
        </w:rPr>
      </w:pPr>
      <w:r w:rsidRPr="00192C99">
        <w:rPr>
          <w:lang w:eastAsia="pt-BR"/>
        </w:rPr>
        <w:t>Fonte: Fundação Educacional de Caratinga - FUNEC, 2013</w:t>
      </w:r>
    </w:p>
    <w:p w:rsidR="00E32574" w:rsidRPr="000C5DD6" w:rsidRDefault="004F24F3" w:rsidP="00971B37">
      <w:pPr>
        <w:pStyle w:val="Titulo"/>
      </w:pPr>
      <w:bookmarkStart w:id="496" w:name="_Toc372559144"/>
      <w:bookmarkStart w:id="497" w:name="_Toc372789575"/>
      <w:r w:rsidRPr="000C5DD6">
        <w:t xml:space="preserve">12.10.8 </w:t>
      </w:r>
      <w:r w:rsidR="00E32574" w:rsidRPr="000C5DD6">
        <w:t>Tabaúna</w:t>
      </w:r>
      <w:bookmarkEnd w:id="496"/>
      <w:bookmarkEnd w:id="497"/>
    </w:p>
    <w:p w:rsidR="00E32574" w:rsidRDefault="00E32574" w:rsidP="00C03B56">
      <w:pPr>
        <w:spacing w:after="0" w:line="360" w:lineRule="auto"/>
        <w:ind w:firstLine="709"/>
        <w:jc w:val="both"/>
        <w:rPr>
          <w:szCs w:val="24"/>
          <w:lang w:eastAsia="pt-BR"/>
        </w:rPr>
      </w:pPr>
      <w:r>
        <w:rPr>
          <w:szCs w:val="24"/>
          <w:lang w:eastAsia="pt-BR"/>
        </w:rPr>
        <w:t xml:space="preserve">O </w:t>
      </w:r>
      <w:r w:rsidRPr="00901712">
        <w:rPr>
          <w:szCs w:val="24"/>
          <w:lang w:eastAsia="pt-BR"/>
        </w:rPr>
        <w:t xml:space="preserve">Sistema de esgotamento </w:t>
      </w:r>
      <w:r>
        <w:rPr>
          <w:szCs w:val="24"/>
          <w:lang w:eastAsia="pt-BR"/>
        </w:rPr>
        <w:t xml:space="preserve">é </w:t>
      </w:r>
      <w:r w:rsidRPr="00901712">
        <w:rPr>
          <w:szCs w:val="24"/>
          <w:lang w:eastAsia="pt-BR"/>
        </w:rPr>
        <w:t>precário h</w:t>
      </w:r>
      <w:r>
        <w:rPr>
          <w:szCs w:val="24"/>
          <w:lang w:eastAsia="pt-BR"/>
        </w:rPr>
        <w:t xml:space="preserve">avendo constantes entupimentos, na tubulação. Existe </w:t>
      </w:r>
      <w:r w:rsidRPr="00901712">
        <w:rPr>
          <w:szCs w:val="24"/>
          <w:lang w:eastAsia="pt-BR"/>
        </w:rPr>
        <w:t xml:space="preserve">lançamento de esgoto </w:t>
      </w:r>
      <w:r w:rsidR="004F24F3">
        <w:rPr>
          <w:szCs w:val="24"/>
          <w:lang w:eastAsia="pt-BR"/>
        </w:rPr>
        <w:t>“</w:t>
      </w:r>
      <w:r w:rsidRPr="00630C6B">
        <w:rPr>
          <w:i/>
          <w:szCs w:val="24"/>
          <w:lang w:eastAsia="pt-BR"/>
        </w:rPr>
        <w:t>in natura</w:t>
      </w:r>
      <w:r w:rsidR="004F24F3">
        <w:rPr>
          <w:i/>
          <w:szCs w:val="24"/>
          <w:lang w:eastAsia="pt-BR"/>
        </w:rPr>
        <w:t>”</w:t>
      </w:r>
      <w:r>
        <w:rPr>
          <w:szCs w:val="24"/>
          <w:lang w:eastAsia="pt-BR"/>
        </w:rPr>
        <w:t xml:space="preserve"> </w:t>
      </w:r>
      <w:r w:rsidRPr="00901712">
        <w:rPr>
          <w:szCs w:val="24"/>
          <w:lang w:eastAsia="pt-BR"/>
        </w:rPr>
        <w:t>em diversos lugares. A rede coletora deve ser redime</w:t>
      </w:r>
      <w:r>
        <w:rPr>
          <w:szCs w:val="24"/>
          <w:lang w:eastAsia="pt-BR"/>
        </w:rPr>
        <w:t xml:space="preserve">nsionada de 150 mm para 200 mm e </w:t>
      </w:r>
      <w:r w:rsidRPr="00901712">
        <w:rPr>
          <w:szCs w:val="24"/>
          <w:lang w:eastAsia="pt-BR"/>
        </w:rPr>
        <w:t>necessita</w:t>
      </w:r>
      <w:r>
        <w:rPr>
          <w:szCs w:val="24"/>
          <w:lang w:eastAsia="pt-BR"/>
        </w:rPr>
        <w:t>-se de uma nova ETE, já que a antiga não está em operação.</w:t>
      </w:r>
      <w:r w:rsidR="004F24F3">
        <w:rPr>
          <w:szCs w:val="24"/>
          <w:lang w:eastAsia="pt-BR"/>
        </w:rPr>
        <w:t xml:space="preserve"> As fotos das Figuras 158, 159, 160, 161 e 162 </w:t>
      </w:r>
      <w:r w:rsidR="004F24F3">
        <w:t>mostram a situação do sistema de coleta e tratamento do esgoto no distrito de Tabaúna.</w:t>
      </w:r>
    </w:p>
    <w:p w:rsidR="00033760" w:rsidRDefault="00033760">
      <w:pPr>
        <w:spacing w:after="200" w:line="276" w:lineRule="auto"/>
        <w:rPr>
          <w:rFonts w:eastAsiaTheme="minorEastAsia" w:cs="Times New Roman"/>
          <w:bCs/>
          <w:szCs w:val="24"/>
          <w:lang w:eastAsia="pt-BR"/>
        </w:rPr>
      </w:pPr>
      <w:r>
        <w:br w:type="page"/>
      </w:r>
    </w:p>
    <w:p w:rsidR="00033760" w:rsidRPr="00C03B56" w:rsidRDefault="00291A25" w:rsidP="00291A25">
      <w:pPr>
        <w:pStyle w:val="Legenda"/>
        <w:rPr>
          <w:b w:val="0"/>
        </w:rPr>
      </w:pPr>
      <w:bookmarkStart w:id="498" w:name="_Toc372740241"/>
      <w:r>
        <w:lastRenderedPageBreak/>
        <w:t xml:space="preserve">Figura </w:t>
      </w:r>
      <w:fldSimple w:instr=" SEQ Figura \* ARABIC ">
        <w:r w:rsidR="004F77E2">
          <w:rPr>
            <w:noProof/>
          </w:rPr>
          <w:t>158</w:t>
        </w:r>
      </w:fldSimple>
      <w:r>
        <w:t xml:space="preserve"> - </w:t>
      </w:r>
      <w:r w:rsidRPr="009040D4">
        <w:rPr>
          <w:noProof/>
        </w:rPr>
        <w:t xml:space="preserve">Aspecto visual do lançamento de esgoto </w:t>
      </w:r>
      <w:r w:rsidRPr="00291A25">
        <w:rPr>
          <w:i/>
          <w:noProof/>
        </w:rPr>
        <w:t>in natura</w:t>
      </w:r>
      <w:r w:rsidRPr="009040D4">
        <w:rPr>
          <w:noProof/>
        </w:rPr>
        <w:t xml:space="preserve"> localizado no córrego Passa Cinco. (Local: 24K 0258158 7842165 / Altitude: 107 m).</w:t>
      </w:r>
      <w:bookmarkEnd w:id="498"/>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224C9D45" wp14:editId="703A31A9">
            <wp:extent cx="4333461" cy="3254115"/>
            <wp:effectExtent l="19050" t="0" r="0" b="0"/>
            <wp:docPr id="149" name="Imagem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353483" cy="3269150"/>
                    </a:xfrm>
                    <a:prstGeom prst="rect">
                      <a:avLst/>
                    </a:prstGeom>
                    <a:noFill/>
                    <a:ln>
                      <a:noFill/>
                    </a:ln>
                  </pic:spPr>
                </pic:pic>
              </a:graphicData>
            </a:graphic>
          </wp:inline>
        </w:drawing>
      </w:r>
    </w:p>
    <w:p w:rsidR="00E32574" w:rsidRDefault="00033760" w:rsidP="00033760">
      <w:pPr>
        <w:pStyle w:val="Fonte"/>
        <w:ind w:firstLine="708"/>
        <w:rPr>
          <w:lang w:eastAsia="pt-BR"/>
        </w:rPr>
      </w:pPr>
      <w:r>
        <w:rPr>
          <w:lang w:eastAsia="pt-BR"/>
        </w:rPr>
        <w:t xml:space="preserve"> </w:t>
      </w:r>
      <w:r w:rsidR="00E32574" w:rsidRPr="00192C99">
        <w:rPr>
          <w:lang w:eastAsia="pt-BR"/>
        </w:rPr>
        <w:t>Fonte: Fundação Educacional de Caratinga - FUNEC, 2013</w:t>
      </w:r>
    </w:p>
    <w:p w:rsidR="00033760" w:rsidRPr="00C03B56" w:rsidRDefault="00291A25" w:rsidP="00291A25">
      <w:pPr>
        <w:pStyle w:val="Legenda"/>
        <w:rPr>
          <w:b w:val="0"/>
        </w:rPr>
      </w:pPr>
      <w:bookmarkStart w:id="499" w:name="_Toc372740242"/>
      <w:r>
        <w:t xml:space="preserve">Figura </w:t>
      </w:r>
      <w:fldSimple w:instr=" SEQ Figura \* ARABIC ">
        <w:r w:rsidR="004F77E2">
          <w:rPr>
            <w:noProof/>
          </w:rPr>
          <w:t>159</w:t>
        </w:r>
      </w:fldSimple>
      <w:r>
        <w:t xml:space="preserve"> - </w:t>
      </w:r>
      <w:r w:rsidRPr="00F0480C">
        <w:rPr>
          <w:noProof/>
        </w:rPr>
        <w:t xml:space="preserve">Aspecto visual do lançamento de esgoto </w:t>
      </w:r>
      <w:r w:rsidRPr="00291A25">
        <w:rPr>
          <w:i/>
          <w:noProof/>
        </w:rPr>
        <w:t>in natura</w:t>
      </w:r>
      <w:r w:rsidRPr="00F0480C">
        <w:rPr>
          <w:noProof/>
        </w:rPr>
        <w:t xml:space="preserve"> localizado no córrego Passa Cinco. (Local: 24K 0258158 7842165 / Altitude: 107 m).</w:t>
      </w:r>
      <w:bookmarkEnd w:id="499"/>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0390192F" wp14:editId="4A22CC0F">
            <wp:extent cx="4309607" cy="3236203"/>
            <wp:effectExtent l="19050" t="0" r="0" b="0"/>
            <wp:docPr id="148" name="Imagem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28879" cy="3250675"/>
                    </a:xfrm>
                    <a:prstGeom prst="rect">
                      <a:avLst/>
                    </a:prstGeom>
                    <a:noFill/>
                    <a:ln>
                      <a:noFill/>
                    </a:ln>
                  </pic:spPr>
                </pic:pic>
              </a:graphicData>
            </a:graphic>
          </wp:inline>
        </w:drawing>
      </w:r>
    </w:p>
    <w:p w:rsidR="00E32574" w:rsidRDefault="00033760" w:rsidP="00033760">
      <w:pPr>
        <w:pStyle w:val="Fonte"/>
        <w:ind w:firstLine="708"/>
        <w:rPr>
          <w:lang w:eastAsia="pt-BR"/>
        </w:rPr>
      </w:pPr>
      <w:r>
        <w:rPr>
          <w:lang w:eastAsia="pt-BR"/>
        </w:rPr>
        <w:t xml:space="preserve"> </w:t>
      </w:r>
      <w:r w:rsidR="00E32574" w:rsidRPr="00192C99">
        <w:rPr>
          <w:lang w:eastAsia="pt-BR"/>
        </w:rPr>
        <w:t>Fonte: Fundação Educacional de Caratinga - FUNEC, 2013</w:t>
      </w:r>
    </w:p>
    <w:p w:rsidR="00033760" w:rsidRPr="00C03B56" w:rsidRDefault="00291A25" w:rsidP="00291A25">
      <w:pPr>
        <w:pStyle w:val="Legenda"/>
        <w:rPr>
          <w:b w:val="0"/>
        </w:rPr>
      </w:pPr>
      <w:bookmarkStart w:id="500" w:name="_Toc372740243"/>
      <w:r>
        <w:lastRenderedPageBreak/>
        <w:t xml:space="preserve">Figura </w:t>
      </w:r>
      <w:fldSimple w:instr=" SEQ Figura \* ARABIC ">
        <w:r w:rsidR="004F77E2">
          <w:rPr>
            <w:noProof/>
          </w:rPr>
          <w:t>160</w:t>
        </w:r>
      </w:fldSimple>
      <w:r>
        <w:t xml:space="preserve"> - </w:t>
      </w:r>
      <w:r w:rsidRPr="0019675C">
        <w:rPr>
          <w:noProof/>
        </w:rPr>
        <w:t xml:space="preserve">Aspecto visual do lançamento de esgoto </w:t>
      </w:r>
      <w:r w:rsidRPr="00291A25">
        <w:rPr>
          <w:i/>
          <w:noProof/>
        </w:rPr>
        <w:t>in natura</w:t>
      </w:r>
      <w:r w:rsidRPr="0019675C">
        <w:rPr>
          <w:noProof/>
        </w:rPr>
        <w:t xml:space="preserve"> localizado no rio Manhuaçu. (Local: 24K 0257636 7842362 / Altitude: 133 m).</w:t>
      </w:r>
      <w:bookmarkEnd w:id="500"/>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33FB26D4" wp14:editId="450D6284">
            <wp:extent cx="4330756" cy="3252084"/>
            <wp:effectExtent l="19050" t="0" r="0" b="0"/>
            <wp:docPr id="147" name="Imagem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340383" cy="3259313"/>
                    </a:xfrm>
                    <a:prstGeom prst="rect">
                      <a:avLst/>
                    </a:prstGeom>
                    <a:noFill/>
                    <a:ln>
                      <a:noFill/>
                    </a:ln>
                  </pic:spPr>
                </pic:pic>
              </a:graphicData>
            </a:graphic>
          </wp:inline>
        </w:drawing>
      </w:r>
    </w:p>
    <w:p w:rsidR="00E32574" w:rsidRDefault="00033760" w:rsidP="00033760">
      <w:pPr>
        <w:pStyle w:val="Fonte"/>
        <w:ind w:firstLine="708"/>
        <w:rPr>
          <w:lang w:eastAsia="pt-BR"/>
        </w:rPr>
      </w:pPr>
      <w:r>
        <w:rPr>
          <w:lang w:eastAsia="pt-BR"/>
        </w:rPr>
        <w:t xml:space="preserve"> </w:t>
      </w:r>
      <w:r w:rsidR="00E32574" w:rsidRPr="00192C99">
        <w:rPr>
          <w:lang w:eastAsia="pt-BR"/>
        </w:rPr>
        <w:t>Fonte: Fundação Educacional de Caratinga - FUNEC, 2013</w:t>
      </w:r>
    </w:p>
    <w:p w:rsidR="00033760" w:rsidRPr="00C03B56" w:rsidRDefault="00291A25" w:rsidP="00291A25">
      <w:pPr>
        <w:pStyle w:val="Legenda"/>
        <w:rPr>
          <w:b w:val="0"/>
        </w:rPr>
      </w:pPr>
      <w:bookmarkStart w:id="501" w:name="_Toc372740244"/>
      <w:r>
        <w:t xml:space="preserve">Figura </w:t>
      </w:r>
      <w:fldSimple w:instr=" SEQ Figura \* ARABIC ">
        <w:r w:rsidR="004F77E2">
          <w:rPr>
            <w:noProof/>
          </w:rPr>
          <w:t>161</w:t>
        </w:r>
      </w:fldSimple>
      <w:r>
        <w:t xml:space="preserve"> - </w:t>
      </w:r>
      <w:r w:rsidRPr="00652CE4">
        <w:rPr>
          <w:noProof/>
        </w:rPr>
        <w:t xml:space="preserve">Aspecto visual do lançamento de esgoto </w:t>
      </w:r>
      <w:r w:rsidRPr="00291A25">
        <w:rPr>
          <w:i/>
          <w:noProof/>
        </w:rPr>
        <w:t>in natura</w:t>
      </w:r>
      <w:r w:rsidRPr="00652CE4">
        <w:rPr>
          <w:noProof/>
        </w:rPr>
        <w:t xml:space="preserve"> localizado no rio Manhuaçu. (Local: 24K 0257999 7841932 / Altitude: 131 m).</w:t>
      </w:r>
      <w:bookmarkEnd w:id="501"/>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2D893114" wp14:editId="032C9EEA">
            <wp:extent cx="4325510" cy="3248145"/>
            <wp:effectExtent l="19050" t="0" r="0" b="0"/>
            <wp:docPr id="146" name="Imagem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340975" cy="3259758"/>
                    </a:xfrm>
                    <a:prstGeom prst="rect">
                      <a:avLst/>
                    </a:prstGeom>
                    <a:noFill/>
                    <a:ln>
                      <a:noFill/>
                    </a:ln>
                  </pic:spPr>
                </pic:pic>
              </a:graphicData>
            </a:graphic>
          </wp:inline>
        </w:drawing>
      </w:r>
    </w:p>
    <w:p w:rsidR="00E32574" w:rsidRDefault="00033760" w:rsidP="00033760">
      <w:pPr>
        <w:pStyle w:val="Fonte"/>
        <w:ind w:firstLine="708"/>
        <w:rPr>
          <w:lang w:eastAsia="pt-BR"/>
        </w:rPr>
      </w:pPr>
      <w:r>
        <w:rPr>
          <w:lang w:eastAsia="pt-BR"/>
        </w:rPr>
        <w:t xml:space="preserve"> </w:t>
      </w:r>
      <w:r w:rsidR="00E32574" w:rsidRPr="00192C99">
        <w:rPr>
          <w:lang w:eastAsia="pt-BR"/>
        </w:rPr>
        <w:t>Fonte: Fundação Educacional de Caratinga - FUNEC, 2013</w:t>
      </w:r>
    </w:p>
    <w:p w:rsidR="00033760" w:rsidRPr="00C03B56" w:rsidRDefault="00291A25" w:rsidP="00291A25">
      <w:pPr>
        <w:pStyle w:val="Legenda"/>
        <w:rPr>
          <w:b w:val="0"/>
        </w:rPr>
      </w:pPr>
      <w:bookmarkStart w:id="502" w:name="_Toc372740245"/>
      <w:r>
        <w:lastRenderedPageBreak/>
        <w:t xml:space="preserve">Figura </w:t>
      </w:r>
      <w:fldSimple w:instr=" SEQ Figura \* ARABIC ">
        <w:r w:rsidR="004F77E2">
          <w:rPr>
            <w:noProof/>
          </w:rPr>
          <w:t>162</w:t>
        </w:r>
      </w:fldSimple>
      <w:r>
        <w:t xml:space="preserve"> - </w:t>
      </w:r>
      <w:r w:rsidRPr="00CA54CE">
        <w:rPr>
          <w:noProof/>
        </w:rPr>
        <w:t xml:space="preserve">Aspecto visual do lançamento de esgoto </w:t>
      </w:r>
      <w:r w:rsidRPr="00466071">
        <w:rPr>
          <w:i/>
          <w:noProof/>
        </w:rPr>
        <w:t>in natura</w:t>
      </w:r>
      <w:r w:rsidRPr="00CA54CE">
        <w:rPr>
          <w:noProof/>
        </w:rPr>
        <w:t xml:space="preserve"> localizado no córrego Passa Cinco. (Local: 2</w:t>
      </w:r>
      <w:r>
        <w:rPr>
          <w:noProof/>
        </w:rPr>
        <w:t xml:space="preserve">4K 0258158 7842165 / Altitude: </w:t>
      </w:r>
      <w:r w:rsidRPr="00CA54CE">
        <w:rPr>
          <w:noProof/>
        </w:rPr>
        <w:t>107 m).</w:t>
      </w:r>
      <w:bookmarkEnd w:id="502"/>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61D937E5" wp14:editId="65423192">
            <wp:extent cx="4442147" cy="3335731"/>
            <wp:effectExtent l="0" t="0" r="0" b="0"/>
            <wp:docPr id="145" name="Imagem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450294" cy="3341849"/>
                    </a:xfrm>
                    <a:prstGeom prst="rect">
                      <a:avLst/>
                    </a:prstGeom>
                    <a:noFill/>
                    <a:ln>
                      <a:noFill/>
                    </a:ln>
                  </pic:spPr>
                </pic:pic>
              </a:graphicData>
            </a:graphic>
          </wp:inline>
        </w:drawing>
      </w:r>
    </w:p>
    <w:p w:rsidR="00C03B56" w:rsidRDefault="00C03B56" w:rsidP="00C03B56">
      <w:pPr>
        <w:pStyle w:val="Fonte"/>
        <w:ind w:firstLine="708"/>
        <w:rPr>
          <w:lang w:eastAsia="pt-BR"/>
        </w:rPr>
      </w:pPr>
      <w:r>
        <w:rPr>
          <w:lang w:eastAsia="pt-BR"/>
        </w:rPr>
        <w:t xml:space="preserve"> </w:t>
      </w:r>
      <w:r w:rsidRPr="00192C99">
        <w:rPr>
          <w:lang w:eastAsia="pt-BR"/>
        </w:rPr>
        <w:t>Fonte: Fundação Educacional de Caratinga - FUNEC, 2013</w:t>
      </w:r>
    </w:p>
    <w:p w:rsidR="00E32574" w:rsidRPr="000C5DD6" w:rsidRDefault="00C03B56" w:rsidP="00971B37">
      <w:pPr>
        <w:pStyle w:val="Titulo"/>
      </w:pPr>
      <w:bookmarkStart w:id="503" w:name="_Toc372559145"/>
      <w:bookmarkStart w:id="504" w:name="_Toc372789576"/>
      <w:r w:rsidRPr="000C5DD6">
        <w:t xml:space="preserve">12.10.9 </w:t>
      </w:r>
      <w:r w:rsidR="00E32574" w:rsidRPr="000C5DD6">
        <w:t>Povoado Santa Terezinha</w:t>
      </w:r>
      <w:bookmarkEnd w:id="503"/>
      <w:bookmarkEnd w:id="504"/>
    </w:p>
    <w:p w:rsidR="00E32574" w:rsidRDefault="00E32574" w:rsidP="00C03B56">
      <w:pPr>
        <w:spacing w:after="0" w:line="360" w:lineRule="auto"/>
        <w:ind w:firstLine="709"/>
        <w:jc w:val="both"/>
        <w:rPr>
          <w:szCs w:val="24"/>
          <w:lang w:eastAsia="pt-BR"/>
        </w:rPr>
      </w:pPr>
      <w:r w:rsidRPr="00DB618B">
        <w:rPr>
          <w:szCs w:val="24"/>
          <w:lang w:eastAsia="pt-BR"/>
        </w:rPr>
        <w:t>A localidade não possui sistema de esgotamento, necessário implantar sistema de coleta (sugere-se uma rede de 150 mm) e criar um tratamento (ETE).</w:t>
      </w:r>
    </w:p>
    <w:p w:rsidR="00E32574" w:rsidRPr="000C5DD6" w:rsidRDefault="00C03B56" w:rsidP="00971B37">
      <w:pPr>
        <w:pStyle w:val="Titulo"/>
      </w:pPr>
      <w:bookmarkStart w:id="505" w:name="_Toc372559146"/>
      <w:bookmarkStart w:id="506" w:name="_Toc372789577"/>
      <w:r w:rsidRPr="000C5DD6">
        <w:t xml:space="preserve">12.10.10 </w:t>
      </w:r>
      <w:r w:rsidR="00E32574" w:rsidRPr="000C5DD6">
        <w:t>Povoado São João do Capim</w:t>
      </w:r>
      <w:bookmarkEnd w:id="505"/>
      <w:bookmarkEnd w:id="506"/>
    </w:p>
    <w:p w:rsidR="00E32574" w:rsidRDefault="00E32574" w:rsidP="00C03B56">
      <w:pPr>
        <w:spacing w:after="0" w:line="360" w:lineRule="auto"/>
        <w:ind w:firstLine="709"/>
        <w:jc w:val="both"/>
        <w:rPr>
          <w:szCs w:val="24"/>
          <w:lang w:eastAsia="pt-BR"/>
        </w:rPr>
      </w:pPr>
      <w:r w:rsidRPr="00DB618B">
        <w:rPr>
          <w:szCs w:val="24"/>
          <w:lang w:eastAsia="pt-BR"/>
        </w:rPr>
        <w:t>Satisfatória, necessitando só criar uma ETE</w:t>
      </w:r>
    </w:p>
    <w:p w:rsidR="00E32574" w:rsidRPr="000C5DD6" w:rsidRDefault="00C03B56" w:rsidP="00971B37">
      <w:pPr>
        <w:pStyle w:val="Titulo"/>
      </w:pPr>
      <w:bookmarkStart w:id="507" w:name="_Toc372559147"/>
      <w:bookmarkStart w:id="508" w:name="_Toc372789578"/>
      <w:r w:rsidRPr="000C5DD6">
        <w:t xml:space="preserve">12.10.11 </w:t>
      </w:r>
      <w:r w:rsidR="00E32574" w:rsidRPr="000C5DD6">
        <w:t>Povoado São José do Limoeiro</w:t>
      </w:r>
      <w:bookmarkEnd w:id="507"/>
      <w:bookmarkEnd w:id="508"/>
    </w:p>
    <w:p w:rsidR="00E32574" w:rsidRDefault="00E32574" w:rsidP="00C03B56">
      <w:pPr>
        <w:spacing w:after="0" w:line="360" w:lineRule="auto"/>
        <w:ind w:firstLine="709"/>
        <w:jc w:val="both"/>
        <w:rPr>
          <w:szCs w:val="24"/>
          <w:lang w:eastAsia="pt-BR"/>
        </w:rPr>
      </w:pPr>
      <w:r w:rsidRPr="00DB618B">
        <w:rPr>
          <w:szCs w:val="24"/>
          <w:lang w:eastAsia="pt-BR"/>
        </w:rPr>
        <w:t>A localidade não possui sistema de esgotamento, necessário implantar sistema de coleta (sugere-se uma rede de 150 mm e criar um tratamento (ETE).</w:t>
      </w:r>
    </w:p>
    <w:p w:rsidR="00E32574" w:rsidRPr="000C5DD6" w:rsidRDefault="00C03B56" w:rsidP="00971B37">
      <w:pPr>
        <w:pStyle w:val="Titulo"/>
      </w:pPr>
      <w:bookmarkStart w:id="509" w:name="_Toc372559148"/>
      <w:bookmarkStart w:id="510" w:name="_Toc372789579"/>
      <w:r w:rsidRPr="000C5DD6">
        <w:t xml:space="preserve">12.10.12 </w:t>
      </w:r>
      <w:r w:rsidR="00E32574" w:rsidRPr="000C5DD6">
        <w:t>Povoado São Sebastião da Encruzilhada</w:t>
      </w:r>
      <w:bookmarkEnd w:id="509"/>
      <w:bookmarkEnd w:id="510"/>
    </w:p>
    <w:p w:rsidR="00C03B56" w:rsidRDefault="00E32574" w:rsidP="00F071DD">
      <w:pPr>
        <w:spacing w:after="0" w:line="360" w:lineRule="auto"/>
        <w:ind w:firstLine="709"/>
        <w:jc w:val="both"/>
        <w:rPr>
          <w:b/>
          <w:szCs w:val="24"/>
          <w:lang w:eastAsia="pt-BR"/>
        </w:rPr>
      </w:pPr>
      <w:r w:rsidRPr="00DB618B">
        <w:rPr>
          <w:szCs w:val="24"/>
          <w:lang w:eastAsia="pt-BR"/>
        </w:rPr>
        <w:t>A localidade não possui sistema de esgotamento, necessário implantar sistema de coleta (sugere-se uma rede de 150 mm) e criar um tratamento (ETE</w:t>
      </w:r>
      <w:r>
        <w:rPr>
          <w:szCs w:val="24"/>
          <w:lang w:eastAsia="pt-BR"/>
        </w:rPr>
        <w:t>).</w:t>
      </w:r>
      <w:r w:rsidR="00C03B56">
        <w:rPr>
          <w:b/>
          <w:szCs w:val="24"/>
          <w:lang w:eastAsia="pt-BR"/>
        </w:rPr>
        <w:br w:type="page"/>
      </w:r>
    </w:p>
    <w:p w:rsidR="00E32574" w:rsidRPr="000C5DD6" w:rsidRDefault="00C03B56" w:rsidP="00971B37">
      <w:pPr>
        <w:pStyle w:val="Titulo"/>
      </w:pPr>
      <w:bookmarkStart w:id="511" w:name="_Toc372559149"/>
      <w:bookmarkStart w:id="512" w:name="_Toc372789580"/>
      <w:r w:rsidRPr="000C5DD6">
        <w:lastRenderedPageBreak/>
        <w:t xml:space="preserve">12.10.13 </w:t>
      </w:r>
      <w:r w:rsidR="00E32574" w:rsidRPr="000C5DD6">
        <w:t>Comunidade no entorno da Represa da Usina Hidrelétrica de Aimorés</w:t>
      </w:r>
      <w:bookmarkEnd w:id="511"/>
      <w:bookmarkEnd w:id="512"/>
    </w:p>
    <w:p w:rsidR="00E32574" w:rsidRDefault="00E32574" w:rsidP="00C03B56">
      <w:pPr>
        <w:spacing w:after="0" w:line="360" w:lineRule="auto"/>
        <w:ind w:firstLine="709"/>
        <w:jc w:val="both"/>
        <w:rPr>
          <w:szCs w:val="24"/>
          <w:lang w:eastAsia="pt-BR"/>
        </w:rPr>
      </w:pPr>
      <w:r w:rsidRPr="00DB618B">
        <w:rPr>
          <w:szCs w:val="24"/>
          <w:lang w:eastAsia="pt-BR"/>
        </w:rPr>
        <w:t>A localidade não possui sistema de esgotamento, necessário implantar sistema de coleta (sugere-se uma rede de 150 mm) e criar um tratamento (ETE).</w:t>
      </w:r>
    </w:p>
    <w:p w:rsidR="00ED7D13" w:rsidRPr="00BA341D" w:rsidRDefault="00ED7D13" w:rsidP="00ED7D13">
      <w:pPr>
        <w:pStyle w:val="Titulo"/>
      </w:pPr>
      <w:bookmarkStart w:id="513" w:name="_Toc372559150"/>
      <w:bookmarkStart w:id="514" w:name="_Toc372789581"/>
      <w:r w:rsidRPr="00A275C9">
        <w:t>1</w:t>
      </w:r>
      <w:r>
        <w:t>2</w:t>
      </w:r>
      <w:r w:rsidRPr="00A275C9">
        <w:t>.</w:t>
      </w:r>
      <w:r>
        <w:t>1</w:t>
      </w:r>
      <w:r w:rsidR="00302A16">
        <w:t>1</w:t>
      </w:r>
      <w:r>
        <w:t xml:space="preserve"> Comunicação Social</w:t>
      </w:r>
    </w:p>
    <w:p w:rsidR="00ED7D13" w:rsidRPr="00A275C9" w:rsidRDefault="00ED7D13" w:rsidP="00ED7D13">
      <w:pPr>
        <w:pStyle w:val="Titulo"/>
      </w:pPr>
      <w:r w:rsidRPr="00A275C9">
        <w:t>1</w:t>
      </w:r>
      <w:r>
        <w:t>2</w:t>
      </w:r>
      <w:r w:rsidRPr="00A275C9">
        <w:t>.</w:t>
      </w:r>
      <w:r>
        <w:t>1</w:t>
      </w:r>
      <w:r w:rsidR="00302A16">
        <w:t>1</w:t>
      </w:r>
      <w:r w:rsidRPr="00A275C9">
        <w:t xml:space="preserve">.1 </w:t>
      </w:r>
      <w:r>
        <w:t>Mobilização Comunitária</w:t>
      </w:r>
    </w:p>
    <w:p w:rsidR="00ED7D13" w:rsidRPr="00ED7D13" w:rsidRDefault="00ED7D13" w:rsidP="00ED7D13">
      <w:pPr>
        <w:spacing w:after="0" w:line="360" w:lineRule="auto"/>
        <w:ind w:firstLine="709"/>
        <w:jc w:val="both"/>
        <w:rPr>
          <w:rFonts w:eastAsia="Calibri" w:cs="Times New Roman"/>
          <w:sz w:val="28"/>
          <w:szCs w:val="28"/>
        </w:rPr>
      </w:pPr>
      <w:r w:rsidRPr="00ED7D13">
        <w:rPr>
          <w:rFonts w:eastAsia="Calibri" w:cs="Times New Roman"/>
          <w:szCs w:val="24"/>
        </w:rPr>
        <w:t>Em todas as etapas de elaboração do Plano Municipal de Saneamento Básico de Aimorés (PMSBA), deverá ser garantida a participação e o controle social, em conformidade com a Lei Federal 11.445/2007, que define a necessidade do estabelecimento de um conjunto de mecanismos e procedimentos que garantam à sociedade “informações, representações técnicas e participações nos processos de formulação de políticas, de planejamento e de avaliação relacionados aos serviços públicos de saneamento</w:t>
      </w:r>
      <w:r w:rsidRPr="00ED7D13">
        <w:rPr>
          <w:rFonts w:eastAsia="Calibri" w:cs="Times New Roman"/>
          <w:sz w:val="28"/>
          <w:szCs w:val="28"/>
        </w:rPr>
        <w:t xml:space="preserve"> </w:t>
      </w:r>
      <w:r w:rsidRPr="00ED7D13">
        <w:rPr>
          <w:rFonts w:eastAsia="Calibri" w:cs="Times New Roman"/>
          <w:szCs w:val="24"/>
        </w:rPr>
        <w:t>básico".</w:t>
      </w:r>
    </w:p>
    <w:p w:rsidR="00ED7D13" w:rsidRPr="00ED7D13" w:rsidRDefault="00F67507" w:rsidP="00ED7D13">
      <w:pPr>
        <w:spacing w:after="0" w:line="360" w:lineRule="auto"/>
        <w:ind w:firstLine="709"/>
        <w:jc w:val="both"/>
        <w:rPr>
          <w:rFonts w:eastAsia="Calibri" w:cs="Times New Roman"/>
          <w:szCs w:val="24"/>
        </w:rPr>
      </w:pPr>
      <w:r w:rsidRPr="00ED7D13">
        <w:rPr>
          <w:rFonts w:eastAsia="Calibri" w:cs="Times New Roman"/>
          <w:szCs w:val="24"/>
        </w:rPr>
        <w:t>A importância da participação da sociedade</w:t>
      </w:r>
      <w:r>
        <w:rPr>
          <w:rFonts w:eastAsia="Calibri" w:cs="Times New Roman"/>
          <w:szCs w:val="24"/>
        </w:rPr>
        <w:t xml:space="preserve"> e do poder público, sendo que o poder público teve quase nenhuma participação neste processo somente com a participação ponderada do assistente do Secretário de Meio Ambiente do município,</w:t>
      </w:r>
      <w:r w:rsidRPr="00ED7D13">
        <w:rPr>
          <w:rFonts w:eastAsia="Calibri" w:cs="Times New Roman"/>
          <w:szCs w:val="24"/>
        </w:rPr>
        <w:t xml:space="preserve"> na elaboração do PMSBA</w:t>
      </w:r>
      <w:r>
        <w:rPr>
          <w:rFonts w:eastAsia="Calibri" w:cs="Times New Roman"/>
          <w:szCs w:val="24"/>
        </w:rPr>
        <w:t xml:space="preserve"> </w:t>
      </w:r>
      <w:r w:rsidR="00ED7D13" w:rsidRPr="00ED7D13">
        <w:rPr>
          <w:rFonts w:eastAsia="Calibri" w:cs="Times New Roman"/>
          <w:szCs w:val="24"/>
        </w:rPr>
        <w:t>está no entendimento de que é para ela que este instrumento essencialmente tem importância, pois além de trazer a relação profunda de pertencimento, trazendo o empoderamento, e deverá permitir uma mobilização permanente que possa garantir a implantação integral do plano.</w:t>
      </w:r>
    </w:p>
    <w:p w:rsidR="00ED7D13" w:rsidRPr="00ED7D13" w:rsidRDefault="00ED7D13" w:rsidP="00ED7D13">
      <w:pPr>
        <w:spacing w:after="0" w:line="360" w:lineRule="auto"/>
        <w:ind w:firstLine="900"/>
        <w:jc w:val="both"/>
        <w:rPr>
          <w:rFonts w:eastAsia="Calibri" w:cs="Times New Roman"/>
          <w:szCs w:val="24"/>
        </w:rPr>
      </w:pPr>
      <w:r w:rsidRPr="00ED7D13">
        <w:rPr>
          <w:rFonts w:eastAsia="Calibri" w:cs="Times New Roman"/>
          <w:szCs w:val="24"/>
        </w:rPr>
        <w:t>O processo de mobilização social se dará de forma a atender os seguintes objetivos:</w:t>
      </w:r>
    </w:p>
    <w:p w:rsidR="00ED7D13" w:rsidRPr="00ED7D13" w:rsidRDefault="00ED7D13" w:rsidP="00ED7D13">
      <w:pPr>
        <w:numPr>
          <w:ilvl w:val="0"/>
          <w:numId w:val="56"/>
        </w:numPr>
        <w:spacing w:line="360" w:lineRule="auto"/>
        <w:contextualSpacing/>
        <w:jc w:val="both"/>
        <w:rPr>
          <w:rFonts w:eastAsia="Calibri" w:cs="Times New Roman"/>
          <w:szCs w:val="24"/>
        </w:rPr>
      </w:pPr>
      <w:r w:rsidRPr="00ED7D13">
        <w:rPr>
          <w:rFonts w:eastAsia="Calibri" w:cs="Times New Roman"/>
          <w:szCs w:val="24"/>
        </w:rPr>
        <w:t>Divulgar a elaboração do Plano de Saneamento Básico para o Município de Aimorés -MG;</w:t>
      </w:r>
    </w:p>
    <w:p w:rsidR="00ED7D13" w:rsidRPr="00ED7D13" w:rsidRDefault="00ED7D13" w:rsidP="00ED7D13">
      <w:pPr>
        <w:numPr>
          <w:ilvl w:val="0"/>
          <w:numId w:val="56"/>
        </w:numPr>
        <w:spacing w:line="360" w:lineRule="auto"/>
        <w:contextualSpacing/>
        <w:jc w:val="both"/>
        <w:rPr>
          <w:rFonts w:eastAsia="Calibri" w:cs="Times New Roman"/>
          <w:szCs w:val="24"/>
        </w:rPr>
      </w:pPr>
      <w:r w:rsidRPr="00ED7D13">
        <w:rPr>
          <w:rFonts w:eastAsia="Calibri" w:cs="Times New Roman"/>
          <w:szCs w:val="24"/>
        </w:rPr>
        <w:t>Sensibilizar a comunidade para participação das atividades referentes ao PMSBA;</w:t>
      </w:r>
    </w:p>
    <w:p w:rsidR="00ED7D13" w:rsidRPr="00ED7D13" w:rsidRDefault="00ED7D13" w:rsidP="00ED7D13">
      <w:pPr>
        <w:numPr>
          <w:ilvl w:val="0"/>
          <w:numId w:val="56"/>
        </w:numPr>
        <w:spacing w:line="360" w:lineRule="auto"/>
        <w:contextualSpacing/>
        <w:jc w:val="both"/>
        <w:rPr>
          <w:rFonts w:eastAsia="Calibri" w:cs="Times New Roman"/>
          <w:szCs w:val="24"/>
        </w:rPr>
      </w:pPr>
      <w:r w:rsidRPr="00ED7D13">
        <w:rPr>
          <w:rFonts w:eastAsia="Calibri" w:cs="Times New Roman"/>
          <w:szCs w:val="24"/>
        </w:rPr>
        <w:t>Estimular os diversos atores sociais a participarem do processo de gestão ambiental;</w:t>
      </w:r>
    </w:p>
    <w:p w:rsidR="00ED7D13" w:rsidRPr="00ED7D13" w:rsidRDefault="00ED7D13" w:rsidP="00ED7D13">
      <w:pPr>
        <w:numPr>
          <w:ilvl w:val="0"/>
          <w:numId w:val="56"/>
        </w:numPr>
        <w:spacing w:line="360" w:lineRule="auto"/>
        <w:contextualSpacing/>
        <w:jc w:val="both"/>
        <w:rPr>
          <w:rFonts w:eastAsia="Calibri" w:cs="Times New Roman"/>
          <w:szCs w:val="24"/>
        </w:rPr>
      </w:pPr>
      <w:r w:rsidRPr="00ED7D13">
        <w:rPr>
          <w:rFonts w:eastAsia="Calibri" w:cs="Times New Roman"/>
          <w:szCs w:val="24"/>
        </w:rPr>
        <w:t>Envolver a população na discussão das potencialidades e dos problemas de saneamento ambiental no município e suas implicações na qualidade de vida;</w:t>
      </w:r>
    </w:p>
    <w:p w:rsidR="00ED7D13" w:rsidRPr="00ED7D13" w:rsidRDefault="00ED7D13" w:rsidP="00ED7D13">
      <w:pPr>
        <w:numPr>
          <w:ilvl w:val="0"/>
          <w:numId w:val="56"/>
        </w:numPr>
        <w:spacing w:after="0" w:line="360" w:lineRule="auto"/>
        <w:contextualSpacing/>
        <w:jc w:val="both"/>
        <w:rPr>
          <w:rFonts w:eastAsia="Calibri" w:cs="Times New Roman"/>
          <w:szCs w:val="24"/>
        </w:rPr>
      </w:pPr>
      <w:r w:rsidRPr="00ED7D13">
        <w:rPr>
          <w:rFonts w:eastAsia="Calibri" w:cs="Times New Roman"/>
          <w:szCs w:val="24"/>
        </w:rPr>
        <w:lastRenderedPageBreak/>
        <w:t>Levantar diretrizes e propostas para soluções de problemas locais, através da manifestação popular, a serem consideradas na construção dos diagnósticos e propostas do Plano.</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 xml:space="preserve">A mobilização e sensibilização da comunidade é a ação mais complexa de todo o programa e deve ser planejada objetivando alcançar o maior número de moradores do município de Aimorés. As ações da mobilização devem ter um conteúdo educativo e informativo e devem atingir cronologicamente o núcleo gestor, os multiplicadores de ideias e a população para uma maior efetividade. </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O núcleo gestor deve ser formado com líderes ou representantes das regiões que, com sua experiência e conhecimento das realidades locais.</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Os multiplicadores são os agentes e lideranças locais que se interessam pelo tema ambiental e social e que são multiplicadores das atividades em cada lugar onde vão se realizar as audiências públicas. Entre os multiplicadores estão os agentes de saúde, os representantes e funcionários da Prefeitura, representantes de escolas, representantes de centro e saúde, líderes religiosos, esportivos e comunitários, representantes empresariais, políticos e estudantes.</w:t>
      </w:r>
    </w:p>
    <w:p w:rsidR="00ED7D13" w:rsidRPr="00ED7D13" w:rsidRDefault="00302A16" w:rsidP="00ED7D13">
      <w:pPr>
        <w:spacing w:after="0" w:line="360" w:lineRule="auto"/>
        <w:ind w:firstLine="709"/>
        <w:jc w:val="both"/>
        <w:rPr>
          <w:rFonts w:eastAsia="Calibri" w:cs="Times New Roman"/>
          <w:szCs w:val="24"/>
        </w:rPr>
      </w:pPr>
      <w:r w:rsidRPr="00ED7D13">
        <w:rPr>
          <w:rFonts w:eastAsia="Calibri" w:cs="Times New Roman"/>
          <w:szCs w:val="24"/>
        </w:rPr>
        <w:t>Devem-se</w:t>
      </w:r>
      <w:r w:rsidR="00ED7D13" w:rsidRPr="00ED7D13">
        <w:rPr>
          <w:rFonts w:eastAsia="Calibri" w:cs="Times New Roman"/>
          <w:szCs w:val="24"/>
        </w:rPr>
        <w:t xml:space="preserve"> estabelecer em conjunto as atividades mobilizadoras e educativas mais adequadas para fazer o programa para chegar ao público. Para o PMSB Aimorés foram utilizadas as seguintes medidas:</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 Carro/Moto/Bicicleta de Som;</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 Folders entregues aos munícipes na rua e no evento do aniversário da cidade;</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 Faixas nos locais mais visitados;</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 Cartazes na prefeitura e nos centros comerciais;</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 Apresentação em rádios locais;</w:t>
      </w:r>
    </w:p>
    <w:p w:rsidR="00ED7D13" w:rsidRPr="00ED7D13" w:rsidRDefault="00ED7D13" w:rsidP="00ED7D13">
      <w:pPr>
        <w:spacing w:after="0" w:line="360" w:lineRule="auto"/>
        <w:ind w:firstLine="709"/>
        <w:jc w:val="both"/>
        <w:rPr>
          <w:rFonts w:eastAsia="Calibri" w:cs="Times New Roman"/>
          <w:szCs w:val="24"/>
        </w:rPr>
      </w:pPr>
      <w:r w:rsidRPr="00ED7D13">
        <w:rPr>
          <w:rFonts w:eastAsia="Calibri" w:cs="Times New Roman"/>
          <w:szCs w:val="24"/>
        </w:rPr>
        <w:t xml:space="preserve">Mas apesar dos esforços realizados para esta mobilização, percebemos que o melhor modo de mobilizar a população dos distritos é utilizando o método denominado “boca a boca”, que consiste na visita das casas dos moradores do distrito informando o assunto tratado, o local, o dia, e a importância da presença dos mesmos para melhor formação do trabalho no município. </w:t>
      </w:r>
    </w:p>
    <w:p w:rsidR="00ED7D13" w:rsidRPr="00A275C9" w:rsidRDefault="00ED7D13" w:rsidP="00ED7D13">
      <w:pPr>
        <w:pStyle w:val="Titulo"/>
      </w:pPr>
      <w:r w:rsidRPr="00A275C9">
        <w:lastRenderedPageBreak/>
        <w:t>1</w:t>
      </w:r>
      <w:r>
        <w:t>2</w:t>
      </w:r>
      <w:r w:rsidRPr="00A275C9">
        <w:t>.</w:t>
      </w:r>
      <w:r>
        <w:t>1</w:t>
      </w:r>
      <w:r w:rsidR="00302A16">
        <w:t>1</w:t>
      </w:r>
      <w:r w:rsidRPr="00A275C9">
        <w:t xml:space="preserve">.2 </w:t>
      </w:r>
      <w:r w:rsidRPr="00A84DE6">
        <w:t>Alguns problemas levantados pela comunidade durante a realização das audiências públicas do PMSB</w:t>
      </w:r>
      <w:r w:rsidRPr="00A275C9">
        <w:t xml:space="preserve"> </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xml:space="preserve">- No município de Aimorés nas audiências da sede, </w:t>
      </w:r>
      <w:r w:rsidR="00302A16" w:rsidRPr="00ED7D13">
        <w:rPr>
          <w:rFonts w:eastAsia="Calibri" w:cs="Times New Roman"/>
          <w:szCs w:val="24"/>
        </w:rPr>
        <w:t>foram</w:t>
      </w:r>
      <w:r w:rsidRPr="00ED7D13">
        <w:rPr>
          <w:rFonts w:eastAsia="Calibri" w:cs="Times New Roman"/>
          <w:szCs w:val="24"/>
        </w:rPr>
        <w:t xml:space="preserve"> </w:t>
      </w:r>
      <w:r w:rsidR="00302A16" w:rsidRPr="00ED7D13">
        <w:rPr>
          <w:rFonts w:eastAsia="Calibri" w:cs="Times New Roman"/>
          <w:szCs w:val="24"/>
        </w:rPr>
        <w:t>relatadas cinco</w:t>
      </w:r>
      <w:r w:rsidRPr="00ED7D13">
        <w:rPr>
          <w:rFonts w:eastAsia="Calibri" w:cs="Times New Roman"/>
          <w:szCs w:val="24"/>
        </w:rPr>
        <w:t xml:space="preserve"> vezes que há ligações de rede de esgoto na rede de água pluvial, que em dias mais quentes há presença de gases fétidos, assim deve-se melhorar todo o sistema de transporte do esgoto para o seu tratamento adequado;</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Na audiência da área central da sede do município de Aimorés, foi citado por um delegado do PMSB que a população que vive perto da Estação de Tratamento de Esgoto, reclama sobre os maus cheiros constantes</w:t>
      </w:r>
      <w:r w:rsidR="00302A16" w:rsidRPr="00ED7D13">
        <w:rPr>
          <w:rFonts w:eastAsia="Calibri" w:cs="Times New Roman"/>
          <w:szCs w:val="24"/>
        </w:rPr>
        <w:t>, pois</w:t>
      </w:r>
      <w:r w:rsidRPr="00ED7D13">
        <w:rPr>
          <w:rFonts w:eastAsia="Calibri" w:cs="Times New Roman"/>
          <w:szCs w:val="24"/>
        </w:rPr>
        <w:t xml:space="preserve"> não há queima dos gases, e ainda, pede-se que haja um estudo sobre utilização dos gases para aproveitamento energético;</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xml:space="preserve">- Na segunda audiência foi relatado uma vez que todo esgoto que percorria o bairro Vila Tiago foi canalizado para se retirar este lançamento de esgoto no Córrego Salgado, mas com o transporte deste esgoto para a elevatória da Avenida Brasil há um lançamento direto no córrego Salgado, e quando está na época de estiagem o córrego fica com muito mau cheiro atraindo vetores, então </w:t>
      </w:r>
      <w:r w:rsidR="00302A16" w:rsidRPr="00ED7D13">
        <w:rPr>
          <w:rFonts w:eastAsia="Calibri" w:cs="Times New Roman"/>
          <w:szCs w:val="24"/>
        </w:rPr>
        <w:t>se deve</w:t>
      </w:r>
      <w:r w:rsidRPr="00ED7D13">
        <w:rPr>
          <w:rFonts w:eastAsia="Calibri" w:cs="Times New Roman"/>
          <w:szCs w:val="24"/>
        </w:rPr>
        <w:t xml:space="preserve"> encerrar este lançamento de esgoto;</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xml:space="preserve">- Em duas audiências da sede do município de Aimorés foi citado que </w:t>
      </w:r>
      <w:r w:rsidR="00302A16" w:rsidRPr="00ED7D13">
        <w:rPr>
          <w:rFonts w:eastAsia="Calibri" w:cs="Times New Roman"/>
          <w:szCs w:val="24"/>
        </w:rPr>
        <w:t>se deve</w:t>
      </w:r>
      <w:r w:rsidRPr="00ED7D13">
        <w:rPr>
          <w:rFonts w:eastAsia="Calibri" w:cs="Times New Roman"/>
          <w:szCs w:val="24"/>
        </w:rPr>
        <w:t xml:space="preserve"> retirar o lançamento das águas pluviais nas redes de esgoto, e substituir o manilhamento da rede;</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xml:space="preserve">- Na segunda audiência da sede do município de Aimorés, foi relatado por um delegado do PMSB, que a Estação de Tratamento de Esgoto foi desativada aproximadamente a 15 anos, e agora esta estação lança todo o esgoto in natura diretamente no córrego da Natividade, assim o delegado pede que ou seja </w:t>
      </w:r>
      <w:r w:rsidR="00302A16" w:rsidRPr="00ED7D13">
        <w:rPr>
          <w:rFonts w:eastAsia="Calibri" w:cs="Times New Roman"/>
          <w:szCs w:val="24"/>
        </w:rPr>
        <w:t>reativada</w:t>
      </w:r>
      <w:r w:rsidRPr="00ED7D13">
        <w:rPr>
          <w:rFonts w:eastAsia="Calibri" w:cs="Times New Roman"/>
          <w:szCs w:val="24"/>
        </w:rPr>
        <w:t xml:space="preserve"> ou mude o curso deste esgoto para a Estação de Tratamento de Esgoto que ainda está ativa;</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xml:space="preserve">- Sinalizado por um delegado do PMSB na segunda audiência, que é funcionário do Serviço Autônomo de Água e Esgoto do município de Aimorés, que mais da metade do Bairro Betel lança todo o esgoto na Avenida Luiz Martins Soares havendo formação de gases fétidos. A interligação de parte das redes coletoras de esgoto é bombeada por uma elevatória para outra elevatória no Bairro Triangulo, sendo insuficiente para atender. Recorre-se o recurso de lançar parte do esgoto diretamente na rede pluvial que deságua no córrego Salgado que por sua vez deságua no córrego Natividade. Já foi proposto pelo </w:t>
      </w:r>
      <w:r w:rsidRPr="00ED7D13">
        <w:rPr>
          <w:rFonts w:eastAsia="Calibri" w:cs="Times New Roman"/>
          <w:szCs w:val="24"/>
        </w:rPr>
        <w:lastRenderedPageBreak/>
        <w:t>SAAE recentemente que fosse feita uma rede coletora de esgoto na Rua Frei Pio para evitar o esgoto sobre as ruas;</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Na audiência do bairro Barra do Manhuaçu foi citado três vezes que todo o esgoto do bairro Barra do Manhuaçu, Cantinho do Céu e Igrejinha é lançado sem tratamento no córrego do Chucha, causando além de poluição e odores acumulo de sedimentos. Com a construção da hidroelétrica e a consequente formação do trecho de vazão reduzida não foi realizado a coleta de esgoto ao longo deste trecho e que recentemente na rua do meio da Barra do Manhuaçu foi contemplada com pavimentação, mas não recebeu rede fluvial e nem de esgoto;</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xml:space="preserve">- Sinalizado por um delegado do PMSB, que é funcionário do Serviço Autônomo de Água e Esgoto do município de Aimorés que </w:t>
      </w:r>
      <w:r w:rsidR="00302A16" w:rsidRPr="00ED7D13">
        <w:rPr>
          <w:rFonts w:eastAsia="Calibri" w:cs="Times New Roman"/>
          <w:szCs w:val="24"/>
        </w:rPr>
        <w:t>se deve</w:t>
      </w:r>
      <w:r w:rsidRPr="00ED7D13">
        <w:rPr>
          <w:rFonts w:eastAsia="Calibri" w:cs="Times New Roman"/>
          <w:szCs w:val="24"/>
        </w:rPr>
        <w:t xml:space="preserve"> trocar parte das redes coletoras de manilhas de barro (mais ou menos 30% da cidade) para PVC;</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xml:space="preserve">- Na audiência do bairro da Barra Preta, foi relatado que na </w:t>
      </w:r>
      <w:r w:rsidR="00302A16" w:rsidRPr="00ED7D13">
        <w:rPr>
          <w:rFonts w:eastAsia="Calibri" w:cs="Times New Roman"/>
          <w:szCs w:val="24"/>
        </w:rPr>
        <w:t>Rua</w:t>
      </w:r>
      <w:r w:rsidRPr="00ED7D13">
        <w:rPr>
          <w:rFonts w:eastAsia="Calibri" w:cs="Times New Roman"/>
          <w:szCs w:val="24"/>
        </w:rPr>
        <w:t xml:space="preserve"> da Paz, entre os números 497 a 533 a rede de esgoto foi feita, mas ela não foi ligada nas demais redes, e que logo depois desta rua, a Avenida dos Ferroviários a rede de esgoto é insuficiente, muitas vezes retornando na casa dos moradores;</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xml:space="preserve">- Em duas audiências da sede do município de Aimorés, foi relatado que antes da construção da Usina Hidrelétrica havia 65% do esgoto coletado, e com a criação da Usina, estava previsto como medida compensatória, que haveria 100% do esgoto coletado, mas não </w:t>
      </w:r>
      <w:r w:rsidR="00302A16" w:rsidRPr="00ED7D13">
        <w:rPr>
          <w:rFonts w:eastAsia="Calibri" w:cs="Times New Roman"/>
          <w:szCs w:val="24"/>
        </w:rPr>
        <w:t>foram</w:t>
      </w:r>
      <w:r w:rsidRPr="00ED7D13">
        <w:rPr>
          <w:rFonts w:eastAsia="Calibri" w:cs="Times New Roman"/>
          <w:szCs w:val="24"/>
        </w:rPr>
        <w:t xml:space="preserve"> </w:t>
      </w:r>
      <w:r w:rsidR="00302A16" w:rsidRPr="00ED7D13">
        <w:rPr>
          <w:rFonts w:eastAsia="Calibri" w:cs="Times New Roman"/>
          <w:szCs w:val="24"/>
        </w:rPr>
        <w:t>executados</w:t>
      </w:r>
      <w:r w:rsidRPr="00ED7D13">
        <w:rPr>
          <w:rFonts w:eastAsia="Calibri" w:cs="Times New Roman"/>
          <w:szCs w:val="24"/>
        </w:rPr>
        <w:t>, assim os participantes das audiências acham que deveria ser feito um trabalho do Consórcio da Usina para que se executasse a obra;</w:t>
      </w:r>
    </w:p>
    <w:p w:rsidR="00ED7D13" w:rsidRPr="00ED7D13" w:rsidRDefault="00ED7D13" w:rsidP="00ED7D13">
      <w:pPr>
        <w:spacing w:line="360" w:lineRule="auto"/>
        <w:jc w:val="both"/>
        <w:rPr>
          <w:rFonts w:eastAsia="Calibri" w:cs="Times New Roman"/>
          <w:szCs w:val="24"/>
        </w:rPr>
      </w:pPr>
      <w:r w:rsidRPr="00ED7D13">
        <w:rPr>
          <w:rFonts w:eastAsia="Calibri" w:cs="Times New Roman"/>
          <w:szCs w:val="24"/>
        </w:rPr>
        <w:t xml:space="preserve">- Em três audiências dos distritos de São Sebastião da Vala, Penha do Capim e Conceição do Capim, foi </w:t>
      </w:r>
      <w:r w:rsidR="00302A16" w:rsidRPr="00ED7D13">
        <w:rPr>
          <w:rFonts w:eastAsia="Calibri" w:cs="Times New Roman"/>
          <w:szCs w:val="24"/>
        </w:rPr>
        <w:t>relatada</w:t>
      </w:r>
      <w:r w:rsidRPr="00ED7D13">
        <w:rPr>
          <w:rFonts w:eastAsia="Calibri" w:cs="Times New Roman"/>
          <w:szCs w:val="24"/>
        </w:rPr>
        <w:t xml:space="preserve"> por sete participantes, que apesar de existir rede de esgoto nos distritos o mesmo lançado diretamente no rio Capim, sendo que os participantes pedem que haja um tratamento para depois ter o lançamento no curso do rio;</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Na audiência do distrito de São Sebastião da Vala, foi sinalizado que o reator de tratamento de esgoto foi a tempo desativado pelos funcionários do Serviço Autônomo de Água e Esgoto de Aimorés, pois os moradores do distrito reclamavam sobre o mau cheiro cheirado, pois o mesmo estava no centro urbano do distrito, os participantes da audiência pediram que houvesse uma retirada deste reator para colocar em outro local e reativa-lo;</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lastRenderedPageBreak/>
        <w:t xml:space="preserve">- Na audiência do distrito de Santo Antônio do Rio Doce, dois participantes relataram que a </w:t>
      </w:r>
      <w:r w:rsidR="00302A16" w:rsidRPr="00ED7D13">
        <w:rPr>
          <w:rFonts w:eastAsia="Calibri" w:cs="Times New Roman"/>
          <w:szCs w:val="24"/>
        </w:rPr>
        <w:t>Rua</w:t>
      </w:r>
      <w:r w:rsidRPr="00ED7D13">
        <w:rPr>
          <w:rFonts w:eastAsia="Calibri" w:cs="Times New Roman"/>
          <w:szCs w:val="24"/>
        </w:rPr>
        <w:t xml:space="preserve"> Mauá não tem sistema de coleta de esgoto, as redes de esgoto existentes do distrito não têm manutenção, e a Estação de Tratamento de Esgoto do distrito só funcionou um mês;</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Na audiência do distrito de Penha do Capim foi relatado por dois participantes, que o esgoto do distrito é coletado</w:t>
      </w:r>
      <w:r w:rsidR="00302A16" w:rsidRPr="00ED7D13">
        <w:rPr>
          <w:rFonts w:eastAsia="Calibri" w:cs="Times New Roman"/>
          <w:szCs w:val="24"/>
        </w:rPr>
        <w:t>, mas</w:t>
      </w:r>
      <w:r w:rsidRPr="00ED7D13">
        <w:rPr>
          <w:rFonts w:eastAsia="Calibri" w:cs="Times New Roman"/>
          <w:szCs w:val="24"/>
        </w:rPr>
        <w:t xml:space="preserve"> a Estação de Tratamento de Esgoto </w:t>
      </w:r>
      <w:r w:rsidR="00302A16" w:rsidRPr="00ED7D13">
        <w:rPr>
          <w:rFonts w:eastAsia="Calibri" w:cs="Times New Roman"/>
          <w:szCs w:val="24"/>
        </w:rPr>
        <w:t>estourou</w:t>
      </w:r>
      <w:r w:rsidRPr="00ED7D13">
        <w:rPr>
          <w:rFonts w:eastAsia="Calibri" w:cs="Times New Roman"/>
          <w:szCs w:val="24"/>
        </w:rPr>
        <w:t xml:space="preserve"> assim todo o esgoto é lançado in natura no rio Capim. Também salientaram que a rede de esgoto já estourou mais de uma vez, retornando esgoto na casa dos moradores;</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Na audiência do distrito de Alto Capim foi relatado por três participantes, que todo o esgoto do distrito é lançado no rio;</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Na audiência do distrito de Tabaúna quatro pessoas disseram que a rede de esgoto que passa pela rua principal está coletando também o esgoto da escola e lançando-o na parte superior da ponte, eles pedem que haja uma destinação adequada final do esgoto;</w:t>
      </w:r>
    </w:p>
    <w:p w:rsidR="00ED7D13" w:rsidRPr="00ED7D13" w:rsidRDefault="00ED7D13" w:rsidP="00ED7D13">
      <w:pPr>
        <w:spacing w:after="0" w:line="360" w:lineRule="auto"/>
        <w:jc w:val="both"/>
        <w:rPr>
          <w:rFonts w:eastAsia="Calibri" w:cs="Times New Roman"/>
          <w:szCs w:val="24"/>
        </w:rPr>
      </w:pPr>
      <w:r w:rsidRPr="00ED7D13">
        <w:rPr>
          <w:rFonts w:eastAsia="Calibri" w:cs="Times New Roman"/>
          <w:szCs w:val="24"/>
        </w:rPr>
        <w:t>- Na audiência do distrito de Expedicionário Alício um delegado do PMSB relata que há lançamento de esgoto a céu aberto atrás da escola, havendo constantes contatos dos alunos com esse esgoto, e também relata que pelo distrito não ter coleta de esgoto em todas as ruas, algumas casas recorrem ao uso de fossas negras.</w:t>
      </w:r>
    </w:p>
    <w:p w:rsidR="00ED7D13" w:rsidRDefault="00ED7D13" w:rsidP="00302A16">
      <w:pPr>
        <w:pStyle w:val="Titulo"/>
        <w:jc w:val="both"/>
      </w:pPr>
      <w:r w:rsidRPr="00ED7D13">
        <w:rPr>
          <w:rFonts w:eastAsia="Calibri"/>
          <w:b w:val="0"/>
          <w:bCs w:val="0"/>
          <w:color w:val="auto"/>
          <w:szCs w:val="24"/>
        </w:rPr>
        <w:t>- Na audiência do distrito de Conceição do Capim um delegado do PMSB disse que o esgoto é coletado nas moradias</w:t>
      </w:r>
      <w:r w:rsidR="00302A16" w:rsidRPr="00ED7D13">
        <w:rPr>
          <w:rFonts w:eastAsia="Calibri"/>
          <w:b w:val="0"/>
          <w:bCs w:val="0"/>
          <w:color w:val="auto"/>
          <w:szCs w:val="24"/>
        </w:rPr>
        <w:t>, contudo</w:t>
      </w:r>
      <w:r w:rsidRPr="00ED7D13">
        <w:rPr>
          <w:rFonts w:eastAsia="Calibri"/>
          <w:b w:val="0"/>
          <w:bCs w:val="0"/>
          <w:color w:val="auto"/>
          <w:szCs w:val="24"/>
        </w:rPr>
        <w:t xml:space="preserve"> o mesmo é lançado in natura no rio Capim e que existem algumas moradias que ainda não tem a coleta do esgoto de forma adequada, lançando seu esgoto diretamente no “valão” que começa na fazenda do senhor Ota Nogueira que passa na Rua Silva Pia Azarollio e também na </w:t>
      </w:r>
      <w:r w:rsidR="00302A16" w:rsidRPr="00ED7D13">
        <w:rPr>
          <w:rFonts w:eastAsia="Calibri"/>
          <w:b w:val="0"/>
          <w:bCs w:val="0"/>
          <w:color w:val="auto"/>
          <w:szCs w:val="24"/>
        </w:rPr>
        <w:t>Rua</w:t>
      </w:r>
      <w:r w:rsidRPr="00ED7D13">
        <w:rPr>
          <w:rFonts w:eastAsia="Calibri"/>
          <w:b w:val="0"/>
          <w:bCs w:val="0"/>
          <w:color w:val="auto"/>
          <w:szCs w:val="24"/>
        </w:rPr>
        <w:t xml:space="preserve"> Jose Henrique Filho, que depois desagua no rio Capim.</w:t>
      </w:r>
    </w:p>
    <w:p w:rsidR="00E32574" w:rsidRPr="00A369F0" w:rsidRDefault="00C03B56" w:rsidP="00971B37">
      <w:pPr>
        <w:pStyle w:val="Titulo"/>
      </w:pPr>
      <w:r w:rsidRPr="00A369F0">
        <w:t>12.1</w:t>
      </w:r>
      <w:r w:rsidR="00ED7D13">
        <w:t>2</w:t>
      </w:r>
      <w:r w:rsidRPr="00A369F0">
        <w:t xml:space="preserve"> </w:t>
      </w:r>
      <w:r w:rsidR="00E32574" w:rsidRPr="00A369F0">
        <w:t>Serviços Prestados</w:t>
      </w:r>
      <w:bookmarkEnd w:id="513"/>
      <w:bookmarkEnd w:id="514"/>
    </w:p>
    <w:p w:rsidR="00E32574" w:rsidRDefault="00E32574" w:rsidP="0030116D">
      <w:pPr>
        <w:pStyle w:val="CM73"/>
        <w:spacing w:line="380" w:lineRule="atLeast"/>
        <w:ind w:firstLine="709"/>
        <w:jc w:val="both"/>
        <w:rPr>
          <w:rFonts w:ascii="Times New Roman" w:hAnsi="Times New Roman" w:cs="Times New Roman"/>
        </w:rPr>
      </w:pPr>
      <w:r w:rsidRPr="005B56F4">
        <w:rPr>
          <w:rFonts w:ascii="Times New Roman" w:hAnsi="Times New Roman" w:cs="Times New Roman"/>
        </w:rPr>
        <w:t>O SAAE presta serviços aos seus usuários tais como ligação de esgoto, reparos n</w:t>
      </w:r>
      <w:r>
        <w:rPr>
          <w:rFonts w:ascii="Times New Roman" w:hAnsi="Times New Roman" w:cs="Times New Roman"/>
        </w:rPr>
        <w:t xml:space="preserve">a rede de esgotamento sanitário. </w:t>
      </w:r>
      <w:r w:rsidRPr="00630C6B">
        <w:rPr>
          <w:rFonts w:ascii="Times New Roman" w:hAnsi="Times New Roman" w:cs="Times New Roman"/>
        </w:rPr>
        <w:t xml:space="preserve">Com relação aos serviços de reparos nas redes de esgoto, </w:t>
      </w:r>
      <w:r>
        <w:rPr>
          <w:rFonts w:ascii="Times New Roman" w:hAnsi="Times New Roman" w:cs="Times New Roman"/>
        </w:rPr>
        <w:t>o SAAE não possui dados sobre a quantidade de serviços realizados. Os dados dos serviços prestados de esgotamento sanitário pela concessionária estão descritos no diagnóstico de abastecimento de água.</w:t>
      </w:r>
    </w:p>
    <w:p w:rsidR="00E32574" w:rsidRPr="000C5DD6" w:rsidRDefault="00C03B56" w:rsidP="00971B37">
      <w:pPr>
        <w:pStyle w:val="Titulo"/>
      </w:pPr>
      <w:bookmarkStart w:id="515" w:name="_Toc372559151"/>
      <w:bookmarkStart w:id="516" w:name="_Toc372789582"/>
      <w:r w:rsidRPr="000C5DD6">
        <w:lastRenderedPageBreak/>
        <w:t>12.1</w:t>
      </w:r>
      <w:r w:rsidR="00ED7D13">
        <w:t>2</w:t>
      </w:r>
      <w:r w:rsidRPr="000C5DD6">
        <w:t xml:space="preserve">.1 </w:t>
      </w:r>
      <w:r w:rsidR="00E32574" w:rsidRPr="000C5DD6">
        <w:t>Economias e Volume</w:t>
      </w:r>
      <w:bookmarkEnd w:id="515"/>
      <w:bookmarkEnd w:id="516"/>
    </w:p>
    <w:p w:rsidR="00E32574" w:rsidRDefault="00E32574" w:rsidP="0030116D">
      <w:pPr>
        <w:pStyle w:val="CM73"/>
        <w:spacing w:line="360" w:lineRule="auto"/>
        <w:ind w:firstLine="709"/>
        <w:jc w:val="both"/>
        <w:rPr>
          <w:rFonts w:ascii="Times New Roman" w:hAnsi="Times New Roman" w:cs="Times New Roman"/>
        </w:rPr>
      </w:pPr>
      <w:r w:rsidRPr="00CB7686">
        <w:rPr>
          <w:rFonts w:ascii="Times New Roman" w:hAnsi="Times New Roman" w:cs="Times New Roman"/>
        </w:rPr>
        <w:t>N</w:t>
      </w:r>
      <w:r w:rsidR="0030116D">
        <w:rPr>
          <w:rFonts w:ascii="Times New Roman" w:hAnsi="Times New Roman" w:cs="Times New Roman"/>
        </w:rPr>
        <w:t>o Quadro 49</w:t>
      </w:r>
      <w:r w:rsidRPr="00CB7686">
        <w:rPr>
          <w:rFonts w:ascii="Times New Roman" w:hAnsi="Times New Roman" w:cs="Times New Roman"/>
        </w:rPr>
        <w:t xml:space="preserve"> mostra</w:t>
      </w:r>
      <w:r w:rsidR="0030116D">
        <w:rPr>
          <w:rFonts w:ascii="Times New Roman" w:hAnsi="Times New Roman" w:cs="Times New Roman"/>
        </w:rPr>
        <w:t>-se</w:t>
      </w:r>
      <w:r w:rsidRPr="00CB7686">
        <w:rPr>
          <w:rFonts w:ascii="Times New Roman" w:hAnsi="Times New Roman" w:cs="Times New Roman"/>
        </w:rPr>
        <w:t xml:space="preserve"> o número de economias de coleta de esgoto e </w:t>
      </w:r>
      <w:r w:rsidR="0030116D">
        <w:rPr>
          <w:rFonts w:ascii="Times New Roman" w:hAnsi="Times New Roman" w:cs="Times New Roman"/>
        </w:rPr>
        <w:t>no Quadro 50</w:t>
      </w:r>
      <w:r w:rsidRPr="00CB7686">
        <w:rPr>
          <w:rFonts w:ascii="Times New Roman" w:hAnsi="Times New Roman" w:cs="Times New Roman"/>
        </w:rPr>
        <w:t xml:space="preserve"> o volume consumido pelo município de Aimorés de esgoto doméstico.</w:t>
      </w:r>
    </w:p>
    <w:p w:rsidR="00033760" w:rsidRPr="0030116D" w:rsidRDefault="0075744C" w:rsidP="0075744C">
      <w:pPr>
        <w:pStyle w:val="Legenda"/>
        <w:rPr>
          <w:b w:val="0"/>
        </w:rPr>
      </w:pPr>
      <w:bookmarkStart w:id="517" w:name="_Toc372740555"/>
      <w:r>
        <w:t xml:space="preserve">Quadro </w:t>
      </w:r>
      <w:fldSimple w:instr=" SEQ Quadro \* ARABIC ">
        <w:r w:rsidR="004F77E2">
          <w:rPr>
            <w:noProof/>
          </w:rPr>
          <w:t>49</w:t>
        </w:r>
      </w:fldSimple>
      <w:r>
        <w:t xml:space="preserve"> - </w:t>
      </w:r>
      <w:r w:rsidRPr="00D50CDE">
        <w:rPr>
          <w:noProof/>
        </w:rPr>
        <w:t>Número de Economias.</w:t>
      </w:r>
      <w:bookmarkEnd w:id="5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49"/>
        <w:gridCol w:w="766"/>
        <w:gridCol w:w="766"/>
      </w:tblGrid>
      <w:tr w:rsidR="00E32574" w:rsidRPr="0030116D" w:rsidTr="00033760">
        <w:trPr>
          <w:trHeight w:val="340"/>
          <w:jc w:val="center"/>
        </w:trPr>
        <w:tc>
          <w:tcPr>
            <w:tcW w:w="3581" w:type="dxa"/>
            <w:gridSpan w:val="3"/>
            <w:shd w:val="clear" w:color="auto" w:fill="D9D9D9"/>
            <w:vAlign w:val="center"/>
          </w:tcPr>
          <w:p w:rsidR="00E32574" w:rsidRPr="0030116D" w:rsidRDefault="00E32574" w:rsidP="0030116D">
            <w:pPr>
              <w:spacing w:before="120" w:after="120" w:line="240" w:lineRule="auto"/>
              <w:jc w:val="center"/>
              <w:rPr>
                <w:b/>
                <w:lang w:eastAsia="pt-BR"/>
              </w:rPr>
            </w:pPr>
            <w:r w:rsidRPr="0030116D">
              <w:rPr>
                <w:b/>
                <w:lang w:eastAsia="pt-BR"/>
              </w:rPr>
              <w:t>Economias</w:t>
            </w:r>
          </w:p>
        </w:tc>
      </w:tr>
      <w:tr w:rsidR="00E32574" w:rsidRPr="0030116D" w:rsidTr="00033760">
        <w:trPr>
          <w:trHeight w:val="340"/>
          <w:jc w:val="center"/>
        </w:trPr>
        <w:tc>
          <w:tcPr>
            <w:tcW w:w="2049" w:type="dxa"/>
            <w:shd w:val="clear" w:color="auto" w:fill="D9D9D9"/>
          </w:tcPr>
          <w:p w:rsidR="00E32574" w:rsidRPr="0030116D" w:rsidRDefault="0030116D" w:rsidP="0030116D">
            <w:pPr>
              <w:spacing w:before="120" w:after="120" w:line="240" w:lineRule="auto"/>
              <w:rPr>
                <w:b/>
                <w:lang w:eastAsia="pt-BR"/>
              </w:rPr>
            </w:pPr>
            <w:r w:rsidRPr="0030116D">
              <w:rPr>
                <w:b/>
                <w:lang w:eastAsia="pt-BR"/>
              </w:rPr>
              <w:t>Situação</w:t>
            </w:r>
          </w:p>
        </w:tc>
        <w:tc>
          <w:tcPr>
            <w:tcW w:w="766" w:type="dxa"/>
            <w:shd w:val="clear" w:color="auto" w:fill="D9D9D9"/>
            <w:vAlign w:val="center"/>
          </w:tcPr>
          <w:p w:rsidR="00E32574" w:rsidRPr="0030116D" w:rsidRDefault="00E32574" w:rsidP="0030116D">
            <w:pPr>
              <w:spacing w:before="120" w:after="120" w:line="240" w:lineRule="auto"/>
              <w:jc w:val="center"/>
              <w:rPr>
                <w:b/>
                <w:lang w:eastAsia="pt-BR"/>
              </w:rPr>
            </w:pPr>
            <w:r w:rsidRPr="0030116D">
              <w:rPr>
                <w:b/>
                <w:lang w:eastAsia="pt-BR"/>
              </w:rPr>
              <w:t>2011</w:t>
            </w:r>
          </w:p>
        </w:tc>
        <w:tc>
          <w:tcPr>
            <w:tcW w:w="766" w:type="dxa"/>
            <w:shd w:val="clear" w:color="auto" w:fill="D9D9D9"/>
            <w:vAlign w:val="center"/>
          </w:tcPr>
          <w:p w:rsidR="00E32574" w:rsidRPr="0030116D" w:rsidRDefault="00E32574" w:rsidP="0030116D">
            <w:pPr>
              <w:spacing w:before="120" w:after="120" w:line="240" w:lineRule="auto"/>
              <w:jc w:val="center"/>
              <w:rPr>
                <w:b/>
                <w:lang w:eastAsia="pt-BR"/>
              </w:rPr>
            </w:pPr>
            <w:r w:rsidRPr="0030116D">
              <w:rPr>
                <w:b/>
                <w:lang w:eastAsia="pt-BR"/>
              </w:rPr>
              <w:t>2012</w:t>
            </w:r>
          </w:p>
        </w:tc>
      </w:tr>
      <w:tr w:rsidR="00E32574" w:rsidRPr="005243F8" w:rsidTr="00033760">
        <w:trPr>
          <w:trHeight w:val="340"/>
          <w:jc w:val="center"/>
        </w:trPr>
        <w:tc>
          <w:tcPr>
            <w:tcW w:w="2049" w:type="dxa"/>
          </w:tcPr>
          <w:p w:rsidR="00E32574" w:rsidRPr="005243F8" w:rsidRDefault="00E32574" w:rsidP="0030116D">
            <w:pPr>
              <w:spacing w:before="120" w:after="120" w:line="240" w:lineRule="auto"/>
              <w:rPr>
                <w:lang w:eastAsia="pt-BR"/>
              </w:rPr>
            </w:pPr>
            <w:r w:rsidRPr="005243F8">
              <w:rPr>
                <w:lang w:eastAsia="pt-BR"/>
              </w:rPr>
              <w:t>Ativas</w:t>
            </w:r>
          </w:p>
        </w:tc>
        <w:tc>
          <w:tcPr>
            <w:tcW w:w="766" w:type="dxa"/>
            <w:vAlign w:val="center"/>
          </w:tcPr>
          <w:p w:rsidR="00E32574" w:rsidRPr="005243F8" w:rsidRDefault="00E32574" w:rsidP="0030116D">
            <w:pPr>
              <w:spacing w:before="120" w:after="120" w:line="240" w:lineRule="auto"/>
              <w:jc w:val="center"/>
              <w:rPr>
                <w:lang w:eastAsia="pt-BR"/>
              </w:rPr>
            </w:pPr>
            <w:r w:rsidRPr="005243F8">
              <w:rPr>
                <w:lang w:eastAsia="pt-BR"/>
              </w:rPr>
              <w:t>7.760</w:t>
            </w:r>
          </w:p>
        </w:tc>
        <w:tc>
          <w:tcPr>
            <w:tcW w:w="766" w:type="dxa"/>
            <w:vAlign w:val="center"/>
          </w:tcPr>
          <w:p w:rsidR="00E32574" w:rsidRPr="005243F8" w:rsidRDefault="00E32574" w:rsidP="0030116D">
            <w:pPr>
              <w:spacing w:before="120" w:after="120" w:line="240" w:lineRule="auto"/>
              <w:jc w:val="center"/>
              <w:rPr>
                <w:lang w:eastAsia="pt-BR"/>
              </w:rPr>
            </w:pPr>
            <w:r w:rsidRPr="005243F8">
              <w:rPr>
                <w:lang w:eastAsia="pt-BR"/>
              </w:rPr>
              <w:t>6.956</w:t>
            </w:r>
          </w:p>
        </w:tc>
      </w:tr>
      <w:tr w:rsidR="00E32574" w:rsidRPr="005243F8" w:rsidTr="00033760">
        <w:trPr>
          <w:trHeight w:val="340"/>
          <w:jc w:val="center"/>
        </w:trPr>
        <w:tc>
          <w:tcPr>
            <w:tcW w:w="2049" w:type="dxa"/>
          </w:tcPr>
          <w:p w:rsidR="00E32574" w:rsidRPr="005243F8" w:rsidRDefault="00E32574" w:rsidP="0030116D">
            <w:pPr>
              <w:spacing w:before="120" w:after="120" w:line="240" w:lineRule="auto"/>
              <w:rPr>
                <w:lang w:eastAsia="pt-BR"/>
              </w:rPr>
            </w:pPr>
            <w:r w:rsidRPr="005243F8">
              <w:rPr>
                <w:lang w:eastAsia="pt-BR"/>
              </w:rPr>
              <w:t>Residencial Ativa</w:t>
            </w:r>
          </w:p>
        </w:tc>
        <w:tc>
          <w:tcPr>
            <w:tcW w:w="766" w:type="dxa"/>
            <w:vAlign w:val="center"/>
          </w:tcPr>
          <w:p w:rsidR="00E32574" w:rsidRPr="005243F8" w:rsidRDefault="00E32574" w:rsidP="0030116D">
            <w:pPr>
              <w:spacing w:before="120" w:after="120" w:line="240" w:lineRule="auto"/>
              <w:jc w:val="center"/>
              <w:rPr>
                <w:lang w:eastAsia="pt-BR"/>
              </w:rPr>
            </w:pPr>
            <w:r w:rsidRPr="005243F8">
              <w:rPr>
                <w:lang w:eastAsia="pt-BR"/>
              </w:rPr>
              <w:t>6.556</w:t>
            </w:r>
          </w:p>
        </w:tc>
        <w:tc>
          <w:tcPr>
            <w:tcW w:w="766" w:type="dxa"/>
            <w:vAlign w:val="center"/>
          </w:tcPr>
          <w:p w:rsidR="00E32574" w:rsidRPr="005243F8" w:rsidRDefault="00E32574" w:rsidP="0030116D">
            <w:pPr>
              <w:spacing w:before="120" w:after="120" w:line="240" w:lineRule="auto"/>
              <w:jc w:val="center"/>
              <w:rPr>
                <w:lang w:eastAsia="pt-BR"/>
              </w:rPr>
            </w:pPr>
            <w:r w:rsidRPr="005243F8">
              <w:rPr>
                <w:lang w:eastAsia="pt-BR"/>
              </w:rPr>
              <w:t>6.484</w:t>
            </w:r>
          </w:p>
        </w:tc>
      </w:tr>
    </w:tbl>
    <w:p w:rsidR="00E32574" w:rsidRDefault="00033760" w:rsidP="00033760">
      <w:pPr>
        <w:pStyle w:val="Fonte"/>
        <w:ind w:left="1416" w:firstLine="708"/>
        <w:rPr>
          <w:lang w:eastAsia="pt-BR"/>
        </w:rPr>
      </w:pPr>
      <w:r>
        <w:rPr>
          <w:lang w:eastAsia="pt-BR"/>
        </w:rPr>
        <w:t xml:space="preserve">       </w:t>
      </w:r>
      <w:r w:rsidR="00E32574" w:rsidRPr="00082391">
        <w:rPr>
          <w:lang w:eastAsia="pt-BR"/>
        </w:rPr>
        <w:t>Fonte: SAAE, 2013.</w:t>
      </w:r>
    </w:p>
    <w:p w:rsidR="00033760" w:rsidRPr="0030116D" w:rsidRDefault="0075744C" w:rsidP="0075744C">
      <w:pPr>
        <w:pStyle w:val="Legenda"/>
        <w:rPr>
          <w:b w:val="0"/>
        </w:rPr>
      </w:pPr>
      <w:bookmarkStart w:id="518" w:name="_Toc372740556"/>
      <w:r>
        <w:t xml:space="preserve">Quadro </w:t>
      </w:r>
      <w:fldSimple w:instr=" SEQ Quadro \* ARABIC ">
        <w:r w:rsidR="004F77E2">
          <w:rPr>
            <w:noProof/>
          </w:rPr>
          <w:t>50</w:t>
        </w:r>
      </w:fldSimple>
      <w:r>
        <w:t xml:space="preserve"> - </w:t>
      </w:r>
      <w:r w:rsidRPr="000D3CFF">
        <w:t>Volume consumido de esgoto doméstico.</w:t>
      </w:r>
      <w:bookmarkEnd w:id="518"/>
    </w:p>
    <w:tbl>
      <w:tblPr>
        <w:tblW w:w="0" w:type="auto"/>
        <w:jc w:val="center"/>
        <w:tblLayout w:type="fixed"/>
        <w:tblLook w:val="0000" w:firstRow="0" w:lastRow="0" w:firstColumn="0" w:lastColumn="0" w:noHBand="0" w:noVBand="0"/>
      </w:tblPr>
      <w:tblGrid>
        <w:gridCol w:w="816"/>
        <w:gridCol w:w="1361"/>
        <w:gridCol w:w="1079"/>
        <w:gridCol w:w="1559"/>
      </w:tblGrid>
      <w:tr w:rsidR="00E32574" w:rsidRPr="005243F8" w:rsidTr="0030116D">
        <w:trPr>
          <w:trHeight w:val="340"/>
          <w:jc w:val="center"/>
        </w:trPr>
        <w:tc>
          <w:tcPr>
            <w:tcW w:w="816" w:type="dxa"/>
            <w:vMerge w:val="restart"/>
            <w:tcBorders>
              <w:top w:val="single" w:sz="6" w:space="0" w:color="000000"/>
              <w:left w:val="single" w:sz="4" w:space="0" w:color="000000"/>
              <w:right w:val="single" w:sz="4" w:space="0" w:color="000000"/>
            </w:tcBorders>
            <w:shd w:val="clear" w:color="auto" w:fill="D9D9D9"/>
            <w:vAlign w:val="center"/>
          </w:tcPr>
          <w:p w:rsidR="00E32574" w:rsidRPr="0030116D" w:rsidRDefault="00E32574" w:rsidP="0030116D">
            <w:pPr>
              <w:pStyle w:val="Default"/>
              <w:spacing w:before="120" w:after="120"/>
              <w:jc w:val="center"/>
              <w:rPr>
                <w:rFonts w:ascii="Times New Roman" w:hAnsi="Times New Roman" w:cs="Times New Roman"/>
                <w:b/>
              </w:rPr>
            </w:pPr>
            <w:r w:rsidRPr="0030116D">
              <w:rPr>
                <w:rFonts w:ascii="Times New Roman" w:hAnsi="Times New Roman" w:cs="Times New Roman"/>
                <w:b/>
              </w:rPr>
              <w:t>Ano</w:t>
            </w:r>
          </w:p>
        </w:tc>
        <w:tc>
          <w:tcPr>
            <w:tcW w:w="3999" w:type="dxa"/>
            <w:gridSpan w:val="3"/>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30116D" w:rsidRDefault="00E32574" w:rsidP="0030116D">
            <w:pPr>
              <w:pStyle w:val="Default"/>
              <w:spacing w:before="120" w:after="120"/>
              <w:jc w:val="center"/>
              <w:rPr>
                <w:rFonts w:ascii="Times New Roman" w:hAnsi="Times New Roman" w:cs="Times New Roman"/>
                <w:b/>
              </w:rPr>
            </w:pPr>
            <w:r w:rsidRPr="0030116D">
              <w:rPr>
                <w:rFonts w:ascii="Times New Roman" w:hAnsi="Times New Roman" w:cs="Times New Roman"/>
                <w:b/>
              </w:rPr>
              <w:t>Volume (1.000 m³/ano)</w:t>
            </w:r>
          </w:p>
        </w:tc>
      </w:tr>
      <w:tr w:rsidR="00E32574" w:rsidRPr="005243F8" w:rsidTr="0030116D">
        <w:trPr>
          <w:trHeight w:val="340"/>
          <w:jc w:val="center"/>
        </w:trPr>
        <w:tc>
          <w:tcPr>
            <w:tcW w:w="816" w:type="dxa"/>
            <w:vMerge/>
            <w:tcBorders>
              <w:left w:val="single" w:sz="4" w:space="0" w:color="000000"/>
              <w:bottom w:val="single" w:sz="6" w:space="0" w:color="000000"/>
              <w:right w:val="single" w:sz="4" w:space="0" w:color="000000"/>
            </w:tcBorders>
            <w:shd w:val="clear" w:color="auto" w:fill="D9D9D9"/>
            <w:vAlign w:val="center"/>
          </w:tcPr>
          <w:p w:rsidR="00E32574" w:rsidRPr="0030116D" w:rsidRDefault="00E32574" w:rsidP="0030116D">
            <w:pPr>
              <w:pStyle w:val="Default"/>
              <w:spacing w:before="120" w:after="120"/>
              <w:jc w:val="center"/>
              <w:rPr>
                <w:rFonts w:ascii="Times New Roman" w:hAnsi="Times New Roman" w:cs="Times New Roman"/>
                <w:b/>
              </w:rPr>
            </w:pPr>
          </w:p>
        </w:tc>
        <w:tc>
          <w:tcPr>
            <w:tcW w:w="1361"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30116D" w:rsidRDefault="00E32574" w:rsidP="0030116D">
            <w:pPr>
              <w:pStyle w:val="Default"/>
              <w:spacing w:before="120" w:after="120"/>
              <w:jc w:val="center"/>
              <w:rPr>
                <w:rFonts w:ascii="Times New Roman" w:hAnsi="Times New Roman" w:cs="Times New Roman"/>
                <w:b/>
              </w:rPr>
            </w:pPr>
            <w:r w:rsidRPr="0030116D">
              <w:rPr>
                <w:rFonts w:ascii="Times New Roman" w:hAnsi="Times New Roman" w:cs="Times New Roman"/>
                <w:b/>
              </w:rPr>
              <w:t xml:space="preserve">Coletado </w:t>
            </w:r>
          </w:p>
        </w:tc>
        <w:tc>
          <w:tcPr>
            <w:tcW w:w="1079"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30116D" w:rsidRDefault="00E32574" w:rsidP="0030116D">
            <w:pPr>
              <w:pStyle w:val="Default"/>
              <w:spacing w:before="120" w:after="120"/>
              <w:jc w:val="center"/>
              <w:rPr>
                <w:rFonts w:ascii="Times New Roman" w:hAnsi="Times New Roman" w:cs="Times New Roman"/>
                <w:b/>
              </w:rPr>
            </w:pPr>
            <w:r w:rsidRPr="0030116D">
              <w:rPr>
                <w:rFonts w:ascii="Times New Roman" w:hAnsi="Times New Roman" w:cs="Times New Roman"/>
                <w:b/>
              </w:rPr>
              <w:t>Tratado</w:t>
            </w:r>
          </w:p>
        </w:tc>
        <w:tc>
          <w:tcPr>
            <w:tcW w:w="1559" w:type="dxa"/>
            <w:tcBorders>
              <w:top w:val="single" w:sz="6" w:space="0" w:color="000000"/>
              <w:left w:val="single" w:sz="4" w:space="0" w:color="000000"/>
              <w:bottom w:val="single" w:sz="6" w:space="0" w:color="000000"/>
              <w:right w:val="single" w:sz="4" w:space="0" w:color="000000"/>
            </w:tcBorders>
            <w:shd w:val="clear" w:color="auto" w:fill="D9D9D9"/>
            <w:vAlign w:val="center"/>
          </w:tcPr>
          <w:p w:rsidR="00E32574" w:rsidRPr="0030116D" w:rsidRDefault="00E32574" w:rsidP="0030116D">
            <w:pPr>
              <w:pStyle w:val="Default"/>
              <w:spacing w:before="120" w:after="120"/>
              <w:jc w:val="center"/>
              <w:rPr>
                <w:rFonts w:ascii="Times New Roman" w:hAnsi="Times New Roman" w:cs="Times New Roman"/>
                <w:b/>
              </w:rPr>
            </w:pPr>
            <w:r w:rsidRPr="0030116D">
              <w:rPr>
                <w:rFonts w:ascii="Times New Roman" w:hAnsi="Times New Roman" w:cs="Times New Roman"/>
                <w:b/>
              </w:rPr>
              <w:t>Faturado</w:t>
            </w:r>
          </w:p>
        </w:tc>
      </w:tr>
      <w:tr w:rsidR="00E32574" w:rsidRPr="005243F8" w:rsidTr="0030116D">
        <w:trPr>
          <w:trHeight w:val="340"/>
          <w:jc w:val="center"/>
        </w:trPr>
        <w:tc>
          <w:tcPr>
            <w:tcW w:w="816" w:type="dxa"/>
            <w:tcBorders>
              <w:top w:val="single" w:sz="6" w:space="0" w:color="000000"/>
              <w:left w:val="single" w:sz="4" w:space="0" w:color="000000"/>
              <w:bottom w:val="single" w:sz="6" w:space="0" w:color="000000"/>
              <w:right w:val="single" w:sz="4" w:space="0" w:color="000000"/>
            </w:tcBorders>
          </w:tcPr>
          <w:p w:rsidR="00E32574" w:rsidRPr="005243F8" w:rsidRDefault="00E32574" w:rsidP="0030116D">
            <w:pPr>
              <w:pStyle w:val="Default"/>
              <w:spacing w:before="120" w:after="120"/>
              <w:rPr>
                <w:rFonts w:ascii="Times New Roman" w:hAnsi="Times New Roman" w:cs="Times New Roman"/>
              </w:rPr>
            </w:pPr>
            <w:r w:rsidRPr="005243F8">
              <w:rPr>
                <w:rFonts w:ascii="Times New Roman" w:hAnsi="Times New Roman" w:cs="Times New Roman"/>
              </w:rPr>
              <w:t>2011</w:t>
            </w:r>
          </w:p>
        </w:tc>
        <w:tc>
          <w:tcPr>
            <w:tcW w:w="1361" w:type="dxa"/>
            <w:tcBorders>
              <w:top w:val="single" w:sz="6" w:space="0" w:color="000000"/>
              <w:left w:val="single" w:sz="4" w:space="0" w:color="000000"/>
              <w:bottom w:val="single" w:sz="6" w:space="0" w:color="000000"/>
              <w:right w:val="single" w:sz="4" w:space="0" w:color="000000"/>
            </w:tcBorders>
            <w:vAlign w:val="bottom"/>
          </w:tcPr>
          <w:p w:rsidR="00E32574" w:rsidRPr="005243F8" w:rsidRDefault="00E32574" w:rsidP="0030116D">
            <w:pPr>
              <w:pStyle w:val="Default"/>
              <w:spacing w:before="120" w:after="120"/>
              <w:jc w:val="center"/>
              <w:rPr>
                <w:rFonts w:ascii="Times New Roman" w:hAnsi="Times New Roman" w:cs="Times New Roman"/>
              </w:rPr>
            </w:pPr>
            <w:r w:rsidRPr="005243F8">
              <w:rPr>
                <w:rFonts w:ascii="Times New Roman" w:hAnsi="Times New Roman" w:cs="Times New Roman"/>
              </w:rPr>
              <w:t>1.208,29</w:t>
            </w:r>
          </w:p>
        </w:tc>
        <w:tc>
          <w:tcPr>
            <w:tcW w:w="1079" w:type="dxa"/>
            <w:tcBorders>
              <w:top w:val="single" w:sz="6" w:space="0" w:color="000000"/>
              <w:left w:val="single" w:sz="4" w:space="0" w:color="000000"/>
              <w:bottom w:val="single" w:sz="6" w:space="0" w:color="000000"/>
              <w:right w:val="single" w:sz="4" w:space="0" w:color="000000"/>
            </w:tcBorders>
            <w:vAlign w:val="bottom"/>
          </w:tcPr>
          <w:p w:rsidR="00E32574" w:rsidRPr="005243F8" w:rsidRDefault="00E32574" w:rsidP="0030116D">
            <w:pPr>
              <w:pStyle w:val="Default"/>
              <w:spacing w:before="120" w:after="120"/>
              <w:jc w:val="center"/>
              <w:rPr>
                <w:rFonts w:ascii="Times New Roman" w:hAnsi="Times New Roman" w:cs="Times New Roman"/>
              </w:rPr>
            </w:pPr>
            <w:r w:rsidRPr="005243F8">
              <w:rPr>
                <w:rFonts w:ascii="Times New Roman" w:hAnsi="Times New Roman" w:cs="Times New Roman"/>
              </w:rPr>
              <w:t>800,16</w:t>
            </w:r>
          </w:p>
        </w:tc>
        <w:tc>
          <w:tcPr>
            <w:tcW w:w="1559" w:type="dxa"/>
            <w:tcBorders>
              <w:top w:val="single" w:sz="6" w:space="0" w:color="000000"/>
              <w:left w:val="single" w:sz="4" w:space="0" w:color="000000"/>
              <w:bottom w:val="single" w:sz="6" w:space="0" w:color="000000"/>
              <w:right w:val="single" w:sz="4" w:space="0" w:color="000000"/>
            </w:tcBorders>
            <w:vAlign w:val="bottom"/>
          </w:tcPr>
          <w:p w:rsidR="00E32574" w:rsidRPr="005243F8" w:rsidRDefault="00E32574" w:rsidP="0030116D">
            <w:pPr>
              <w:pStyle w:val="Default"/>
              <w:spacing w:before="120" w:after="120"/>
              <w:jc w:val="center"/>
              <w:rPr>
                <w:rFonts w:ascii="Times New Roman" w:hAnsi="Times New Roman" w:cs="Times New Roman"/>
              </w:rPr>
            </w:pPr>
            <w:r w:rsidRPr="005243F8">
              <w:rPr>
                <w:rFonts w:ascii="Times New Roman" w:hAnsi="Times New Roman" w:cs="Times New Roman"/>
              </w:rPr>
              <w:t>966,63</w:t>
            </w:r>
          </w:p>
        </w:tc>
      </w:tr>
      <w:tr w:rsidR="00E32574" w:rsidRPr="005243F8" w:rsidTr="0030116D">
        <w:trPr>
          <w:trHeight w:val="340"/>
          <w:jc w:val="center"/>
        </w:trPr>
        <w:tc>
          <w:tcPr>
            <w:tcW w:w="816" w:type="dxa"/>
            <w:tcBorders>
              <w:top w:val="single" w:sz="6" w:space="0" w:color="000000"/>
              <w:left w:val="single" w:sz="4" w:space="0" w:color="000000"/>
              <w:bottom w:val="single" w:sz="6" w:space="0" w:color="000000"/>
              <w:right w:val="single" w:sz="4" w:space="0" w:color="000000"/>
            </w:tcBorders>
          </w:tcPr>
          <w:p w:rsidR="00E32574" w:rsidRPr="005243F8" w:rsidRDefault="00E32574" w:rsidP="0030116D">
            <w:pPr>
              <w:pStyle w:val="Default"/>
              <w:spacing w:before="120" w:after="120"/>
              <w:rPr>
                <w:rFonts w:ascii="Times New Roman" w:hAnsi="Times New Roman" w:cs="Times New Roman"/>
              </w:rPr>
            </w:pPr>
            <w:r w:rsidRPr="005243F8">
              <w:rPr>
                <w:rFonts w:ascii="Times New Roman" w:hAnsi="Times New Roman" w:cs="Times New Roman"/>
              </w:rPr>
              <w:t>2012</w:t>
            </w:r>
          </w:p>
        </w:tc>
        <w:tc>
          <w:tcPr>
            <w:tcW w:w="1361" w:type="dxa"/>
            <w:tcBorders>
              <w:top w:val="single" w:sz="6" w:space="0" w:color="000000"/>
              <w:left w:val="single" w:sz="4" w:space="0" w:color="000000"/>
              <w:bottom w:val="single" w:sz="6" w:space="0" w:color="000000"/>
              <w:right w:val="single" w:sz="4" w:space="0" w:color="000000"/>
            </w:tcBorders>
            <w:vAlign w:val="bottom"/>
          </w:tcPr>
          <w:p w:rsidR="00E32574" w:rsidRPr="005243F8" w:rsidRDefault="00E32574" w:rsidP="0030116D">
            <w:pPr>
              <w:pStyle w:val="Default"/>
              <w:spacing w:before="120" w:after="120"/>
              <w:jc w:val="center"/>
              <w:rPr>
                <w:rFonts w:ascii="Times New Roman" w:hAnsi="Times New Roman" w:cs="Times New Roman"/>
              </w:rPr>
            </w:pPr>
            <w:r w:rsidRPr="005243F8">
              <w:rPr>
                <w:rFonts w:ascii="Times New Roman" w:hAnsi="Times New Roman" w:cs="Times New Roman"/>
              </w:rPr>
              <w:t>1.351,31</w:t>
            </w:r>
          </w:p>
        </w:tc>
        <w:tc>
          <w:tcPr>
            <w:tcW w:w="1079" w:type="dxa"/>
            <w:tcBorders>
              <w:top w:val="single" w:sz="6" w:space="0" w:color="000000"/>
              <w:left w:val="single" w:sz="4" w:space="0" w:color="000000"/>
              <w:bottom w:val="single" w:sz="6" w:space="0" w:color="000000"/>
              <w:right w:val="single" w:sz="4" w:space="0" w:color="000000"/>
            </w:tcBorders>
            <w:vAlign w:val="bottom"/>
          </w:tcPr>
          <w:p w:rsidR="00E32574" w:rsidRPr="005243F8" w:rsidRDefault="00E32574" w:rsidP="0030116D">
            <w:pPr>
              <w:pStyle w:val="Default"/>
              <w:spacing w:before="120" w:after="120"/>
              <w:jc w:val="center"/>
              <w:rPr>
                <w:rFonts w:ascii="Times New Roman" w:hAnsi="Times New Roman" w:cs="Times New Roman"/>
              </w:rPr>
            </w:pPr>
            <w:r w:rsidRPr="005243F8">
              <w:rPr>
                <w:rFonts w:ascii="Times New Roman" w:hAnsi="Times New Roman" w:cs="Times New Roman"/>
              </w:rPr>
              <w:t>878,35</w:t>
            </w:r>
          </w:p>
        </w:tc>
        <w:tc>
          <w:tcPr>
            <w:tcW w:w="1559" w:type="dxa"/>
            <w:tcBorders>
              <w:top w:val="single" w:sz="6" w:space="0" w:color="000000"/>
              <w:left w:val="single" w:sz="4" w:space="0" w:color="000000"/>
              <w:bottom w:val="single" w:sz="6" w:space="0" w:color="000000"/>
              <w:right w:val="single" w:sz="4" w:space="0" w:color="000000"/>
            </w:tcBorders>
            <w:vAlign w:val="bottom"/>
          </w:tcPr>
          <w:p w:rsidR="00E32574" w:rsidRPr="005243F8" w:rsidRDefault="00E32574" w:rsidP="0030116D">
            <w:pPr>
              <w:pStyle w:val="Default"/>
              <w:spacing w:before="120" w:after="120"/>
              <w:jc w:val="center"/>
              <w:rPr>
                <w:rFonts w:ascii="Times New Roman" w:hAnsi="Times New Roman" w:cs="Times New Roman"/>
              </w:rPr>
            </w:pPr>
            <w:r w:rsidRPr="005243F8">
              <w:rPr>
                <w:rFonts w:ascii="Times New Roman" w:hAnsi="Times New Roman" w:cs="Times New Roman"/>
              </w:rPr>
              <w:t>874,72</w:t>
            </w:r>
          </w:p>
        </w:tc>
      </w:tr>
    </w:tbl>
    <w:p w:rsidR="00E32574" w:rsidRDefault="00E32574" w:rsidP="00033760">
      <w:pPr>
        <w:pStyle w:val="Fonte"/>
        <w:ind w:left="1416" w:firstLine="708"/>
        <w:rPr>
          <w:lang w:eastAsia="pt-BR"/>
        </w:rPr>
      </w:pPr>
      <w:r w:rsidRPr="00082391">
        <w:rPr>
          <w:lang w:eastAsia="pt-BR"/>
        </w:rPr>
        <w:t>Fonte: SAAE, 2013.</w:t>
      </w:r>
    </w:p>
    <w:p w:rsidR="0030116D" w:rsidRDefault="0030116D">
      <w:pPr>
        <w:spacing w:after="200" w:line="276" w:lineRule="auto"/>
        <w:rPr>
          <w:rFonts w:eastAsiaTheme="minorEastAsia" w:cs="Times New Roman"/>
          <w:b/>
          <w:i/>
          <w:iCs/>
          <w:szCs w:val="24"/>
          <w:lang w:eastAsia="pt-BR"/>
        </w:rPr>
      </w:pPr>
      <w:r>
        <w:br w:type="page"/>
      </w:r>
    </w:p>
    <w:p w:rsidR="00E32574" w:rsidRPr="000C5DD6" w:rsidRDefault="0030116D" w:rsidP="00971B37">
      <w:pPr>
        <w:pStyle w:val="Titulo"/>
      </w:pPr>
      <w:bookmarkStart w:id="519" w:name="_Toc372559152"/>
      <w:bookmarkStart w:id="520" w:name="_Toc372789583"/>
      <w:r w:rsidRPr="000C5DD6">
        <w:lastRenderedPageBreak/>
        <w:t>12.1</w:t>
      </w:r>
      <w:r w:rsidR="00ED7D13">
        <w:t>2</w:t>
      </w:r>
      <w:r w:rsidRPr="000C5DD6">
        <w:t xml:space="preserve">.2 </w:t>
      </w:r>
      <w:r w:rsidR="00E32574" w:rsidRPr="000C5DD6">
        <w:t>Tarifas</w:t>
      </w:r>
      <w:bookmarkEnd w:id="519"/>
      <w:bookmarkEnd w:id="520"/>
    </w:p>
    <w:p w:rsidR="00E32574" w:rsidRPr="005B56F4" w:rsidRDefault="00E32574" w:rsidP="0030116D">
      <w:pPr>
        <w:pStyle w:val="CM73"/>
        <w:spacing w:line="360" w:lineRule="auto"/>
        <w:ind w:firstLine="709"/>
        <w:jc w:val="both"/>
        <w:rPr>
          <w:rFonts w:ascii="Times New Roman" w:hAnsi="Times New Roman" w:cs="Times New Roman"/>
        </w:rPr>
      </w:pPr>
      <w:r w:rsidRPr="005B56F4">
        <w:rPr>
          <w:rFonts w:ascii="Times New Roman" w:hAnsi="Times New Roman" w:cs="Times New Roman"/>
        </w:rPr>
        <w:t>Segundo o SAAE</w:t>
      </w:r>
      <w:r>
        <w:rPr>
          <w:rFonts w:ascii="Times New Roman" w:hAnsi="Times New Roman" w:cs="Times New Roman"/>
        </w:rPr>
        <w:t>, em 2012</w:t>
      </w:r>
      <w:r w:rsidRPr="005B56F4">
        <w:rPr>
          <w:rFonts w:ascii="Times New Roman" w:hAnsi="Times New Roman" w:cs="Times New Roman"/>
        </w:rPr>
        <w:t xml:space="preserve"> a tarifa de </w:t>
      </w:r>
      <w:r>
        <w:rPr>
          <w:rFonts w:ascii="Times New Roman" w:hAnsi="Times New Roman" w:cs="Times New Roman"/>
        </w:rPr>
        <w:t>média</w:t>
      </w:r>
      <w:r w:rsidRPr="005B56F4">
        <w:rPr>
          <w:rFonts w:ascii="Times New Roman" w:hAnsi="Times New Roman" w:cs="Times New Roman"/>
        </w:rPr>
        <w:t xml:space="preserve"> cobrada </w:t>
      </w:r>
      <w:r w:rsidR="0030116D">
        <w:rPr>
          <w:rFonts w:ascii="Times New Roman" w:hAnsi="Times New Roman" w:cs="Times New Roman"/>
        </w:rPr>
        <w:t>foi de</w:t>
      </w:r>
      <w:r w:rsidRPr="005B56F4">
        <w:rPr>
          <w:rFonts w:ascii="Times New Roman" w:hAnsi="Times New Roman" w:cs="Times New Roman"/>
        </w:rPr>
        <w:t xml:space="preserve"> </w:t>
      </w:r>
      <w:r>
        <w:rPr>
          <w:rFonts w:ascii="Times New Roman" w:hAnsi="Times New Roman" w:cs="Times New Roman"/>
        </w:rPr>
        <w:t xml:space="preserve">2,11 </w:t>
      </w:r>
      <w:r w:rsidRPr="005B56F4">
        <w:rPr>
          <w:rFonts w:ascii="Times New Roman" w:hAnsi="Times New Roman" w:cs="Times New Roman"/>
        </w:rPr>
        <w:t>R$</w:t>
      </w:r>
      <w:r>
        <w:rPr>
          <w:rFonts w:ascii="Times New Roman" w:hAnsi="Times New Roman" w:cs="Times New Roman"/>
        </w:rPr>
        <w:t xml:space="preserve">/m³, valor </w:t>
      </w:r>
      <w:r w:rsidRPr="005B56F4">
        <w:rPr>
          <w:rFonts w:ascii="Times New Roman" w:hAnsi="Times New Roman" w:cs="Times New Roman"/>
        </w:rPr>
        <w:t>suficiente para cobrir os custos deste tipo de serviço.</w:t>
      </w:r>
      <w:r>
        <w:rPr>
          <w:rFonts w:ascii="Times New Roman" w:hAnsi="Times New Roman" w:cs="Times New Roman"/>
        </w:rPr>
        <w:t xml:space="preserve"> Segundo a </w:t>
      </w:r>
      <w:r w:rsidRPr="00D218C7">
        <w:rPr>
          <w:rFonts w:ascii="Times New Roman" w:hAnsi="Times New Roman" w:cs="Times New Roman"/>
        </w:rPr>
        <w:t>Lei n° 1676/2001</w:t>
      </w:r>
      <w:r>
        <w:rPr>
          <w:rFonts w:ascii="Times New Roman" w:hAnsi="Times New Roman" w:cs="Times New Roman"/>
        </w:rPr>
        <w:t>, no Artigo 15, a tarifa de esgoto corresponderá a 50% (cinquenta por cento) da tarifa de água, podendo atingir até 80% (oitenta por cento) quando devidamente tratado</w:t>
      </w:r>
      <w:r w:rsidR="00ED7D13">
        <w:rPr>
          <w:rFonts w:ascii="Times New Roman" w:hAnsi="Times New Roman" w:cs="Times New Roman"/>
        </w:rPr>
        <w:t xml:space="preserve">, </w:t>
      </w:r>
      <w:r w:rsidR="0076633E" w:rsidRPr="0076633E">
        <w:rPr>
          <w:rFonts w:ascii="Times New Roman" w:hAnsi="Times New Roman" w:cs="Times New Roman"/>
        </w:rPr>
        <w:t>sendo que foram utilizados dados secundários, pois o SAAE- Aimorés não forneceu a tabela de formação desta tarifa.</w:t>
      </w:r>
      <w:r>
        <w:rPr>
          <w:rFonts w:ascii="Times New Roman" w:hAnsi="Times New Roman" w:cs="Times New Roman"/>
        </w:rPr>
        <w:t xml:space="preserve"> No parágrafo 1°, a tarifa de esgoto poderá ser diferenciada </w:t>
      </w:r>
      <w:r w:rsidR="0030116D">
        <w:rPr>
          <w:rFonts w:ascii="Times New Roman" w:hAnsi="Times New Roman" w:cs="Times New Roman"/>
        </w:rPr>
        <w:t xml:space="preserve">da </w:t>
      </w:r>
      <w:r>
        <w:rPr>
          <w:rFonts w:ascii="Times New Roman" w:hAnsi="Times New Roman" w:cs="Times New Roman"/>
        </w:rPr>
        <w:t>de água em função da origem e natur</w:t>
      </w:r>
      <w:r w:rsidR="0030116D">
        <w:rPr>
          <w:rFonts w:ascii="Times New Roman" w:hAnsi="Times New Roman" w:cs="Times New Roman"/>
        </w:rPr>
        <w:t>eza</w:t>
      </w:r>
      <w:r>
        <w:rPr>
          <w:rFonts w:ascii="Times New Roman" w:hAnsi="Times New Roman" w:cs="Times New Roman"/>
        </w:rPr>
        <w:t xml:space="preserve"> dos investimentos para implantação dos serviços; no parágrafo 2°, a tarifa de esgoto, no caso de usuários industriais, deverá levar em conta, além do volume, a qualidade dos despejos industriais.</w:t>
      </w:r>
    </w:p>
    <w:p w:rsidR="00E32574" w:rsidRPr="005B56F4" w:rsidRDefault="00E32574" w:rsidP="0030116D">
      <w:pPr>
        <w:pStyle w:val="CM73"/>
        <w:spacing w:line="360" w:lineRule="auto"/>
        <w:ind w:firstLine="709"/>
        <w:jc w:val="both"/>
        <w:rPr>
          <w:rFonts w:ascii="Times New Roman" w:hAnsi="Times New Roman" w:cs="Times New Roman"/>
        </w:rPr>
      </w:pPr>
      <w:r w:rsidRPr="005B56F4">
        <w:rPr>
          <w:rFonts w:ascii="Times New Roman" w:hAnsi="Times New Roman" w:cs="Times New Roman"/>
        </w:rPr>
        <w:t xml:space="preserve">O SAAE deve criar mecanismos para </w:t>
      </w:r>
      <w:r w:rsidR="0030116D">
        <w:rPr>
          <w:rFonts w:ascii="Times New Roman" w:hAnsi="Times New Roman" w:cs="Times New Roman"/>
        </w:rPr>
        <w:t xml:space="preserve">ter </w:t>
      </w:r>
      <w:r w:rsidRPr="005B56F4">
        <w:rPr>
          <w:rFonts w:ascii="Times New Roman" w:hAnsi="Times New Roman" w:cs="Times New Roman"/>
        </w:rPr>
        <w:t xml:space="preserve">uma cobrança mais eficiente do serviço de esgotamento sanitário em Aimorés, e o principal mecanismo tem sua fase inicial na cobrança pelo serviço de água através da hidrometração, no qual é possível medir a quantidade de água consumida em uma determinada economia e estabelecer parâmetros para a quantidade desse volume que será destinado às tubulações do sistema de esgoto. </w:t>
      </w:r>
    </w:p>
    <w:p w:rsidR="00E32574" w:rsidRDefault="0030116D" w:rsidP="0030116D">
      <w:pPr>
        <w:pStyle w:val="CM73"/>
        <w:spacing w:line="360" w:lineRule="auto"/>
        <w:ind w:firstLine="709"/>
        <w:jc w:val="both"/>
        <w:rPr>
          <w:rFonts w:ascii="Times New Roman" w:hAnsi="Times New Roman" w:cs="Times New Roman"/>
        </w:rPr>
      </w:pPr>
      <w:r>
        <w:rPr>
          <w:rFonts w:ascii="Times New Roman" w:hAnsi="Times New Roman" w:cs="Times New Roman"/>
        </w:rPr>
        <w:t>C</w:t>
      </w:r>
      <w:r w:rsidR="00E32574" w:rsidRPr="005B56F4">
        <w:rPr>
          <w:rFonts w:ascii="Times New Roman" w:hAnsi="Times New Roman" w:cs="Times New Roman"/>
        </w:rPr>
        <w:t>onsidera</w:t>
      </w:r>
      <w:r>
        <w:rPr>
          <w:rFonts w:ascii="Times New Roman" w:hAnsi="Times New Roman" w:cs="Times New Roman"/>
        </w:rPr>
        <w:t>ndo</w:t>
      </w:r>
      <w:r w:rsidR="00E32574" w:rsidRPr="005B56F4">
        <w:rPr>
          <w:rFonts w:ascii="Times New Roman" w:hAnsi="Times New Roman" w:cs="Times New Roman"/>
        </w:rPr>
        <w:t xml:space="preserve"> o consumo atual de água em Aimorés que é de</w:t>
      </w:r>
      <w:r w:rsidR="00E32574">
        <w:rPr>
          <w:rFonts w:ascii="Times New Roman" w:hAnsi="Times New Roman" w:cs="Times New Roman"/>
        </w:rPr>
        <w:t xml:space="preserve"> </w:t>
      </w:r>
      <w:r w:rsidR="00E32574" w:rsidRPr="00D03DF1">
        <w:rPr>
          <w:rFonts w:ascii="Times New Roman" w:hAnsi="Times New Roman" w:cs="Times New Roman"/>
        </w:rPr>
        <w:t>1</w:t>
      </w:r>
      <w:r w:rsidR="00E32574">
        <w:rPr>
          <w:rFonts w:ascii="Times New Roman" w:hAnsi="Times New Roman" w:cs="Times New Roman"/>
        </w:rPr>
        <w:t>.</w:t>
      </w:r>
      <w:r w:rsidR="00E32574" w:rsidRPr="00D03DF1">
        <w:rPr>
          <w:rFonts w:ascii="Times New Roman" w:hAnsi="Times New Roman" w:cs="Times New Roman"/>
        </w:rPr>
        <w:t>689</w:t>
      </w:r>
      <w:r w:rsidR="00E32574">
        <w:rPr>
          <w:rFonts w:ascii="Times New Roman" w:hAnsi="Times New Roman" w:cs="Times New Roman"/>
        </w:rPr>
        <w:t>.</w:t>
      </w:r>
      <w:r w:rsidR="00E32574" w:rsidRPr="00D03DF1">
        <w:rPr>
          <w:rFonts w:ascii="Times New Roman" w:hAnsi="Times New Roman" w:cs="Times New Roman"/>
        </w:rPr>
        <w:t>140</w:t>
      </w:r>
      <w:r w:rsidR="00E32574">
        <w:rPr>
          <w:rFonts w:ascii="Times New Roman" w:hAnsi="Times New Roman" w:cs="Times New Roman"/>
        </w:rPr>
        <w:t xml:space="preserve"> m³/ano (ano de referência 2012)</w:t>
      </w:r>
      <w:r w:rsidR="00E32574" w:rsidRPr="005B56F4">
        <w:rPr>
          <w:rFonts w:ascii="Times New Roman" w:hAnsi="Times New Roman" w:cs="Times New Roman"/>
        </w:rPr>
        <w:t xml:space="preserve"> e </w:t>
      </w:r>
      <w:r w:rsidR="00E32574">
        <w:rPr>
          <w:rFonts w:ascii="Times New Roman" w:hAnsi="Times New Roman" w:cs="Times New Roman"/>
        </w:rPr>
        <w:t xml:space="preserve">a geração de esgoto de aproximadamente </w:t>
      </w:r>
      <w:r w:rsidR="00E32574" w:rsidRPr="00D03DF1">
        <w:rPr>
          <w:rFonts w:ascii="Times New Roman" w:hAnsi="Times New Roman" w:cs="Times New Roman"/>
        </w:rPr>
        <w:t>1</w:t>
      </w:r>
      <w:r w:rsidR="00E32574">
        <w:rPr>
          <w:rFonts w:ascii="Times New Roman" w:hAnsi="Times New Roman" w:cs="Times New Roman"/>
        </w:rPr>
        <w:t>.</w:t>
      </w:r>
      <w:r w:rsidR="00E32574" w:rsidRPr="00D03DF1">
        <w:rPr>
          <w:rFonts w:ascii="Times New Roman" w:hAnsi="Times New Roman" w:cs="Times New Roman"/>
        </w:rPr>
        <w:t>351</w:t>
      </w:r>
      <w:r w:rsidR="00E32574">
        <w:rPr>
          <w:rFonts w:ascii="Times New Roman" w:hAnsi="Times New Roman" w:cs="Times New Roman"/>
        </w:rPr>
        <w:t>.</w:t>
      </w:r>
      <w:r w:rsidR="00E32574" w:rsidRPr="00D03DF1">
        <w:rPr>
          <w:rFonts w:ascii="Times New Roman" w:hAnsi="Times New Roman" w:cs="Times New Roman"/>
        </w:rPr>
        <w:t>310</w:t>
      </w:r>
      <w:r w:rsidR="00E32574">
        <w:rPr>
          <w:rFonts w:ascii="Times New Roman" w:hAnsi="Times New Roman" w:cs="Times New Roman"/>
        </w:rPr>
        <w:t xml:space="preserve"> m³/ano (ano de referência 2012), </w:t>
      </w:r>
      <w:r>
        <w:rPr>
          <w:rFonts w:ascii="Times New Roman" w:hAnsi="Times New Roman" w:cs="Times New Roman"/>
        </w:rPr>
        <w:t>pode-se realizar uma projeção, conforme mostrado no Quadro 51.</w:t>
      </w:r>
    </w:p>
    <w:p w:rsidR="0030116D" w:rsidRDefault="0030116D">
      <w:pPr>
        <w:spacing w:after="200" w:line="276" w:lineRule="auto"/>
        <w:rPr>
          <w:rFonts w:eastAsiaTheme="minorEastAsia" w:cs="Times New Roman"/>
          <w:b/>
          <w:bCs/>
          <w:szCs w:val="24"/>
          <w:lang w:eastAsia="pt-BR"/>
        </w:rPr>
      </w:pPr>
      <w:bookmarkStart w:id="521" w:name="_Toc372117303"/>
      <w:r>
        <w:rPr>
          <w:b/>
        </w:rPr>
        <w:br w:type="page"/>
      </w:r>
    </w:p>
    <w:p w:rsidR="00E32574" w:rsidRDefault="0075744C" w:rsidP="0075744C">
      <w:pPr>
        <w:pStyle w:val="Legenda"/>
        <w:rPr>
          <w:rFonts w:ascii="Arial" w:hAnsi="Arial" w:cs="Arial"/>
          <w:color w:val="000000"/>
          <w:sz w:val="20"/>
        </w:rPr>
      </w:pPr>
      <w:bookmarkStart w:id="522" w:name="_Toc372740557"/>
      <w:bookmarkEnd w:id="521"/>
      <w:r>
        <w:lastRenderedPageBreak/>
        <w:t xml:space="preserve">Quadro </w:t>
      </w:r>
      <w:fldSimple w:instr=" SEQ Quadro \* ARABIC ">
        <w:r w:rsidR="004F77E2">
          <w:rPr>
            <w:noProof/>
          </w:rPr>
          <w:t>51</w:t>
        </w:r>
      </w:fldSimple>
      <w:r>
        <w:t xml:space="preserve"> - </w:t>
      </w:r>
      <w:r w:rsidRPr="0014184A">
        <w:rPr>
          <w:noProof/>
        </w:rPr>
        <w:t>Projeção da população, do consumo de água e da geração de esgoto sanitário.</w:t>
      </w:r>
      <w:bookmarkEnd w:id="522"/>
    </w:p>
    <w:tbl>
      <w:tblPr>
        <w:tblW w:w="9019" w:type="dxa"/>
        <w:tblLayout w:type="fixed"/>
        <w:tblLook w:val="0000" w:firstRow="0" w:lastRow="0" w:firstColumn="0" w:lastColumn="0" w:noHBand="0" w:noVBand="0"/>
      </w:tblPr>
      <w:tblGrid>
        <w:gridCol w:w="1580"/>
        <w:gridCol w:w="2247"/>
        <w:gridCol w:w="2242"/>
        <w:gridCol w:w="2950"/>
      </w:tblGrid>
      <w:tr w:rsidR="00E32574" w:rsidRPr="0030116D" w:rsidTr="00E32574">
        <w:trPr>
          <w:trHeight w:val="750"/>
        </w:trPr>
        <w:tc>
          <w:tcPr>
            <w:tcW w:w="1580" w:type="dxa"/>
            <w:tcBorders>
              <w:top w:val="single" w:sz="10" w:space="0" w:color="000000"/>
              <w:left w:val="single" w:sz="2" w:space="0" w:color="000000"/>
              <w:bottom w:val="single" w:sz="10" w:space="0" w:color="000000"/>
              <w:right w:val="single" w:sz="10" w:space="0" w:color="000000"/>
            </w:tcBorders>
            <w:shd w:val="clear" w:color="auto" w:fill="D9D9D9"/>
            <w:vAlign w:val="center"/>
          </w:tcPr>
          <w:p w:rsidR="00E32574" w:rsidRPr="0030116D" w:rsidRDefault="00E32574" w:rsidP="00F071DD">
            <w:pPr>
              <w:pStyle w:val="Default"/>
              <w:spacing w:before="80" w:after="80"/>
              <w:jc w:val="center"/>
              <w:rPr>
                <w:rFonts w:ascii="Times New Roman" w:hAnsi="Times New Roman" w:cs="Times New Roman"/>
                <w:b/>
              </w:rPr>
            </w:pPr>
            <w:r w:rsidRPr="0030116D">
              <w:rPr>
                <w:rFonts w:ascii="Times New Roman" w:hAnsi="Times New Roman" w:cs="Times New Roman"/>
                <w:b/>
                <w:bCs/>
              </w:rPr>
              <w:t xml:space="preserve">Período </w:t>
            </w:r>
          </w:p>
        </w:tc>
        <w:tc>
          <w:tcPr>
            <w:tcW w:w="2247" w:type="dxa"/>
            <w:tcBorders>
              <w:top w:val="single" w:sz="10" w:space="0" w:color="000000"/>
              <w:left w:val="single" w:sz="10" w:space="0" w:color="000000"/>
              <w:bottom w:val="single" w:sz="10" w:space="0" w:color="000000"/>
              <w:right w:val="single" w:sz="10" w:space="0" w:color="000000"/>
            </w:tcBorders>
            <w:shd w:val="clear" w:color="auto" w:fill="D9D9D9"/>
            <w:vAlign w:val="center"/>
          </w:tcPr>
          <w:p w:rsidR="00E32574" w:rsidRPr="0030116D" w:rsidRDefault="00E32574" w:rsidP="00F071DD">
            <w:pPr>
              <w:pStyle w:val="Default"/>
              <w:spacing w:before="80" w:after="80"/>
              <w:jc w:val="center"/>
              <w:rPr>
                <w:rFonts w:ascii="Times New Roman" w:hAnsi="Times New Roman" w:cs="Times New Roman"/>
                <w:b/>
                <w:bCs/>
              </w:rPr>
            </w:pPr>
            <w:r w:rsidRPr="0030116D">
              <w:rPr>
                <w:rFonts w:ascii="Times New Roman" w:hAnsi="Times New Roman" w:cs="Times New Roman"/>
                <w:b/>
                <w:bCs/>
              </w:rPr>
              <w:t>População Projetada</w:t>
            </w:r>
          </w:p>
        </w:tc>
        <w:tc>
          <w:tcPr>
            <w:tcW w:w="2242" w:type="dxa"/>
            <w:tcBorders>
              <w:top w:val="single" w:sz="10" w:space="0" w:color="000000"/>
              <w:left w:val="single" w:sz="10" w:space="0" w:color="000000"/>
              <w:bottom w:val="single" w:sz="10" w:space="0" w:color="000000"/>
              <w:right w:val="single" w:sz="10" w:space="0" w:color="000000"/>
            </w:tcBorders>
            <w:shd w:val="clear" w:color="auto" w:fill="D9D9D9"/>
            <w:vAlign w:val="center"/>
          </w:tcPr>
          <w:p w:rsidR="00E32574" w:rsidRPr="0030116D" w:rsidRDefault="00E32574" w:rsidP="00F071DD">
            <w:pPr>
              <w:pStyle w:val="Default"/>
              <w:spacing w:before="80" w:after="80"/>
              <w:jc w:val="center"/>
              <w:rPr>
                <w:rFonts w:ascii="Times New Roman" w:hAnsi="Times New Roman" w:cs="Times New Roman"/>
                <w:b/>
                <w:bCs/>
              </w:rPr>
            </w:pPr>
            <w:r w:rsidRPr="0030116D">
              <w:rPr>
                <w:rFonts w:ascii="Times New Roman" w:hAnsi="Times New Roman" w:cs="Times New Roman"/>
                <w:b/>
                <w:bCs/>
              </w:rPr>
              <w:t>Projeção do Consumo de água (m³/ano)</w:t>
            </w:r>
          </w:p>
        </w:tc>
        <w:tc>
          <w:tcPr>
            <w:tcW w:w="2950" w:type="dxa"/>
            <w:tcBorders>
              <w:top w:val="single" w:sz="10" w:space="0" w:color="000000"/>
              <w:left w:val="single" w:sz="10" w:space="0" w:color="000000"/>
              <w:bottom w:val="single" w:sz="10" w:space="0" w:color="000000"/>
              <w:right w:val="single" w:sz="2" w:space="0" w:color="000000"/>
            </w:tcBorders>
            <w:shd w:val="clear" w:color="auto" w:fill="D9D9D9"/>
            <w:vAlign w:val="center"/>
          </w:tcPr>
          <w:p w:rsidR="00E32574" w:rsidRPr="0030116D" w:rsidRDefault="00E32574" w:rsidP="00F071DD">
            <w:pPr>
              <w:pStyle w:val="Default"/>
              <w:spacing w:before="80" w:after="80"/>
              <w:jc w:val="center"/>
              <w:rPr>
                <w:rFonts w:ascii="Times New Roman" w:hAnsi="Times New Roman" w:cs="Times New Roman"/>
                <w:b/>
                <w:bCs/>
              </w:rPr>
            </w:pPr>
            <w:r w:rsidRPr="0030116D">
              <w:rPr>
                <w:rFonts w:ascii="Times New Roman" w:hAnsi="Times New Roman" w:cs="Times New Roman"/>
                <w:b/>
                <w:bCs/>
              </w:rPr>
              <w:t>Projeção da Geração do Esgoto (m³/ano)</w:t>
            </w:r>
          </w:p>
        </w:tc>
      </w:tr>
      <w:tr w:rsidR="00E32574" w:rsidRPr="005243F8" w:rsidTr="00E32574">
        <w:trPr>
          <w:trHeight w:val="277"/>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2013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25.486</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1.726.339,05</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1.381.069,20</w:t>
            </w:r>
          </w:p>
        </w:tc>
      </w:tr>
      <w:tr w:rsidR="00E32574" w:rsidRPr="005243F8" w:rsidTr="00E32574">
        <w:trPr>
          <w:trHeight w:val="277"/>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2014</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25.631</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1.736.149,37</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1.388.917,44</w:t>
            </w:r>
          </w:p>
        </w:tc>
      </w:tr>
      <w:tr w:rsidR="00E32574" w:rsidRPr="005243F8" w:rsidTr="00E32574">
        <w:trPr>
          <w:trHeight w:val="272"/>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2015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25.791</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1.746.954,60</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1.397.561,62</w:t>
            </w:r>
          </w:p>
        </w:tc>
      </w:tr>
      <w:tr w:rsidR="00E32574" w:rsidRPr="005243F8" w:rsidTr="00E32574">
        <w:trPr>
          <w:trHeight w:val="277"/>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2016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25.965</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1.758.754,77</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1.407.001,73</w:t>
            </w:r>
          </w:p>
        </w:tc>
      </w:tr>
      <w:tr w:rsidR="00E32574" w:rsidRPr="005243F8" w:rsidTr="00E32574">
        <w:trPr>
          <w:trHeight w:val="272"/>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2017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26.154</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1.771.549,86</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1.417.237,79</w:t>
            </w:r>
          </w:p>
        </w:tc>
      </w:tr>
      <w:tr w:rsidR="00E32574" w:rsidRPr="005243F8" w:rsidTr="00E32574">
        <w:trPr>
          <w:trHeight w:val="277"/>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2018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26.357</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1.785.339,88</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1.428.269,79</w:t>
            </w:r>
          </w:p>
        </w:tc>
      </w:tr>
      <w:tr w:rsidR="00E32574" w:rsidRPr="005243F8" w:rsidTr="00E32574">
        <w:trPr>
          <w:trHeight w:val="272"/>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2019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26.575</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1.800.124,82</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1.440.097,72</w:t>
            </w:r>
          </w:p>
        </w:tc>
      </w:tr>
      <w:tr w:rsidR="00E32574" w:rsidRPr="005243F8" w:rsidTr="00E32574">
        <w:trPr>
          <w:trHeight w:val="277"/>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2020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26.808</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1.815.904,68</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1.452.721,60</w:t>
            </w:r>
          </w:p>
        </w:tc>
      </w:tr>
      <w:tr w:rsidR="00E32574" w:rsidRPr="005243F8" w:rsidTr="00E32574">
        <w:trPr>
          <w:trHeight w:val="272"/>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2021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27.056</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1.832.679,48</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1.466.141,41</w:t>
            </w:r>
          </w:p>
        </w:tc>
      </w:tr>
      <w:tr w:rsidR="00E32574" w:rsidRPr="005243F8" w:rsidTr="00E32574">
        <w:trPr>
          <w:trHeight w:val="277"/>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2022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27.318</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1.850.449,19</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1.480.357,16</w:t>
            </w:r>
          </w:p>
        </w:tc>
      </w:tr>
      <w:tr w:rsidR="00E32574" w:rsidRPr="005243F8" w:rsidTr="00E32574">
        <w:trPr>
          <w:trHeight w:val="272"/>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2023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27.595</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1.869.213,84</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1.495.368,86</w:t>
            </w:r>
          </w:p>
        </w:tc>
      </w:tr>
      <w:tr w:rsidR="00E32574" w:rsidRPr="005243F8" w:rsidTr="00E32574">
        <w:trPr>
          <w:trHeight w:val="277"/>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2024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27.887</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1.888.973,41</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1.511.176,49</w:t>
            </w:r>
          </w:p>
        </w:tc>
      </w:tr>
      <w:tr w:rsidR="00E32574" w:rsidRPr="005243F8" w:rsidTr="00E32574">
        <w:trPr>
          <w:trHeight w:val="272"/>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2025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28.194</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1.909.727,90</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1.527.780,06</w:t>
            </w:r>
          </w:p>
        </w:tc>
      </w:tr>
      <w:tr w:rsidR="00E32574" w:rsidRPr="005243F8" w:rsidTr="00E32574">
        <w:trPr>
          <w:trHeight w:val="277"/>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2026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28.515</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1.931.477,32</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1.545.179,57</w:t>
            </w:r>
          </w:p>
        </w:tc>
      </w:tr>
      <w:tr w:rsidR="00E32574" w:rsidRPr="005243F8" w:rsidTr="00E32574">
        <w:trPr>
          <w:trHeight w:val="272"/>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2027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28.850</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1.954.221,67</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1.563.375,02</w:t>
            </w:r>
          </w:p>
        </w:tc>
      </w:tr>
      <w:tr w:rsidR="00E32574" w:rsidRPr="005243F8" w:rsidTr="00E32574">
        <w:trPr>
          <w:trHeight w:val="277"/>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2028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29.201</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1.977.960,94</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1.582.366,41</w:t>
            </w:r>
          </w:p>
        </w:tc>
      </w:tr>
      <w:tr w:rsidR="00E32574" w:rsidRPr="005243F8" w:rsidTr="00E32574">
        <w:trPr>
          <w:trHeight w:val="272"/>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2029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29.566</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2.002.695,14</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1.602.153,74</w:t>
            </w:r>
          </w:p>
        </w:tc>
      </w:tr>
      <w:tr w:rsidR="00E32574" w:rsidRPr="005243F8" w:rsidTr="00E32574">
        <w:trPr>
          <w:trHeight w:val="277"/>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2030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29.946</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2.028.424,26</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1.622.737,01</w:t>
            </w:r>
          </w:p>
        </w:tc>
      </w:tr>
      <w:tr w:rsidR="00E32574" w:rsidRPr="005243F8" w:rsidTr="00E32574">
        <w:trPr>
          <w:trHeight w:val="272"/>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2031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30.340</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2.055.148,31</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1.644.116,22</w:t>
            </w:r>
          </w:p>
        </w:tc>
      </w:tr>
      <w:tr w:rsidR="00E32574" w:rsidRPr="005243F8" w:rsidTr="00E32574">
        <w:trPr>
          <w:trHeight w:val="277"/>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2032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30.750</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2.082.867,29</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1.666.291,36</w:t>
            </w:r>
          </w:p>
        </w:tc>
      </w:tr>
      <w:tr w:rsidR="00E32574" w:rsidRPr="005243F8" w:rsidTr="00E32574">
        <w:trPr>
          <w:trHeight w:val="272"/>
        </w:trPr>
        <w:tc>
          <w:tcPr>
            <w:tcW w:w="1580"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 xml:space="preserve">2033 </w:t>
            </w:r>
          </w:p>
        </w:tc>
        <w:tc>
          <w:tcPr>
            <w:tcW w:w="2247"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31.174</w:t>
            </w:r>
          </w:p>
        </w:tc>
        <w:tc>
          <w:tcPr>
            <w:tcW w:w="2242" w:type="dxa"/>
            <w:tcBorders>
              <w:top w:val="single" w:sz="10" w:space="0" w:color="000000"/>
              <w:left w:val="single" w:sz="10" w:space="0" w:color="000000"/>
              <w:bottom w:val="single" w:sz="10" w:space="0" w:color="000000"/>
              <w:right w:val="single" w:sz="10"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2.111.581,19</w:t>
            </w:r>
          </w:p>
        </w:tc>
        <w:tc>
          <w:tcPr>
            <w:tcW w:w="2950" w:type="dxa"/>
            <w:tcBorders>
              <w:top w:val="single" w:sz="10" w:space="0" w:color="000000"/>
              <w:left w:val="single" w:sz="10" w:space="0" w:color="000000"/>
              <w:bottom w:val="single" w:sz="10" w:space="0" w:color="000000"/>
              <w:right w:val="single" w:sz="2" w:space="0" w:color="000000"/>
            </w:tcBorders>
            <w:vAlign w:val="center"/>
          </w:tcPr>
          <w:p w:rsidR="00E32574" w:rsidRPr="005243F8" w:rsidRDefault="00E32574" w:rsidP="00F071DD">
            <w:pPr>
              <w:pStyle w:val="Default"/>
              <w:spacing w:before="80" w:after="80"/>
              <w:jc w:val="center"/>
              <w:rPr>
                <w:rFonts w:ascii="Times New Roman" w:hAnsi="Times New Roman" w:cs="Times New Roman"/>
              </w:rPr>
            </w:pPr>
            <w:r w:rsidRPr="005243F8">
              <w:rPr>
                <w:rFonts w:ascii="Times New Roman" w:hAnsi="Times New Roman" w:cs="Times New Roman"/>
              </w:rPr>
              <w:t>1.689.262,45</w:t>
            </w:r>
          </w:p>
        </w:tc>
      </w:tr>
    </w:tbl>
    <w:p w:rsidR="00E32574" w:rsidRPr="00192C99" w:rsidRDefault="00E32574" w:rsidP="00033760">
      <w:pPr>
        <w:pStyle w:val="Fonte"/>
        <w:rPr>
          <w:lang w:eastAsia="pt-BR"/>
        </w:rPr>
      </w:pPr>
      <w:r w:rsidRPr="00192C99">
        <w:rPr>
          <w:lang w:eastAsia="pt-BR"/>
        </w:rPr>
        <w:t>Fonte: Fundação Educacional de Caratinga - FUNEC, 2013.</w:t>
      </w:r>
    </w:p>
    <w:p w:rsidR="00E32574" w:rsidRPr="000C5DD6" w:rsidRDefault="0030116D" w:rsidP="00971B37">
      <w:pPr>
        <w:pStyle w:val="Titulo"/>
      </w:pPr>
      <w:bookmarkStart w:id="523" w:name="_Toc372559153"/>
      <w:bookmarkStart w:id="524" w:name="_Toc372789584"/>
      <w:r w:rsidRPr="000C5DD6">
        <w:lastRenderedPageBreak/>
        <w:t>12.1</w:t>
      </w:r>
      <w:r w:rsidR="00302A16">
        <w:t>2</w:t>
      </w:r>
      <w:r w:rsidRPr="000C5DD6">
        <w:t xml:space="preserve">.3 </w:t>
      </w:r>
      <w:r w:rsidR="00E32574" w:rsidRPr="000C5DD6">
        <w:t>Investimentos</w:t>
      </w:r>
      <w:bookmarkEnd w:id="523"/>
      <w:bookmarkEnd w:id="524"/>
    </w:p>
    <w:p w:rsidR="00E32574" w:rsidRDefault="00E32574" w:rsidP="00F6533B">
      <w:pPr>
        <w:pStyle w:val="CM73"/>
        <w:spacing w:line="360" w:lineRule="auto"/>
        <w:ind w:firstLine="709"/>
        <w:jc w:val="both"/>
        <w:rPr>
          <w:rFonts w:ascii="Times New Roman" w:hAnsi="Times New Roman" w:cs="Times New Roman"/>
        </w:rPr>
      </w:pPr>
      <w:r w:rsidRPr="007564F0">
        <w:rPr>
          <w:rFonts w:ascii="Times New Roman" w:hAnsi="Times New Roman" w:cs="Times New Roman"/>
        </w:rPr>
        <w:t xml:space="preserve">Em Aimorés, os investimentos realizados para o eixo de esgotamento sanitário nos últimos anos teve atenção voltada à confecção dos projetos e planejamento para obtenção de recursos para a implantação dos sistemas de tratamento de esgoto principalmente da sede e dos distritos, como é o caso das já implantadas ETE de </w:t>
      </w:r>
      <w:r>
        <w:rPr>
          <w:rFonts w:ascii="Times New Roman" w:hAnsi="Times New Roman" w:cs="Times New Roman"/>
        </w:rPr>
        <w:t>Aimorés e dos distritos</w:t>
      </w:r>
      <w:r w:rsidRPr="007564F0">
        <w:rPr>
          <w:rFonts w:ascii="Times New Roman" w:hAnsi="Times New Roman" w:cs="Times New Roman"/>
        </w:rPr>
        <w:t xml:space="preserve">, juntamente com a instalação dos coletores, interceptores e do emissário, na sede de Aimorés. </w:t>
      </w:r>
    </w:p>
    <w:p w:rsidR="00E32574" w:rsidRPr="007564F0" w:rsidRDefault="00E32574" w:rsidP="00480C45">
      <w:pPr>
        <w:pStyle w:val="CM73"/>
        <w:spacing w:line="360" w:lineRule="auto"/>
        <w:ind w:firstLine="709"/>
        <w:jc w:val="both"/>
        <w:rPr>
          <w:rFonts w:ascii="Times New Roman" w:hAnsi="Times New Roman" w:cs="Times New Roman"/>
        </w:rPr>
      </w:pPr>
      <w:r w:rsidRPr="007564F0">
        <w:rPr>
          <w:rFonts w:ascii="Times New Roman" w:hAnsi="Times New Roman" w:cs="Times New Roman"/>
        </w:rPr>
        <w:t xml:space="preserve">No momento das visitas, verificou-se que as obras da construção da estação de tratamento de esgoto </w:t>
      </w:r>
      <w:r>
        <w:rPr>
          <w:rFonts w:ascii="Times New Roman" w:hAnsi="Times New Roman" w:cs="Times New Roman"/>
        </w:rPr>
        <w:t xml:space="preserve">em alguns distritos foram prejudicadas por </w:t>
      </w:r>
      <w:r w:rsidRPr="007564F0">
        <w:rPr>
          <w:rFonts w:ascii="Times New Roman" w:hAnsi="Times New Roman" w:cs="Times New Roman"/>
        </w:rPr>
        <w:t xml:space="preserve">problemas </w:t>
      </w:r>
      <w:r>
        <w:rPr>
          <w:rFonts w:ascii="Times New Roman" w:hAnsi="Times New Roman" w:cs="Times New Roman"/>
        </w:rPr>
        <w:t>nos projetos</w:t>
      </w:r>
      <w:r w:rsidRPr="007564F0">
        <w:rPr>
          <w:rFonts w:ascii="Times New Roman" w:hAnsi="Times New Roman" w:cs="Times New Roman"/>
        </w:rPr>
        <w:t xml:space="preserve">, não havendo, até o momento, previsão para o retorno das obras. </w:t>
      </w:r>
    </w:p>
    <w:p w:rsidR="00E32574" w:rsidRDefault="00E32574" w:rsidP="00F6533B">
      <w:pPr>
        <w:pStyle w:val="CM73"/>
        <w:spacing w:line="360" w:lineRule="auto"/>
        <w:ind w:firstLine="709"/>
        <w:jc w:val="both"/>
        <w:rPr>
          <w:rFonts w:ascii="Times New Roman" w:hAnsi="Times New Roman" w:cs="Times New Roman"/>
        </w:rPr>
      </w:pPr>
      <w:r w:rsidRPr="005B56F4">
        <w:rPr>
          <w:rFonts w:ascii="Times New Roman" w:hAnsi="Times New Roman" w:cs="Times New Roman"/>
        </w:rPr>
        <w:t xml:space="preserve">De maneira mais específica, cabe ressaltar que, segundo o SAAE, o setor de esgotamento sanitário é um dos setores que mais receberam investimentos nos últimos anos na cidade de </w:t>
      </w:r>
      <w:r>
        <w:rPr>
          <w:rFonts w:ascii="Times New Roman" w:hAnsi="Times New Roman" w:cs="Times New Roman"/>
        </w:rPr>
        <w:t>Aimorés, como mostra</w:t>
      </w:r>
      <w:r w:rsidR="00147624">
        <w:rPr>
          <w:rFonts w:ascii="Times New Roman" w:hAnsi="Times New Roman" w:cs="Times New Roman"/>
        </w:rPr>
        <w:t>m os Quadro 52 e na Tabela 1</w:t>
      </w:r>
      <w:r w:rsidR="00B87BA2">
        <w:rPr>
          <w:rFonts w:ascii="Times New Roman" w:hAnsi="Times New Roman" w:cs="Times New Roman"/>
        </w:rPr>
        <w:t>2</w:t>
      </w:r>
      <w:r>
        <w:rPr>
          <w:rFonts w:ascii="Times New Roman" w:hAnsi="Times New Roman" w:cs="Times New Roman"/>
        </w:rPr>
        <w:t>. Os investimentos aumentaram 3,3% em 2011 e em 2012 aumentaram 58,5%.</w:t>
      </w:r>
    </w:p>
    <w:p w:rsidR="00033760" w:rsidRPr="00147624" w:rsidRDefault="0075744C" w:rsidP="0075744C">
      <w:pPr>
        <w:pStyle w:val="Legenda"/>
        <w:rPr>
          <w:b w:val="0"/>
        </w:rPr>
      </w:pPr>
      <w:bookmarkStart w:id="525" w:name="_Toc372740558"/>
      <w:r>
        <w:t xml:space="preserve">Quadro </w:t>
      </w:r>
      <w:fldSimple w:instr=" SEQ Quadro \* ARABIC ">
        <w:r w:rsidR="004F77E2">
          <w:rPr>
            <w:noProof/>
          </w:rPr>
          <w:t>52</w:t>
        </w:r>
      </w:fldSimple>
      <w:r>
        <w:t xml:space="preserve"> - </w:t>
      </w:r>
      <w:r w:rsidRPr="00A65D55">
        <w:rPr>
          <w:noProof/>
        </w:rPr>
        <w:t>Dados financeiros do SAAE.</w:t>
      </w:r>
      <w:bookmarkEnd w:id="525"/>
    </w:p>
    <w:tbl>
      <w:tblPr>
        <w:tblW w:w="7903" w:type="dxa"/>
        <w:jc w:val="center"/>
        <w:tblLayout w:type="fixed"/>
        <w:tblLook w:val="0000" w:firstRow="0" w:lastRow="0" w:firstColumn="0" w:lastColumn="0" w:noHBand="0" w:noVBand="0"/>
      </w:tblPr>
      <w:tblGrid>
        <w:gridCol w:w="821"/>
        <w:gridCol w:w="1417"/>
        <w:gridCol w:w="1560"/>
        <w:gridCol w:w="2033"/>
        <w:gridCol w:w="2072"/>
      </w:tblGrid>
      <w:tr w:rsidR="00E32574" w:rsidRPr="005243F8" w:rsidTr="00033760">
        <w:trPr>
          <w:trHeight w:val="397"/>
          <w:jc w:val="center"/>
        </w:trPr>
        <w:tc>
          <w:tcPr>
            <w:tcW w:w="821" w:type="dxa"/>
            <w:vMerge w:val="restart"/>
            <w:tcBorders>
              <w:top w:val="single" w:sz="10" w:space="0" w:color="000000"/>
              <w:left w:val="single" w:sz="2" w:space="0" w:color="000000"/>
              <w:bottom w:val="single" w:sz="10" w:space="0" w:color="000000"/>
              <w:right w:val="single" w:sz="10" w:space="0" w:color="000000"/>
            </w:tcBorders>
            <w:shd w:val="clear" w:color="auto" w:fill="D9D9D9"/>
            <w:vAlign w:val="center"/>
          </w:tcPr>
          <w:p w:rsidR="00E32574" w:rsidRPr="00147624" w:rsidRDefault="00E32574" w:rsidP="00147624">
            <w:pPr>
              <w:pStyle w:val="Default"/>
              <w:spacing w:before="120" w:after="120"/>
              <w:jc w:val="center"/>
              <w:rPr>
                <w:rFonts w:ascii="Times New Roman" w:hAnsi="Times New Roman" w:cs="Times New Roman"/>
                <w:b/>
                <w:sz w:val="20"/>
                <w:szCs w:val="20"/>
              </w:rPr>
            </w:pPr>
            <w:r w:rsidRPr="00147624">
              <w:rPr>
                <w:rFonts w:ascii="Times New Roman" w:hAnsi="Times New Roman" w:cs="Times New Roman"/>
                <w:b/>
                <w:sz w:val="20"/>
                <w:szCs w:val="20"/>
              </w:rPr>
              <w:t xml:space="preserve">Ano </w:t>
            </w:r>
          </w:p>
        </w:tc>
        <w:tc>
          <w:tcPr>
            <w:tcW w:w="7082" w:type="dxa"/>
            <w:gridSpan w:val="4"/>
            <w:tcBorders>
              <w:top w:val="single" w:sz="10" w:space="0" w:color="000000"/>
              <w:left w:val="single" w:sz="8" w:space="0" w:color="000000"/>
              <w:bottom w:val="single" w:sz="6" w:space="0" w:color="000000"/>
              <w:right w:val="single" w:sz="2" w:space="0" w:color="000000"/>
            </w:tcBorders>
            <w:shd w:val="clear" w:color="auto" w:fill="D9D9D9"/>
            <w:vAlign w:val="center"/>
          </w:tcPr>
          <w:p w:rsidR="00E32574" w:rsidRPr="00147624" w:rsidRDefault="00E32574" w:rsidP="00147624">
            <w:pPr>
              <w:pStyle w:val="Default"/>
              <w:spacing w:before="120" w:after="120"/>
              <w:jc w:val="center"/>
              <w:rPr>
                <w:rFonts w:ascii="Times New Roman" w:hAnsi="Times New Roman" w:cs="Times New Roman"/>
                <w:b/>
                <w:color w:val="auto"/>
                <w:sz w:val="20"/>
                <w:szCs w:val="20"/>
              </w:rPr>
            </w:pPr>
            <w:r w:rsidRPr="00147624">
              <w:rPr>
                <w:rFonts w:ascii="Times New Roman" w:hAnsi="Times New Roman" w:cs="Times New Roman"/>
                <w:b/>
                <w:color w:val="auto"/>
                <w:sz w:val="20"/>
                <w:szCs w:val="20"/>
              </w:rPr>
              <w:t>Investimentos Realizados</w:t>
            </w:r>
          </w:p>
        </w:tc>
      </w:tr>
      <w:tr w:rsidR="00E32574" w:rsidRPr="005243F8" w:rsidTr="00033760">
        <w:trPr>
          <w:trHeight w:val="397"/>
          <w:jc w:val="center"/>
        </w:trPr>
        <w:tc>
          <w:tcPr>
            <w:tcW w:w="821" w:type="dxa"/>
            <w:vMerge/>
            <w:tcBorders>
              <w:top w:val="single" w:sz="10" w:space="0" w:color="000000"/>
              <w:left w:val="single" w:sz="2" w:space="0" w:color="000000"/>
              <w:bottom w:val="single" w:sz="10" w:space="0" w:color="000000"/>
              <w:right w:val="single" w:sz="10" w:space="0" w:color="000000"/>
            </w:tcBorders>
            <w:shd w:val="clear" w:color="auto" w:fill="D9D9D9"/>
            <w:vAlign w:val="center"/>
          </w:tcPr>
          <w:p w:rsidR="00E32574" w:rsidRPr="00147624" w:rsidRDefault="00E32574" w:rsidP="00147624">
            <w:pPr>
              <w:pStyle w:val="Default"/>
              <w:spacing w:before="120" w:after="120"/>
              <w:jc w:val="center"/>
              <w:rPr>
                <w:rFonts w:ascii="Times New Roman" w:hAnsi="Times New Roman" w:cs="Times New Roman"/>
                <w:b/>
                <w:color w:val="auto"/>
                <w:sz w:val="20"/>
                <w:szCs w:val="20"/>
              </w:rPr>
            </w:pPr>
          </w:p>
        </w:tc>
        <w:tc>
          <w:tcPr>
            <w:tcW w:w="1417"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147624" w:rsidRDefault="00E32574" w:rsidP="00147624">
            <w:pPr>
              <w:pStyle w:val="Default"/>
              <w:spacing w:before="120" w:after="120"/>
              <w:jc w:val="center"/>
              <w:rPr>
                <w:rFonts w:ascii="Times New Roman" w:hAnsi="Times New Roman" w:cs="Times New Roman"/>
                <w:b/>
                <w:sz w:val="20"/>
                <w:szCs w:val="20"/>
              </w:rPr>
            </w:pPr>
            <w:r w:rsidRPr="00147624">
              <w:rPr>
                <w:rFonts w:ascii="Times New Roman" w:hAnsi="Times New Roman" w:cs="Times New Roman"/>
                <w:b/>
                <w:sz w:val="20"/>
                <w:szCs w:val="20"/>
              </w:rPr>
              <w:t>Água (R$)</w:t>
            </w:r>
          </w:p>
        </w:tc>
        <w:tc>
          <w:tcPr>
            <w:tcW w:w="1560"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147624" w:rsidRDefault="00E32574" w:rsidP="00147624">
            <w:pPr>
              <w:pStyle w:val="Default"/>
              <w:spacing w:before="120" w:after="120"/>
              <w:jc w:val="center"/>
              <w:rPr>
                <w:rFonts w:ascii="Times New Roman" w:hAnsi="Times New Roman" w:cs="Times New Roman"/>
                <w:b/>
                <w:sz w:val="20"/>
                <w:szCs w:val="20"/>
              </w:rPr>
            </w:pPr>
            <w:r w:rsidRPr="00147624">
              <w:rPr>
                <w:rFonts w:ascii="Times New Roman" w:hAnsi="Times New Roman" w:cs="Times New Roman"/>
                <w:b/>
                <w:sz w:val="20"/>
                <w:szCs w:val="20"/>
              </w:rPr>
              <w:t>Esgotos (R$)</w:t>
            </w:r>
          </w:p>
        </w:tc>
        <w:tc>
          <w:tcPr>
            <w:tcW w:w="2033" w:type="dxa"/>
            <w:tcBorders>
              <w:top w:val="single" w:sz="6" w:space="0" w:color="000000"/>
              <w:left w:val="single" w:sz="8" w:space="0" w:color="000000"/>
              <w:bottom w:val="single" w:sz="10" w:space="0" w:color="000000"/>
              <w:right w:val="single" w:sz="8" w:space="0" w:color="000000"/>
            </w:tcBorders>
            <w:shd w:val="clear" w:color="auto" w:fill="D9D9D9"/>
            <w:vAlign w:val="center"/>
          </w:tcPr>
          <w:p w:rsidR="00E32574" w:rsidRPr="00147624" w:rsidRDefault="00E32574" w:rsidP="00147624">
            <w:pPr>
              <w:pStyle w:val="Default"/>
              <w:spacing w:before="120" w:after="120"/>
              <w:jc w:val="center"/>
              <w:rPr>
                <w:rFonts w:ascii="Times New Roman" w:hAnsi="Times New Roman" w:cs="Times New Roman"/>
                <w:b/>
                <w:sz w:val="20"/>
                <w:szCs w:val="20"/>
              </w:rPr>
            </w:pPr>
            <w:r w:rsidRPr="00147624">
              <w:rPr>
                <w:rFonts w:ascii="Times New Roman" w:hAnsi="Times New Roman" w:cs="Times New Roman"/>
                <w:b/>
                <w:sz w:val="20"/>
                <w:szCs w:val="20"/>
              </w:rPr>
              <w:t>Outros Investimentos</w:t>
            </w:r>
          </w:p>
        </w:tc>
        <w:tc>
          <w:tcPr>
            <w:tcW w:w="2072" w:type="dxa"/>
            <w:tcBorders>
              <w:top w:val="single" w:sz="6" w:space="0" w:color="000000"/>
              <w:left w:val="single" w:sz="8" w:space="0" w:color="000000"/>
              <w:bottom w:val="single" w:sz="10" w:space="0" w:color="000000"/>
              <w:right w:val="single" w:sz="2" w:space="0" w:color="000000"/>
            </w:tcBorders>
            <w:shd w:val="clear" w:color="auto" w:fill="D9D9D9"/>
            <w:vAlign w:val="center"/>
          </w:tcPr>
          <w:p w:rsidR="00E32574" w:rsidRPr="00147624" w:rsidRDefault="00E32574" w:rsidP="00147624">
            <w:pPr>
              <w:pStyle w:val="Default"/>
              <w:spacing w:before="120" w:after="120"/>
              <w:jc w:val="center"/>
              <w:rPr>
                <w:rFonts w:ascii="Times New Roman" w:hAnsi="Times New Roman" w:cs="Times New Roman"/>
                <w:b/>
                <w:sz w:val="20"/>
                <w:szCs w:val="20"/>
              </w:rPr>
            </w:pPr>
            <w:r w:rsidRPr="00147624">
              <w:rPr>
                <w:rFonts w:ascii="Times New Roman" w:hAnsi="Times New Roman" w:cs="Times New Roman"/>
                <w:b/>
                <w:sz w:val="20"/>
                <w:szCs w:val="20"/>
              </w:rPr>
              <w:t>Total de Investimento</w:t>
            </w:r>
          </w:p>
        </w:tc>
      </w:tr>
      <w:tr w:rsidR="00E32574" w:rsidRPr="005243F8" w:rsidTr="00033760">
        <w:trPr>
          <w:trHeight w:val="397"/>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 xml:space="preserve">2010 </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99.029,00</w:t>
            </w:r>
          </w:p>
        </w:tc>
        <w:tc>
          <w:tcPr>
            <w:tcW w:w="1560" w:type="dxa"/>
            <w:tcBorders>
              <w:top w:val="single" w:sz="10" w:space="0" w:color="000000"/>
              <w:left w:val="single" w:sz="8" w:space="0" w:color="000000"/>
              <w:bottom w:val="single" w:sz="10" w:space="0" w:color="000000"/>
              <w:right w:val="single" w:sz="8"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67.746,00</w:t>
            </w:r>
          </w:p>
        </w:tc>
        <w:tc>
          <w:tcPr>
            <w:tcW w:w="2033" w:type="dxa"/>
            <w:tcBorders>
              <w:top w:val="single" w:sz="10" w:space="0" w:color="000000"/>
              <w:left w:val="single" w:sz="8" w:space="0" w:color="000000"/>
              <w:bottom w:val="single" w:sz="10" w:space="0" w:color="000000"/>
              <w:right w:val="single" w:sz="8"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47.509,00</w:t>
            </w:r>
          </w:p>
        </w:tc>
        <w:tc>
          <w:tcPr>
            <w:tcW w:w="2072"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214.284,00</w:t>
            </w:r>
          </w:p>
        </w:tc>
      </w:tr>
      <w:tr w:rsidR="00E32574" w:rsidRPr="005243F8" w:rsidTr="00033760">
        <w:trPr>
          <w:trHeight w:val="397"/>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 xml:space="preserve">2011 </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316.292,00</w:t>
            </w:r>
          </w:p>
        </w:tc>
        <w:tc>
          <w:tcPr>
            <w:tcW w:w="1560" w:type="dxa"/>
            <w:tcBorders>
              <w:top w:val="single" w:sz="10" w:space="0" w:color="000000"/>
              <w:left w:val="single" w:sz="8" w:space="0" w:color="000000"/>
              <w:bottom w:val="single" w:sz="10" w:space="0" w:color="000000"/>
              <w:right w:val="single" w:sz="8"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69.981,00</w:t>
            </w:r>
          </w:p>
        </w:tc>
        <w:tc>
          <w:tcPr>
            <w:tcW w:w="2033" w:type="dxa"/>
            <w:tcBorders>
              <w:top w:val="single" w:sz="10" w:space="0" w:color="000000"/>
              <w:left w:val="single" w:sz="8" w:space="0" w:color="000000"/>
              <w:bottom w:val="single" w:sz="10" w:space="0" w:color="000000"/>
              <w:right w:val="single" w:sz="8"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115.322,00</w:t>
            </w:r>
          </w:p>
        </w:tc>
        <w:tc>
          <w:tcPr>
            <w:tcW w:w="2072"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501.595,00</w:t>
            </w:r>
          </w:p>
        </w:tc>
      </w:tr>
      <w:tr w:rsidR="00E32574" w:rsidRPr="005243F8" w:rsidTr="00033760">
        <w:trPr>
          <w:trHeight w:val="397"/>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 xml:space="preserve">2012 </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448.727,00</w:t>
            </w:r>
          </w:p>
        </w:tc>
        <w:tc>
          <w:tcPr>
            <w:tcW w:w="1560" w:type="dxa"/>
            <w:tcBorders>
              <w:top w:val="single" w:sz="10" w:space="0" w:color="000000"/>
              <w:left w:val="single" w:sz="8" w:space="0" w:color="000000"/>
              <w:bottom w:val="single" w:sz="10" w:space="0" w:color="000000"/>
              <w:right w:val="single" w:sz="8"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110.942,00</w:t>
            </w:r>
          </w:p>
        </w:tc>
        <w:tc>
          <w:tcPr>
            <w:tcW w:w="2033" w:type="dxa"/>
            <w:tcBorders>
              <w:top w:val="single" w:sz="10" w:space="0" w:color="000000"/>
              <w:left w:val="single" w:sz="8" w:space="0" w:color="000000"/>
              <w:bottom w:val="single" w:sz="10" w:space="0" w:color="000000"/>
              <w:right w:val="single" w:sz="8"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62.049,00</w:t>
            </w:r>
          </w:p>
        </w:tc>
        <w:tc>
          <w:tcPr>
            <w:tcW w:w="2072"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621.718,00</w:t>
            </w:r>
          </w:p>
        </w:tc>
      </w:tr>
      <w:tr w:rsidR="00E32574" w:rsidRPr="005243F8" w:rsidTr="00033760">
        <w:trPr>
          <w:trHeight w:val="510"/>
          <w:jc w:val="center"/>
        </w:trPr>
        <w:tc>
          <w:tcPr>
            <w:tcW w:w="821" w:type="dxa"/>
            <w:tcBorders>
              <w:top w:val="single" w:sz="10" w:space="0" w:color="000000"/>
              <w:left w:val="single" w:sz="2" w:space="0" w:color="000000"/>
              <w:bottom w:val="single" w:sz="10" w:space="0" w:color="000000"/>
              <w:right w:val="single" w:sz="10"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Total 3 anos</w:t>
            </w:r>
          </w:p>
        </w:tc>
        <w:tc>
          <w:tcPr>
            <w:tcW w:w="1417" w:type="dxa"/>
            <w:tcBorders>
              <w:top w:val="single" w:sz="10" w:space="0" w:color="000000"/>
              <w:left w:val="single" w:sz="8" w:space="0" w:color="000000"/>
              <w:bottom w:val="single" w:sz="10" w:space="0" w:color="000000"/>
              <w:right w:val="single" w:sz="8"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864.048,00</w:t>
            </w:r>
          </w:p>
        </w:tc>
        <w:tc>
          <w:tcPr>
            <w:tcW w:w="1560" w:type="dxa"/>
            <w:tcBorders>
              <w:top w:val="single" w:sz="10" w:space="0" w:color="000000"/>
              <w:left w:val="single" w:sz="8" w:space="0" w:color="000000"/>
              <w:bottom w:val="single" w:sz="10" w:space="0" w:color="000000"/>
              <w:right w:val="single" w:sz="8"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248.669,00</w:t>
            </w:r>
          </w:p>
        </w:tc>
        <w:tc>
          <w:tcPr>
            <w:tcW w:w="2033" w:type="dxa"/>
            <w:tcBorders>
              <w:top w:val="single" w:sz="10" w:space="0" w:color="000000"/>
              <w:left w:val="single" w:sz="8" w:space="0" w:color="000000"/>
              <w:bottom w:val="single" w:sz="10" w:space="0" w:color="000000"/>
              <w:right w:val="single" w:sz="8"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224.880,00</w:t>
            </w:r>
          </w:p>
        </w:tc>
        <w:tc>
          <w:tcPr>
            <w:tcW w:w="2072" w:type="dxa"/>
            <w:tcBorders>
              <w:top w:val="single" w:sz="10" w:space="0" w:color="000000"/>
              <w:left w:val="single" w:sz="8" w:space="0" w:color="000000"/>
              <w:bottom w:val="single" w:sz="10" w:space="0" w:color="000000"/>
              <w:right w:val="single" w:sz="2" w:space="0" w:color="000000"/>
            </w:tcBorders>
            <w:vAlign w:val="center"/>
          </w:tcPr>
          <w:p w:rsidR="00E32574" w:rsidRPr="005243F8" w:rsidRDefault="00E32574" w:rsidP="00147624">
            <w:pPr>
              <w:pStyle w:val="Default"/>
              <w:spacing w:before="120" w:after="120"/>
              <w:jc w:val="center"/>
              <w:rPr>
                <w:rFonts w:ascii="Times New Roman" w:hAnsi="Times New Roman" w:cs="Times New Roman"/>
                <w:sz w:val="20"/>
                <w:szCs w:val="20"/>
              </w:rPr>
            </w:pPr>
            <w:r w:rsidRPr="005243F8">
              <w:rPr>
                <w:rFonts w:ascii="Times New Roman" w:hAnsi="Times New Roman" w:cs="Times New Roman"/>
                <w:sz w:val="20"/>
                <w:szCs w:val="20"/>
              </w:rPr>
              <w:t>1.337.587,00</w:t>
            </w:r>
          </w:p>
        </w:tc>
      </w:tr>
    </w:tbl>
    <w:p w:rsidR="00E32574" w:rsidRPr="00082391" w:rsidRDefault="00033760" w:rsidP="00033760">
      <w:pPr>
        <w:pStyle w:val="Fonte"/>
        <w:rPr>
          <w:lang w:eastAsia="pt-BR"/>
        </w:rPr>
      </w:pPr>
      <w:r>
        <w:rPr>
          <w:lang w:eastAsia="pt-BR"/>
        </w:rPr>
        <w:t xml:space="preserve">      </w:t>
      </w:r>
      <w:r w:rsidR="00E32574" w:rsidRPr="00082391">
        <w:rPr>
          <w:lang w:eastAsia="pt-BR"/>
        </w:rPr>
        <w:t>Fonte: SAAE, 2013.</w:t>
      </w:r>
    </w:p>
    <w:p w:rsidR="00E32574" w:rsidRPr="00EA2964" w:rsidRDefault="00E32574" w:rsidP="00E32574">
      <w:pPr>
        <w:rPr>
          <w:lang w:eastAsia="pt-BR"/>
        </w:rPr>
      </w:pPr>
    </w:p>
    <w:p w:rsidR="00E32574" w:rsidRPr="00565CCC" w:rsidRDefault="00E32574" w:rsidP="00E32574">
      <w:pPr>
        <w:rPr>
          <w:lang w:eastAsia="pt-BR"/>
        </w:rPr>
      </w:pPr>
    </w:p>
    <w:p w:rsidR="00E32574" w:rsidRDefault="00E32574" w:rsidP="00E32574">
      <w:pPr>
        <w:pStyle w:val="Default"/>
        <w:rPr>
          <w:b/>
          <w:bCs/>
          <w:sz w:val="20"/>
          <w:szCs w:val="20"/>
        </w:rPr>
        <w:sectPr w:rsidR="00E32574">
          <w:pgSz w:w="11906" w:h="16838"/>
          <w:pgMar w:top="1417" w:right="1701" w:bottom="1417" w:left="1701" w:header="708" w:footer="708" w:gutter="0"/>
          <w:cols w:space="708"/>
          <w:docGrid w:linePitch="360"/>
        </w:sectPr>
      </w:pPr>
    </w:p>
    <w:p w:rsidR="00E32574" w:rsidRDefault="00A80257" w:rsidP="00F071DD">
      <w:pPr>
        <w:pStyle w:val="Legenda"/>
        <w:spacing w:after="0"/>
        <w:rPr>
          <w:b w:val="0"/>
        </w:rPr>
      </w:pPr>
      <w:bookmarkStart w:id="526" w:name="_Toc372740360"/>
      <w:r>
        <w:lastRenderedPageBreak/>
        <w:t xml:space="preserve">Tabela </w:t>
      </w:r>
      <w:fldSimple w:instr=" SEQ Tabela \* ARABIC ">
        <w:r w:rsidR="004F77E2">
          <w:rPr>
            <w:noProof/>
          </w:rPr>
          <w:t>12</w:t>
        </w:r>
      </w:fldSimple>
      <w:r>
        <w:t xml:space="preserve"> - </w:t>
      </w:r>
      <w:r w:rsidRPr="007E3B9F">
        <w:t>Situação dos Sistemas de Tratamento em Aimorés.</w:t>
      </w:r>
      <w:bookmarkEnd w:id="526"/>
    </w:p>
    <w:tbl>
      <w:tblPr>
        <w:tblpPr w:leftFromText="141" w:rightFromText="141" w:vertAnchor="page" w:horzAnchor="margin" w:tblpY="2401"/>
        <w:tblW w:w="0" w:type="auto"/>
        <w:tblLook w:val="0000" w:firstRow="0" w:lastRow="0" w:firstColumn="0" w:lastColumn="0" w:noHBand="0" w:noVBand="0"/>
      </w:tblPr>
      <w:tblGrid>
        <w:gridCol w:w="1705"/>
        <w:gridCol w:w="1011"/>
        <w:gridCol w:w="1243"/>
        <w:gridCol w:w="1094"/>
        <w:gridCol w:w="1364"/>
        <w:gridCol w:w="902"/>
        <w:gridCol w:w="1546"/>
        <w:gridCol w:w="1496"/>
        <w:gridCol w:w="1734"/>
        <w:gridCol w:w="1901"/>
      </w:tblGrid>
      <w:tr w:rsidR="00705554" w:rsidRPr="005243F8" w:rsidTr="001F0E0C">
        <w:trPr>
          <w:trHeight w:val="401"/>
        </w:trPr>
        <w:tc>
          <w:tcPr>
            <w:tcW w:w="0" w:type="auto"/>
            <w:vMerge w:val="restart"/>
            <w:tcBorders>
              <w:top w:val="single" w:sz="10" w:space="0" w:color="000000"/>
              <w:left w:val="single" w:sz="2"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b/>
                <w:bCs/>
                <w:sz w:val="20"/>
                <w:szCs w:val="20"/>
              </w:rPr>
              <w:t>Localidade</w:t>
            </w:r>
          </w:p>
        </w:tc>
        <w:tc>
          <w:tcPr>
            <w:tcW w:w="0" w:type="auto"/>
            <w:gridSpan w:val="9"/>
            <w:tcBorders>
              <w:top w:val="single" w:sz="10" w:space="0" w:color="000000"/>
              <w:left w:val="single" w:sz="4" w:space="0" w:color="000000"/>
              <w:bottom w:val="single" w:sz="6" w:space="0" w:color="000000"/>
              <w:right w:val="single" w:sz="2"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color w:val="auto"/>
                <w:sz w:val="20"/>
                <w:szCs w:val="20"/>
              </w:rPr>
            </w:pPr>
            <w:r w:rsidRPr="005243F8">
              <w:rPr>
                <w:rFonts w:ascii="Times New Roman" w:hAnsi="Times New Roman" w:cs="Times New Roman"/>
                <w:b/>
                <w:bCs/>
                <w:sz w:val="20"/>
                <w:szCs w:val="20"/>
              </w:rPr>
              <w:t>Tratamento de Esgotos</w:t>
            </w:r>
          </w:p>
        </w:tc>
      </w:tr>
      <w:tr w:rsidR="00705554" w:rsidRPr="005243F8" w:rsidTr="00705554">
        <w:trPr>
          <w:trHeight w:val="700"/>
        </w:trPr>
        <w:tc>
          <w:tcPr>
            <w:tcW w:w="0" w:type="auto"/>
            <w:vMerge/>
            <w:tcBorders>
              <w:top w:val="single" w:sz="10" w:space="0" w:color="000000"/>
              <w:left w:val="single" w:sz="2"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color w:val="auto"/>
                <w:sz w:val="20"/>
                <w:szCs w:val="20"/>
              </w:rPr>
            </w:pP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b/>
                <w:bCs/>
                <w:sz w:val="20"/>
                <w:szCs w:val="20"/>
              </w:rPr>
              <w:t>Projeto Básico</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b/>
                <w:bCs/>
                <w:sz w:val="20"/>
                <w:szCs w:val="20"/>
              </w:rPr>
              <w:t>Projeto Executivo</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b/>
                <w:bCs/>
                <w:sz w:val="20"/>
                <w:szCs w:val="20"/>
              </w:rPr>
              <w:t>Instalação</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b/>
                <w:bCs/>
                <w:sz w:val="20"/>
                <w:szCs w:val="20"/>
              </w:rPr>
              <w:t>Tempo de operação</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b/>
                <w:bCs/>
                <w:sz w:val="20"/>
                <w:szCs w:val="20"/>
              </w:rPr>
              <w:t>Vazão média</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b/>
                <w:bCs/>
                <w:sz w:val="20"/>
                <w:szCs w:val="20"/>
              </w:rPr>
              <w:t>Eficiência do Tratamento</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b/>
                <w:bCs/>
                <w:sz w:val="20"/>
                <w:szCs w:val="20"/>
              </w:rPr>
              <w:t>Capacidade tratamento</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b/>
                <w:bCs/>
                <w:sz w:val="20"/>
                <w:szCs w:val="20"/>
              </w:rPr>
              <w:t>Tempo de funcionamento</w:t>
            </w:r>
          </w:p>
        </w:tc>
        <w:tc>
          <w:tcPr>
            <w:tcW w:w="0" w:type="auto"/>
            <w:tcBorders>
              <w:top w:val="single" w:sz="6" w:space="0" w:color="000000"/>
              <w:left w:val="single" w:sz="4" w:space="0" w:color="000000"/>
              <w:bottom w:val="single" w:sz="6" w:space="0" w:color="000000"/>
              <w:right w:val="single" w:sz="2"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b/>
                <w:bCs/>
                <w:sz w:val="20"/>
                <w:szCs w:val="20"/>
              </w:rPr>
              <w:t>Porcentagem atendimento (Atual)</w:t>
            </w:r>
          </w:p>
        </w:tc>
      </w:tr>
      <w:tr w:rsidR="00705554" w:rsidRPr="005243F8" w:rsidTr="001F0E0C">
        <w:trPr>
          <w:trHeight w:val="712"/>
        </w:trPr>
        <w:tc>
          <w:tcPr>
            <w:tcW w:w="0" w:type="auto"/>
            <w:tcBorders>
              <w:top w:val="single" w:sz="6" w:space="0" w:color="000000"/>
              <w:left w:val="single" w:sz="2"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Sede</w:t>
            </w:r>
          </w:p>
        </w:tc>
        <w:tc>
          <w:tcPr>
            <w:tcW w:w="0" w:type="auto"/>
            <w:tcBorders>
              <w:top w:val="single" w:sz="6"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Sim</w:t>
            </w:r>
          </w:p>
        </w:tc>
        <w:tc>
          <w:tcPr>
            <w:tcW w:w="0" w:type="auto"/>
            <w:tcBorders>
              <w:top w:val="single" w:sz="6"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Sim</w:t>
            </w:r>
          </w:p>
        </w:tc>
        <w:tc>
          <w:tcPr>
            <w:tcW w:w="0" w:type="auto"/>
            <w:tcBorders>
              <w:top w:val="single" w:sz="6"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Sim</w:t>
            </w:r>
          </w:p>
        </w:tc>
        <w:tc>
          <w:tcPr>
            <w:tcW w:w="0" w:type="auto"/>
            <w:tcBorders>
              <w:top w:val="single" w:sz="6"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13 anos</w:t>
            </w:r>
          </w:p>
        </w:tc>
        <w:tc>
          <w:tcPr>
            <w:tcW w:w="0" w:type="auto"/>
            <w:tcBorders>
              <w:top w:val="single" w:sz="6"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25 L/s</w:t>
            </w:r>
          </w:p>
        </w:tc>
        <w:tc>
          <w:tcPr>
            <w:tcW w:w="0" w:type="auto"/>
            <w:tcBorders>
              <w:top w:val="single" w:sz="6"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70%</w:t>
            </w:r>
          </w:p>
        </w:tc>
        <w:tc>
          <w:tcPr>
            <w:tcW w:w="0" w:type="auto"/>
            <w:tcBorders>
              <w:top w:val="single" w:sz="6"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15.000 Habitantes</w:t>
            </w:r>
          </w:p>
        </w:tc>
        <w:tc>
          <w:tcPr>
            <w:tcW w:w="0" w:type="auto"/>
            <w:tcBorders>
              <w:top w:val="single" w:sz="6"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24 h/dia</w:t>
            </w:r>
          </w:p>
        </w:tc>
        <w:tc>
          <w:tcPr>
            <w:tcW w:w="0" w:type="auto"/>
            <w:tcBorders>
              <w:top w:val="single" w:sz="6" w:space="0" w:color="000000"/>
              <w:left w:val="single" w:sz="4" w:space="0" w:color="000000"/>
              <w:bottom w:val="single" w:sz="10" w:space="0" w:color="000000"/>
              <w:right w:val="single" w:sz="2"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62% da população da sede do município</w:t>
            </w:r>
          </w:p>
        </w:tc>
      </w:tr>
      <w:tr w:rsidR="00705554" w:rsidRPr="005243F8" w:rsidTr="001F0E0C">
        <w:trPr>
          <w:trHeight w:val="543"/>
        </w:trPr>
        <w:tc>
          <w:tcPr>
            <w:tcW w:w="0" w:type="auto"/>
            <w:tcBorders>
              <w:top w:val="single" w:sz="10" w:space="0" w:color="000000"/>
              <w:left w:val="single" w:sz="2"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Conceição do Capim</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10" w:space="0" w:color="000000"/>
              <w:left w:val="single" w:sz="4" w:space="0" w:color="000000"/>
              <w:bottom w:val="single" w:sz="6" w:space="0" w:color="000000"/>
              <w:right w:val="single" w:sz="2"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r>
      <w:tr w:rsidR="00705554" w:rsidRPr="005243F8" w:rsidTr="001F0E0C">
        <w:trPr>
          <w:trHeight w:val="548"/>
        </w:trPr>
        <w:tc>
          <w:tcPr>
            <w:tcW w:w="0" w:type="auto"/>
            <w:tcBorders>
              <w:top w:val="single" w:sz="6" w:space="0" w:color="000000"/>
              <w:left w:val="single" w:sz="2"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Penha do Capim</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Sim</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Sim</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Sim</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4 anos (não funciona mais)</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3 L/s</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70%</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2500 a 3000 Habitantes</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24 h/dia</w:t>
            </w:r>
          </w:p>
        </w:tc>
        <w:tc>
          <w:tcPr>
            <w:tcW w:w="0" w:type="auto"/>
            <w:tcBorders>
              <w:top w:val="single" w:sz="6" w:space="0" w:color="000000"/>
              <w:left w:val="single" w:sz="4" w:space="0" w:color="000000"/>
              <w:bottom w:val="single" w:sz="6" w:space="0" w:color="000000"/>
              <w:right w:val="single" w:sz="2"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0%</w:t>
            </w:r>
          </w:p>
        </w:tc>
      </w:tr>
      <w:tr w:rsidR="00705554" w:rsidRPr="005243F8" w:rsidTr="00705554">
        <w:trPr>
          <w:trHeight w:val="282"/>
        </w:trPr>
        <w:tc>
          <w:tcPr>
            <w:tcW w:w="0" w:type="auto"/>
            <w:tcBorders>
              <w:top w:val="single" w:sz="6" w:space="0" w:color="000000"/>
              <w:left w:val="single" w:sz="2" w:space="0" w:color="000000"/>
              <w:bottom w:val="single" w:sz="10"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Alto Capim</w:t>
            </w:r>
          </w:p>
        </w:tc>
        <w:tc>
          <w:tcPr>
            <w:tcW w:w="0" w:type="auto"/>
            <w:tcBorders>
              <w:top w:val="single" w:sz="6" w:space="0" w:color="000000"/>
              <w:left w:val="single" w:sz="4" w:space="0" w:color="000000"/>
              <w:bottom w:val="single" w:sz="10"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6" w:space="0" w:color="000000"/>
              <w:left w:val="single" w:sz="4" w:space="0" w:color="000000"/>
              <w:bottom w:val="single" w:sz="10"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6" w:space="0" w:color="000000"/>
              <w:left w:val="single" w:sz="4" w:space="0" w:color="000000"/>
              <w:bottom w:val="single" w:sz="10"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6" w:space="0" w:color="000000"/>
              <w:left w:val="single" w:sz="4" w:space="0" w:color="000000"/>
              <w:bottom w:val="single" w:sz="10"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10"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10"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10"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10"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10" w:space="0" w:color="000000"/>
              <w:right w:val="single" w:sz="2"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r>
      <w:tr w:rsidR="00705554" w:rsidRPr="005243F8" w:rsidTr="00705554">
        <w:trPr>
          <w:trHeight w:val="470"/>
        </w:trPr>
        <w:tc>
          <w:tcPr>
            <w:tcW w:w="0" w:type="auto"/>
            <w:tcBorders>
              <w:top w:val="single" w:sz="10" w:space="0" w:color="000000"/>
              <w:left w:val="single" w:sz="2"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Mundo Novo de Minas</w:t>
            </w:r>
          </w:p>
        </w:tc>
        <w:tc>
          <w:tcPr>
            <w:tcW w:w="0" w:type="auto"/>
            <w:tcBorders>
              <w:top w:val="single" w:sz="10"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10"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10"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10"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10"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10"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10"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10" w:space="0" w:color="000000"/>
              <w:left w:val="single" w:sz="4" w:space="0" w:color="000000"/>
              <w:bottom w:val="single" w:sz="10"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10" w:space="0" w:color="000000"/>
              <w:left w:val="single" w:sz="4" w:space="0" w:color="000000"/>
              <w:bottom w:val="single" w:sz="10" w:space="0" w:color="000000"/>
              <w:right w:val="single" w:sz="2"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r>
      <w:tr w:rsidR="00705554" w:rsidRPr="005243F8" w:rsidTr="00705554">
        <w:trPr>
          <w:trHeight w:val="532"/>
        </w:trPr>
        <w:tc>
          <w:tcPr>
            <w:tcW w:w="0" w:type="auto"/>
            <w:tcBorders>
              <w:top w:val="single" w:sz="10" w:space="0" w:color="000000"/>
              <w:left w:val="single" w:sz="2"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São Sebastião da Vala</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Sim</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Sim</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Sim</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3 anos (não funciona mais)</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3 L/s</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70%</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2500 a 3000 Habitantes</w:t>
            </w:r>
          </w:p>
        </w:tc>
        <w:tc>
          <w:tcPr>
            <w:tcW w:w="0" w:type="auto"/>
            <w:tcBorders>
              <w:top w:val="single" w:sz="10"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24 h/dia</w:t>
            </w:r>
          </w:p>
        </w:tc>
        <w:tc>
          <w:tcPr>
            <w:tcW w:w="0" w:type="auto"/>
            <w:tcBorders>
              <w:top w:val="single" w:sz="10" w:space="0" w:color="000000"/>
              <w:left w:val="single" w:sz="4" w:space="0" w:color="000000"/>
              <w:bottom w:val="single" w:sz="6" w:space="0" w:color="000000"/>
              <w:right w:val="single" w:sz="2"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0%</w:t>
            </w:r>
          </w:p>
        </w:tc>
      </w:tr>
      <w:tr w:rsidR="00705554" w:rsidRPr="005243F8" w:rsidTr="00705554">
        <w:trPr>
          <w:trHeight w:val="385"/>
        </w:trPr>
        <w:tc>
          <w:tcPr>
            <w:tcW w:w="0" w:type="auto"/>
            <w:tcBorders>
              <w:top w:val="single" w:sz="6" w:space="0" w:color="000000"/>
              <w:left w:val="single" w:sz="2"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Expedicionário Alicio</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6" w:space="0" w:color="000000"/>
              <w:right w:val="single" w:sz="2"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r>
      <w:tr w:rsidR="00705554" w:rsidRPr="005243F8" w:rsidTr="00705554">
        <w:trPr>
          <w:trHeight w:val="302"/>
        </w:trPr>
        <w:tc>
          <w:tcPr>
            <w:tcW w:w="0" w:type="auto"/>
            <w:tcBorders>
              <w:top w:val="single" w:sz="6" w:space="0" w:color="000000"/>
              <w:left w:val="single" w:sz="2"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Santo Antônio do Rio Doce</w:t>
            </w:r>
          </w:p>
        </w:tc>
        <w:tc>
          <w:tcPr>
            <w:tcW w:w="0" w:type="auto"/>
            <w:tcBorders>
              <w:top w:val="single" w:sz="6"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Sim</w:t>
            </w:r>
          </w:p>
        </w:tc>
        <w:tc>
          <w:tcPr>
            <w:tcW w:w="0" w:type="auto"/>
            <w:tcBorders>
              <w:top w:val="single" w:sz="6"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Sim</w:t>
            </w:r>
          </w:p>
        </w:tc>
        <w:tc>
          <w:tcPr>
            <w:tcW w:w="0" w:type="auto"/>
            <w:tcBorders>
              <w:top w:val="single" w:sz="6"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Sim</w:t>
            </w:r>
          </w:p>
        </w:tc>
        <w:tc>
          <w:tcPr>
            <w:tcW w:w="0" w:type="auto"/>
            <w:tcBorders>
              <w:top w:val="single" w:sz="6"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6 anos (não funciona mais)</w:t>
            </w:r>
          </w:p>
        </w:tc>
        <w:tc>
          <w:tcPr>
            <w:tcW w:w="0" w:type="auto"/>
            <w:tcBorders>
              <w:top w:val="single" w:sz="6"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3 L/s</w:t>
            </w:r>
          </w:p>
        </w:tc>
        <w:tc>
          <w:tcPr>
            <w:tcW w:w="0" w:type="auto"/>
            <w:tcBorders>
              <w:top w:val="single" w:sz="6"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70%</w:t>
            </w:r>
          </w:p>
        </w:tc>
        <w:tc>
          <w:tcPr>
            <w:tcW w:w="0" w:type="auto"/>
            <w:tcBorders>
              <w:top w:val="single" w:sz="6"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2500 a 3000 Habitantes</w:t>
            </w:r>
          </w:p>
        </w:tc>
        <w:tc>
          <w:tcPr>
            <w:tcW w:w="0" w:type="auto"/>
            <w:tcBorders>
              <w:top w:val="single" w:sz="6" w:space="0" w:color="000000"/>
              <w:left w:val="single" w:sz="4" w:space="0" w:color="000000"/>
              <w:bottom w:val="single" w:sz="6" w:space="0" w:color="000000"/>
              <w:right w:val="single" w:sz="4"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24 h/dia</w:t>
            </w:r>
          </w:p>
        </w:tc>
        <w:tc>
          <w:tcPr>
            <w:tcW w:w="0" w:type="auto"/>
            <w:tcBorders>
              <w:top w:val="single" w:sz="6" w:space="0" w:color="000000"/>
              <w:left w:val="single" w:sz="4" w:space="0" w:color="000000"/>
              <w:bottom w:val="single" w:sz="6" w:space="0" w:color="000000"/>
              <w:right w:val="single" w:sz="2" w:space="0" w:color="000000"/>
            </w:tcBorders>
            <w:shd w:val="clear" w:color="auto" w:fill="DCE6F1"/>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0%</w:t>
            </w:r>
          </w:p>
        </w:tc>
      </w:tr>
      <w:tr w:rsidR="00705554" w:rsidRPr="005243F8" w:rsidTr="00705554">
        <w:trPr>
          <w:trHeight w:val="297"/>
        </w:trPr>
        <w:tc>
          <w:tcPr>
            <w:tcW w:w="0" w:type="auto"/>
            <w:tcBorders>
              <w:top w:val="single" w:sz="6" w:space="0" w:color="000000"/>
              <w:left w:val="single" w:sz="2"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Tabaúna</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Não</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6" w:space="0" w:color="000000"/>
              <w:right w:val="single" w:sz="4"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c>
          <w:tcPr>
            <w:tcW w:w="0" w:type="auto"/>
            <w:tcBorders>
              <w:top w:val="single" w:sz="6" w:space="0" w:color="000000"/>
              <w:left w:val="single" w:sz="4" w:space="0" w:color="000000"/>
              <w:bottom w:val="single" w:sz="6" w:space="0" w:color="000000"/>
              <w:right w:val="single" w:sz="2" w:space="0" w:color="000000"/>
            </w:tcBorders>
            <w:vAlign w:val="center"/>
          </w:tcPr>
          <w:p w:rsidR="00705554" w:rsidRPr="005243F8" w:rsidRDefault="00705554" w:rsidP="00705554">
            <w:pPr>
              <w:pStyle w:val="Default"/>
              <w:jc w:val="center"/>
              <w:rPr>
                <w:rFonts w:ascii="Times New Roman" w:hAnsi="Times New Roman" w:cs="Times New Roman"/>
                <w:sz w:val="20"/>
                <w:szCs w:val="20"/>
              </w:rPr>
            </w:pPr>
            <w:r w:rsidRPr="005243F8">
              <w:rPr>
                <w:rFonts w:ascii="Times New Roman" w:hAnsi="Times New Roman" w:cs="Times New Roman"/>
                <w:sz w:val="20"/>
                <w:szCs w:val="20"/>
              </w:rPr>
              <w:t>-</w:t>
            </w:r>
          </w:p>
        </w:tc>
      </w:tr>
    </w:tbl>
    <w:p w:rsidR="00E32574" w:rsidRDefault="00E32574" w:rsidP="00033760">
      <w:pPr>
        <w:pStyle w:val="Fonte"/>
        <w:rPr>
          <w:lang w:eastAsia="pt-BR"/>
        </w:rPr>
        <w:sectPr w:rsidR="00E32574" w:rsidSect="00E32574">
          <w:pgSz w:w="16838" w:h="11906" w:orient="landscape"/>
          <w:pgMar w:top="1701" w:right="1418" w:bottom="1701" w:left="1418" w:header="709" w:footer="709" w:gutter="0"/>
          <w:cols w:space="708"/>
          <w:docGrid w:linePitch="360"/>
        </w:sectPr>
      </w:pPr>
      <w:r w:rsidRPr="00192C99">
        <w:rPr>
          <w:lang w:eastAsia="pt-BR"/>
        </w:rPr>
        <w:t xml:space="preserve">Fonte: </w:t>
      </w:r>
      <w:r>
        <w:rPr>
          <w:lang w:eastAsia="pt-BR"/>
        </w:rPr>
        <w:t>Adaptado de SAAE</w:t>
      </w:r>
      <w:r w:rsidRPr="00192C99">
        <w:rPr>
          <w:lang w:eastAsia="pt-BR"/>
        </w:rPr>
        <w:t>, 2013</w:t>
      </w:r>
    </w:p>
    <w:p w:rsidR="00E32574" w:rsidRPr="00565CCC" w:rsidRDefault="00147624" w:rsidP="00971B37">
      <w:pPr>
        <w:pStyle w:val="Titulo"/>
      </w:pPr>
      <w:bookmarkStart w:id="527" w:name="_Toc372559154"/>
      <w:bookmarkStart w:id="528" w:name="_Toc372789585"/>
      <w:r>
        <w:lastRenderedPageBreak/>
        <w:t>12.1</w:t>
      </w:r>
      <w:r w:rsidR="00302A16">
        <w:t>3</w:t>
      </w:r>
      <w:r>
        <w:t xml:space="preserve"> </w:t>
      </w:r>
      <w:r w:rsidR="00E32574" w:rsidRPr="00705554">
        <w:t>Indicadores</w:t>
      </w:r>
      <w:r w:rsidR="00E32574" w:rsidRPr="00565CCC">
        <w:t xml:space="preserve"> do Sistema de Esgotamento Sanitário</w:t>
      </w:r>
      <w:bookmarkEnd w:id="527"/>
      <w:bookmarkEnd w:id="528"/>
      <w:r w:rsidR="00E32574" w:rsidRPr="00565CCC">
        <w:t xml:space="preserve"> </w:t>
      </w:r>
    </w:p>
    <w:p w:rsidR="00E32574" w:rsidRDefault="00E32574" w:rsidP="00451981">
      <w:pPr>
        <w:spacing w:after="0" w:line="360" w:lineRule="auto"/>
        <w:ind w:firstLine="709"/>
        <w:jc w:val="both"/>
        <w:rPr>
          <w:lang w:eastAsia="pt-BR"/>
        </w:rPr>
      </w:pPr>
      <w:r w:rsidRPr="00565CCC">
        <w:rPr>
          <w:lang w:eastAsia="pt-BR"/>
        </w:rPr>
        <w:t xml:space="preserve">Os indicadores do sistema de </w:t>
      </w:r>
      <w:r>
        <w:rPr>
          <w:lang w:eastAsia="pt-BR"/>
        </w:rPr>
        <w:t xml:space="preserve">esgotamento sanitário (Tabela </w:t>
      </w:r>
      <w:r w:rsidR="00147624">
        <w:rPr>
          <w:lang w:eastAsia="pt-BR"/>
        </w:rPr>
        <w:t>1</w:t>
      </w:r>
      <w:r w:rsidR="00B87BA2">
        <w:rPr>
          <w:lang w:eastAsia="pt-BR"/>
        </w:rPr>
        <w:t>3</w:t>
      </w:r>
      <w:r w:rsidRPr="00565CCC">
        <w:rPr>
          <w:lang w:eastAsia="pt-BR"/>
        </w:rPr>
        <w:t>) permitem uma avaliação quanto ao atendimento deste serviço, podendo indicar o desenvolvimento do mesmo e ampliação, quando avaliado ao longo do tempo. Alguns índices como a duração média dos reparos e a ocorrência de extravasamentos permitem constatar anormalidades e a qualidade dos serviços prestados, uma vez que a frequência de ocorrência de alguns problemas e a necessidade de reparos, além do que é esperado como de manutenção normal, podem indicar a necessidade de readequação do sistema ou de algumas alterações técnicas e/ou administrativas.</w:t>
      </w:r>
    </w:p>
    <w:p w:rsidR="00E32574" w:rsidRPr="00451981" w:rsidRDefault="00B02273" w:rsidP="00B02273">
      <w:pPr>
        <w:pStyle w:val="Legenda"/>
        <w:rPr>
          <w:rFonts w:ascii="Arial" w:hAnsi="Arial" w:cs="Arial"/>
          <w:b w:val="0"/>
          <w:color w:val="000000"/>
          <w:sz w:val="20"/>
        </w:rPr>
      </w:pPr>
      <w:bookmarkStart w:id="529" w:name="_Toc372117306"/>
      <w:bookmarkStart w:id="530" w:name="_Toc372740361"/>
      <w:r>
        <w:t xml:space="preserve">Tabela </w:t>
      </w:r>
      <w:fldSimple w:instr=" SEQ Tabela \* ARABIC ">
        <w:r w:rsidR="004F77E2">
          <w:rPr>
            <w:noProof/>
          </w:rPr>
          <w:t>13</w:t>
        </w:r>
      </w:fldSimple>
      <w:r>
        <w:t xml:space="preserve"> - </w:t>
      </w:r>
      <w:r w:rsidRPr="00552A94">
        <w:rPr>
          <w:noProof/>
        </w:rPr>
        <w:t>Indicadores do sistema de esgotamento sanitário</w:t>
      </w:r>
      <w:r w:rsidR="00E32574" w:rsidRPr="00451981">
        <w:rPr>
          <w:b w:val="0"/>
        </w:rPr>
        <w:t>.</w:t>
      </w:r>
      <w:bookmarkEnd w:id="529"/>
      <w:bookmarkEnd w:id="530"/>
    </w:p>
    <w:tbl>
      <w:tblPr>
        <w:tblW w:w="9087" w:type="dxa"/>
        <w:tblLayout w:type="fixed"/>
        <w:tblLook w:val="0000" w:firstRow="0" w:lastRow="0" w:firstColumn="0" w:lastColumn="0" w:noHBand="0" w:noVBand="0"/>
      </w:tblPr>
      <w:tblGrid>
        <w:gridCol w:w="959"/>
        <w:gridCol w:w="3593"/>
        <w:gridCol w:w="3245"/>
        <w:gridCol w:w="1290"/>
      </w:tblGrid>
      <w:tr w:rsidR="00E32574" w:rsidRPr="005243F8" w:rsidTr="00E32574">
        <w:trPr>
          <w:trHeight w:val="385"/>
        </w:trPr>
        <w:tc>
          <w:tcPr>
            <w:tcW w:w="959" w:type="dxa"/>
            <w:tcBorders>
              <w:top w:val="single" w:sz="6" w:space="0" w:color="000000"/>
              <w:left w:val="single" w:sz="2" w:space="0" w:color="000000"/>
              <w:bottom w:val="single" w:sz="6" w:space="0" w:color="000000"/>
              <w:right w:val="single" w:sz="4" w:space="0" w:color="000000"/>
            </w:tcBorders>
            <w:shd w:val="clear" w:color="auto" w:fill="BFBFBF"/>
            <w:vAlign w:val="center"/>
          </w:tcPr>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b/>
                <w:bCs/>
                <w:sz w:val="22"/>
                <w:szCs w:val="22"/>
              </w:rPr>
              <w:t xml:space="preserve">SIGLA </w:t>
            </w:r>
          </w:p>
        </w:tc>
        <w:tc>
          <w:tcPr>
            <w:tcW w:w="3593" w:type="dxa"/>
            <w:tcBorders>
              <w:top w:val="single" w:sz="6" w:space="0" w:color="000000"/>
              <w:left w:val="single" w:sz="4" w:space="0" w:color="000000"/>
              <w:bottom w:val="single" w:sz="6" w:space="0" w:color="000000"/>
              <w:right w:val="single" w:sz="4" w:space="0" w:color="000000"/>
            </w:tcBorders>
            <w:shd w:val="clear" w:color="auto" w:fill="BFBFBF"/>
            <w:vAlign w:val="center"/>
          </w:tcPr>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b/>
                <w:bCs/>
                <w:sz w:val="22"/>
                <w:szCs w:val="22"/>
              </w:rPr>
              <w:t xml:space="preserve">NOME DO INDICADOR </w:t>
            </w:r>
          </w:p>
        </w:tc>
        <w:tc>
          <w:tcPr>
            <w:tcW w:w="3245" w:type="dxa"/>
            <w:tcBorders>
              <w:top w:val="single" w:sz="6" w:space="0" w:color="000000"/>
              <w:left w:val="single" w:sz="4" w:space="0" w:color="000000"/>
              <w:bottom w:val="single" w:sz="6" w:space="0" w:color="000000"/>
              <w:right w:val="single" w:sz="4" w:space="0" w:color="000000"/>
            </w:tcBorders>
            <w:shd w:val="clear" w:color="auto" w:fill="BFBFBF"/>
            <w:vAlign w:val="center"/>
          </w:tcPr>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b/>
                <w:bCs/>
                <w:sz w:val="22"/>
                <w:szCs w:val="22"/>
              </w:rPr>
              <w:t>FÓRMULA</w:t>
            </w:r>
          </w:p>
        </w:tc>
        <w:tc>
          <w:tcPr>
            <w:tcW w:w="1290" w:type="dxa"/>
            <w:tcBorders>
              <w:top w:val="single" w:sz="6" w:space="0" w:color="000000"/>
              <w:left w:val="single" w:sz="4" w:space="0" w:color="000000"/>
              <w:bottom w:val="single" w:sz="6" w:space="0" w:color="000000"/>
              <w:right w:val="single" w:sz="2" w:space="0" w:color="000000"/>
            </w:tcBorders>
            <w:shd w:val="clear" w:color="auto" w:fill="BFBFBF"/>
            <w:vAlign w:val="center"/>
          </w:tcPr>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b/>
                <w:bCs/>
                <w:sz w:val="22"/>
                <w:szCs w:val="22"/>
              </w:rPr>
              <w:t xml:space="preserve">VALOR </w:t>
            </w:r>
          </w:p>
        </w:tc>
      </w:tr>
      <w:tr w:rsidR="00E32574" w:rsidRPr="005243F8" w:rsidTr="00E32574">
        <w:trPr>
          <w:trHeight w:val="740"/>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E1 </w:t>
            </w:r>
          </w:p>
        </w:tc>
        <w:tc>
          <w:tcPr>
            <w:tcW w:w="3593"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Índice de Coleta de Esgoto </w:t>
            </w: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spacing w:before="120" w:after="120" w:line="240" w:lineRule="auto"/>
              <w:jc w:val="center"/>
              <w:rPr>
                <w:u w:val="single"/>
              </w:rPr>
            </w:pPr>
            <w:r w:rsidRPr="005243F8">
              <w:rPr>
                <w:u w:val="single"/>
              </w:rPr>
              <w:t>Volume de Esgoto Coletado</w:t>
            </w:r>
          </w:p>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sz w:val="22"/>
                <w:szCs w:val="22"/>
              </w:rPr>
              <w:t>Volume de Água Consumido</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52,10 %</w:t>
            </w:r>
          </w:p>
        </w:tc>
      </w:tr>
      <w:tr w:rsidR="00E32574" w:rsidRPr="005243F8" w:rsidTr="00E32574">
        <w:trPr>
          <w:trHeight w:val="552"/>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E2 </w:t>
            </w:r>
          </w:p>
        </w:tc>
        <w:tc>
          <w:tcPr>
            <w:tcW w:w="3593"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Índice de Tratamento de Esgoto </w:t>
            </w: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spacing w:before="120" w:after="120" w:line="240" w:lineRule="auto"/>
              <w:jc w:val="center"/>
              <w:rPr>
                <w:u w:val="single"/>
              </w:rPr>
            </w:pPr>
            <w:r w:rsidRPr="005243F8">
              <w:rPr>
                <w:u w:val="single"/>
              </w:rPr>
              <w:t>Volume de Esgoto Tratado</w:t>
            </w:r>
          </w:p>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sz w:val="22"/>
                <w:szCs w:val="22"/>
              </w:rPr>
              <w:t>Volume de Esgoto Coletado</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64,99 %</w:t>
            </w:r>
          </w:p>
        </w:tc>
      </w:tr>
      <w:tr w:rsidR="00E32574" w:rsidRPr="005243F8" w:rsidTr="00E32574">
        <w:trPr>
          <w:trHeight w:val="700"/>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E3 </w:t>
            </w:r>
          </w:p>
        </w:tc>
        <w:tc>
          <w:tcPr>
            <w:tcW w:w="3593"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Índice de Atendimento Urbano de Coleta de Esgoto </w:t>
            </w: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sz w:val="22"/>
                <w:szCs w:val="22"/>
              </w:rPr>
              <w:t>[População Urbana Atendida com Rede de Esgoto / População Urbana do Município]*100</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52,10 %</w:t>
            </w:r>
          </w:p>
        </w:tc>
      </w:tr>
      <w:tr w:rsidR="00E32574" w:rsidRPr="005243F8" w:rsidTr="00E32574">
        <w:trPr>
          <w:trHeight w:val="930"/>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E4 </w:t>
            </w:r>
          </w:p>
        </w:tc>
        <w:tc>
          <w:tcPr>
            <w:tcW w:w="3593"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Índice de Atendimento Urbano com Coleta e Tratamento de Esgoto </w:t>
            </w: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sz w:val="22"/>
                <w:szCs w:val="22"/>
              </w:rPr>
              <w:t>[População Urbana Atendida com Rede de Coleta e Tratamento de Esgoto / População Urbana do Município]*100</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64,99 %</w:t>
            </w:r>
          </w:p>
        </w:tc>
      </w:tr>
      <w:tr w:rsidR="00E32574" w:rsidRPr="005243F8" w:rsidTr="00E32574">
        <w:trPr>
          <w:trHeight w:val="930"/>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E5 </w:t>
            </w:r>
          </w:p>
        </w:tc>
        <w:tc>
          <w:tcPr>
            <w:tcW w:w="3593"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Índice de Consumo de Energia Elétrica em Sistemas de Tratamento de Esgoto </w:t>
            </w: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sz w:val="22"/>
                <w:szCs w:val="22"/>
              </w:rPr>
              <w:t>Consumo Total de Energia Elétrica em Sistema de Tratamento de Esgoto / Volume de Esgoto Coletado</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1,58 Kwh/ m3</w:t>
            </w:r>
          </w:p>
        </w:tc>
      </w:tr>
      <w:tr w:rsidR="00E32574" w:rsidRPr="005243F8" w:rsidTr="00E32574">
        <w:trPr>
          <w:trHeight w:val="700"/>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E6 </w:t>
            </w:r>
          </w:p>
        </w:tc>
        <w:tc>
          <w:tcPr>
            <w:tcW w:w="3593" w:type="dxa"/>
            <w:tcBorders>
              <w:top w:val="single" w:sz="6" w:space="0" w:color="000000"/>
              <w:left w:val="single" w:sz="4" w:space="0" w:color="000000"/>
              <w:bottom w:val="single" w:sz="6" w:space="0" w:color="000000"/>
              <w:right w:val="single" w:sz="4" w:space="0" w:color="000000"/>
            </w:tcBorders>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Eficiência de Remoção de DBO no Sistema de Tratamento de Esgoto em Funcionamento </w:t>
            </w: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sz w:val="22"/>
                <w:szCs w:val="22"/>
              </w:rPr>
              <w:t>[(DBOinicial -DBOfinal) / DBOinicial)]*100</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81,36 %</w:t>
            </w:r>
          </w:p>
        </w:tc>
      </w:tr>
      <w:tr w:rsidR="00E32574" w:rsidRPr="005243F8" w:rsidTr="00E32574">
        <w:trPr>
          <w:trHeight w:val="1387"/>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E7 </w:t>
            </w:r>
          </w:p>
        </w:tc>
        <w:tc>
          <w:tcPr>
            <w:tcW w:w="3593"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Eficiência de Remoção de Coliformes Termotolerantes no Tratamento de Esgoto </w:t>
            </w: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sz w:val="22"/>
                <w:szCs w:val="22"/>
              </w:rPr>
              <w:t>[(Concentração Inicial de Coliformes Termotolerantes -Concentração Final de Coliformes Termotolerantes) / Concentração Inicial de Coliformes Termotolerantes)]*100</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w:t>
            </w:r>
          </w:p>
        </w:tc>
      </w:tr>
      <w:tr w:rsidR="00E32574" w:rsidRPr="005243F8" w:rsidTr="00E32574">
        <w:trPr>
          <w:trHeight w:val="1392"/>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lastRenderedPageBreak/>
              <w:t xml:space="preserve">E8 </w:t>
            </w:r>
          </w:p>
        </w:tc>
        <w:tc>
          <w:tcPr>
            <w:tcW w:w="3593"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 xml:space="preserve">Incidência de Amostras na Saída do Tratamento de Esgoto Fora do Padrão </w:t>
            </w: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sz w:val="22"/>
                <w:szCs w:val="22"/>
              </w:rPr>
              <w:t>[Quantidade de Amostras do Efluente da Saída do Tratamento de Esgoto Fora do Padrão / Quantidade Total de Amostras do Efluente da Saída do Tratamento de Esgoto]*100</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8,33 %</w:t>
            </w:r>
          </w:p>
        </w:tc>
      </w:tr>
      <w:tr w:rsidR="00E32574" w:rsidRPr="005243F8" w:rsidTr="00E32574">
        <w:trPr>
          <w:trHeight w:val="1392"/>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E9</w:t>
            </w:r>
          </w:p>
        </w:tc>
        <w:tc>
          <w:tcPr>
            <w:tcW w:w="3593"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Participação da Rec.Operac.de Esgoto na Rec.Oper,Total</w:t>
            </w: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spacing w:before="120" w:after="120" w:line="240" w:lineRule="auto"/>
              <w:jc w:val="center"/>
              <w:rPr>
                <w:u w:val="single"/>
              </w:rPr>
            </w:pPr>
            <w:r w:rsidRPr="005243F8">
              <w:rPr>
                <w:u w:val="single"/>
              </w:rPr>
              <w:t>Receita Operacional Direta Esgoto</w:t>
            </w:r>
          </w:p>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sz w:val="22"/>
                <w:szCs w:val="22"/>
              </w:rPr>
              <w:t>Receita Operacional</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29,23 %</w:t>
            </w:r>
          </w:p>
        </w:tc>
      </w:tr>
      <w:tr w:rsidR="00E32574" w:rsidRPr="005243F8" w:rsidTr="00E32574">
        <w:trPr>
          <w:trHeight w:val="1392"/>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E10</w:t>
            </w:r>
          </w:p>
        </w:tc>
        <w:tc>
          <w:tcPr>
            <w:tcW w:w="3593" w:type="dxa"/>
            <w:tcBorders>
              <w:top w:val="single" w:sz="6" w:space="0" w:color="000000"/>
              <w:left w:val="single" w:sz="4" w:space="0" w:color="000000"/>
              <w:bottom w:val="single" w:sz="6" w:space="0" w:color="000000"/>
              <w:right w:val="single" w:sz="4" w:space="0" w:color="000000"/>
            </w:tcBorders>
            <w:vAlign w:val="center"/>
          </w:tcPr>
          <w:p w:rsidR="00E32574" w:rsidRDefault="00E32574" w:rsidP="00451981">
            <w:pPr>
              <w:pStyle w:val="Ttulo4"/>
              <w:spacing w:before="120" w:after="120"/>
              <w:rPr>
                <w:sz w:val="22"/>
                <w:szCs w:val="22"/>
                <w:lang w:val="pt-BR"/>
              </w:rPr>
            </w:pPr>
            <w:r w:rsidRPr="00D1444E">
              <w:rPr>
                <w:sz w:val="22"/>
                <w:szCs w:val="22"/>
                <w:lang w:val="pt-BR"/>
              </w:rPr>
              <w:t>Tarifa Média de Esgoto</w:t>
            </w:r>
          </w:p>
          <w:p w:rsidR="00E32574" w:rsidRPr="005243F8" w:rsidRDefault="00F67507" w:rsidP="00451981">
            <w:pPr>
              <w:pStyle w:val="Default"/>
              <w:spacing w:before="120" w:after="120"/>
              <w:jc w:val="center"/>
              <w:rPr>
                <w:rFonts w:ascii="Times New Roman" w:hAnsi="Times New Roman" w:cs="Times New Roman"/>
                <w:sz w:val="22"/>
                <w:szCs w:val="22"/>
              </w:rPr>
            </w:pPr>
            <w:r w:rsidRPr="00E64A13">
              <w:rPr>
                <w:b/>
                <w:sz w:val="20"/>
                <w:szCs w:val="20"/>
              </w:rPr>
              <w:t>(Foram utilizados dados secundários, pois o SAAE</w:t>
            </w:r>
            <w:r>
              <w:rPr>
                <w:b/>
                <w:sz w:val="20"/>
                <w:szCs w:val="20"/>
              </w:rPr>
              <w:t>- Aimorés</w:t>
            </w:r>
            <w:r w:rsidRPr="00E64A13">
              <w:rPr>
                <w:b/>
                <w:sz w:val="20"/>
                <w:szCs w:val="20"/>
              </w:rPr>
              <w:t xml:space="preserve"> não forneceu a tabela de formação desta tarifa</w:t>
            </w:r>
            <w:r>
              <w:rPr>
                <w:b/>
                <w:sz w:val="20"/>
                <w:szCs w:val="20"/>
              </w:rPr>
              <w:t xml:space="preserve"> de Esgoto</w:t>
            </w:r>
            <w:r w:rsidRPr="00E64A13">
              <w:rPr>
                <w:b/>
                <w:sz w:val="20"/>
                <w:szCs w:val="20"/>
              </w:rPr>
              <w:t>).</w:t>
            </w: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spacing w:before="120" w:after="120" w:line="240" w:lineRule="auto"/>
              <w:jc w:val="center"/>
              <w:rPr>
                <w:u w:val="single"/>
              </w:rPr>
            </w:pPr>
            <w:r w:rsidRPr="005243F8">
              <w:rPr>
                <w:u w:val="single"/>
              </w:rPr>
              <w:t>Receita Operacional Direta Esgoto</w:t>
            </w:r>
          </w:p>
          <w:p w:rsidR="00E32574" w:rsidRPr="005243F8" w:rsidRDefault="00E32574" w:rsidP="00451981">
            <w:pPr>
              <w:pStyle w:val="Default"/>
              <w:spacing w:before="120" w:after="120"/>
              <w:jc w:val="center"/>
              <w:rPr>
                <w:rFonts w:ascii="Times New Roman" w:hAnsi="Times New Roman" w:cs="Times New Roman"/>
                <w:sz w:val="22"/>
                <w:szCs w:val="22"/>
              </w:rPr>
            </w:pPr>
            <w:r w:rsidRPr="005243F8">
              <w:rPr>
                <w:rFonts w:ascii="Times New Roman" w:hAnsi="Times New Roman" w:cs="Times New Roman"/>
                <w:sz w:val="22"/>
                <w:szCs w:val="22"/>
              </w:rPr>
              <w:t>Volume de Esgoto Faturado</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1,82 R$ / m</w:t>
            </w:r>
            <w:r w:rsidRPr="005243F8">
              <w:rPr>
                <w:rFonts w:ascii="Times New Roman" w:hAnsi="Times New Roman" w:cs="Times New Roman"/>
                <w:b/>
                <w:sz w:val="22"/>
                <w:szCs w:val="22"/>
                <w:vertAlign w:val="superscript"/>
              </w:rPr>
              <w:t>3</w:t>
            </w:r>
          </w:p>
        </w:tc>
      </w:tr>
      <w:tr w:rsidR="00E32574" w:rsidRPr="005243F8" w:rsidTr="00E32574">
        <w:trPr>
          <w:trHeight w:val="1392"/>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E11</w:t>
            </w:r>
          </w:p>
        </w:tc>
        <w:tc>
          <w:tcPr>
            <w:tcW w:w="3593" w:type="dxa"/>
            <w:tcBorders>
              <w:top w:val="single" w:sz="6" w:space="0" w:color="000000"/>
              <w:left w:val="single" w:sz="4" w:space="0" w:color="000000"/>
              <w:bottom w:val="single" w:sz="6" w:space="0" w:color="000000"/>
              <w:right w:val="single" w:sz="4" w:space="0" w:color="000000"/>
            </w:tcBorders>
            <w:vAlign w:val="center"/>
          </w:tcPr>
          <w:p w:rsidR="00E32574" w:rsidRPr="00D1444E" w:rsidRDefault="00E32574" w:rsidP="00451981">
            <w:pPr>
              <w:pStyle w:val="Ttulo4"/>
              <w:spacing w:before="120" w:after="120"/>
              <w:rPr>
                <w:sz w:val="22"/>
                <w:szCs w:val="22"/>
                <w:lang w:val="pt-BR"/>
              </w:rPr>
            </w:pPr>
            <w:r w:rsidRPr="00D1444E">
              <w:rPr>
                <w:sz w:val="22"/>
                <w:szCs w:val="22"/>
                <w:lang w:val="pt-BR"/>
              </w:rPr>
              <w:t>Tempo médio de ligação de esgoto</w:t>
            </w:r>
          </w:p>
          <w:p w:rsidR="00E32574" w:rsidRPr="00D1444E" w:rsidRDefault="00E32574" w:rsidP="00451981">
            <w:pPr>
              <w:pStyle w:val="Ttulo4"/>
              <w:spacing w:before="120" w:after="120"/>
              <w:rPr>
                <w:sz w:val="22"/>
                <w:szCs w:val="22"/>
                <w:lang w:val="pt-BR"/>
              </w:rPr>
            </w:pP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spacing w:before="120" w:after="120" w:line="240" w:lineRule="auto"/>
              <w:jc w:val="center"/>
              <w:rPr>
                <w:u w:val="single"/>
              </w:rPr>
            </w:pPr>
            <w:r w:rsidRPr="005243F8">
              <w:rPr>
                <w:u w:val="single"/>
              </w:rPr>
              <w:sym w:font="Symbol" w:char="F0E5"/>
            </w:r>
            <w:r w:rsidRPr="005243F8">
              <w:rPr>
                <w:u w:val="single"/>
              </w:rPr>
              <w:t xml:space="preserve"> Tempo em horas para ligação de esgoto</w:t>
            </w:r>
          </w:p>
          <w:p w:rsidR="00E32574" w:rsidRPr="005243F8" w:rsidRDefault="00E32574" w:rsidP="00451981">
            <w:pPr>
              <w:spacing w:before="120" w:after="120" w:line="240" w:lineRule="auto"/>
              <w:jc w:val="center"/>
              <w:rPr>
                <w:u w:val="single"/>
              </w:rPr>
            </w:pPr>
            <w:r w:rsidRPr="005243F8">
              <w:t xml:space="preserve">N </w:t>
            </w:r>
            <w:r w:rsidRPr="005243F8">
              <w:sym w:font="Symbol" w:char="F0B0"/>
            </w:r>
            <w:r w:rsidRPr="005243F8">
              <w:t xml:space="preserve">  ligações de esgoto realizadas</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spacing w:before="120" w:after="120" w:line="240" w:lineRule="auto"/>
              <w:jc w:val="center"/>
              <w:rPr>
                <w:b/>
              </w:rPr>
            </w:pPr>
            <w:r w:rsidRPr="005243F8">
              <w:rPr>
                <w:b/>
              </w:rPr>
              <w:t>1,80 Horas/lig.</w:t>
            </w:r>
          </w:p>
          <w:p w:rsidR="00E32574" w:rsidRPr="005243F8" w:rsidRDefault="00E32574" w:rsidP="00451981">
            <w:pPr>
              <w:pStyle w:val="Default"/>
              <w:spacing w:before="120" w:after="120"/>
              <w:jc w:val="center"/>
              <w:rPr>
                <w:rFonts w:ascii="Times New Roman" w:hAnsi="Times New Roman" w:cs="Times New Roman"/>
                <w:b/>
                <w:sz w:val="22"/>
                <w:szCs w:val="22"/>
              </w:rPr>
            </w:pPr>
          </w:p>
        </w:tc>
      </w:tr>
      <w:tr w:rsidR="00E32574" w:rsidRPr="005243F8" w:rsidTr="00E32574">
        <w:trPr>
          <w:trHeight w:val="1392"/>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E12</w:t>
            </w:r>
          </w:p>
        </w:tc>
        <w:tc>
          <w:tcPr>
            <w:tcW w:w="3593" w:type="dxa"/>
            <w:tcBorders>
              <w:top w:val="single" w:sz="6" w:space="0" w:color="000000"/>
              <w:left w:val="single" w:sz="4" w:space="0" w:color="000000"/>
              <w:bottom w:val="single" w:sz="6" w:space="0" w:color="000000"/>
              <w:right w:val="single" w:sz="4" w:space="0" w:color="000000"/>
            </w:tcBorders>
            <w:vAlign w:val="center"/>
          </w:tcPr>
          <w:p w:rsidR="00E32574" w:rsidRPr="00D1444E" w:rsidRDefault="00E32574" w:rsidP="00451981">
            <w:pPr>
              <w:pStyle w:val="Ttulo4"/>
              <w:spacing w:before="120" w:after="120"/>
              <w:rPr>
                <w:sz w:val="22"/>
                <w:szCs w:val="22"/>
                <w:lang w:val="pt-BR"/>
              </w:rPr>
            </w:pPr>
            <w:r w:rsidRPr="00D1444E">
              <w:rPr>
                <w:sz w:val="22"/>
                <w:szCs w:val="22"/>
                <w:lang w:val="pt-BR"/>
              </w:rPr>
              <w:t>Extravasamento de Esgoto por Extensão de Rede</w:t>
            </w: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spacing w:before="120" w:after="120" w:line="240" w:lineRule="auto"/>
              <w:jc w:val="center"/>
              <w:rPr>
                <w:u w:val="single"/>
              </w:rPr>
            </w:pPr>
            <w:r w:rsidRPr="005243F8">
              <w:rPr>
                <w:u w:val="single"/>
              </w:rPr>
              <w:t>Quantidade de Extravasamentos de Esgotos Registrados</w:t>
            </w:r>
          </w:p>
          <w:p w:rsidR="00E32574" w:rsidRPr="005243F8" w:rsidRDefault="00E32574" w:rsidP="00451981">
            <w:pPr>
              <w:spacing w:before="120" w:after="120" w:line="240" w:lineRule="auto"/>
              <w:jc w:val="center"/>
              <w:rPr>
                <w:u w:val="single"/>
              </w:rPr>
            </w:pPr>
            <w:r w:rsidRPr="005243F8">
              <w:t>Extensão da Rede de Esgoto</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21,93 Extravas. / Km</w:t>
            </w:r>
          </w:p>
        </w:tc>
      </w:tr>
      <w:tr w:rsidR="00E32574" w:rsidRPr="005243F8" w:rsidTr="00E32574">
        <w:trPr>
          <w:trHeight w:val="1392"/>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E13</w:t>
            </w:r>
          </w:p>
        </w:tc>
        <w:tc>
          <w:tcPr>
            <w:tcW w:w="3593" w:type="dxa"/>
            <w:tcBorders>
              <w:top w:val="single" w:sz="6" w:space="0" w:color="000000"/>
              <w:left w:val="single" w:sz="4" w:space="0" w:color="000000"/>
              <w:bottom w:val="single" w:sz="6" w:space="0" w:color="000000"/>
              <w:right w:val="single" w:sz="4" w:space="0" w:color="000000"/>
            </w:tcBorders>
            <w:vAlign w:val="center"/>
          </w:tcPr>
          <w:p w:rsidR="00E32574" w:rsidRPr="00D1444E" w:rsidRDefault="00E32574" w:rsidP="00451981">
            <w:pPr>
              <w:pStyle w:val="Ttulo4"/>
              <w:spacing w:before="120" w:after="120"/>
              <w:rPr>
                <w:sz w:val="22"/>
                <w:szCs w:val="22"/>
                <w:lang w:val="pt-BR"/>
              </w:rPr>
            </w:pPr>
            <w:r w:rsidRPr="00D1444E">
              <w:rPr>
                <w:sz w:val="22"/>
                <w:szCs w:val="22"/>
                <w:lang w:val="pt-BR"/>
              </w:rPr>
              <w:t>Índice de Esgoto Tratado Referido à Água Consumida</w:t>
            </w: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spacing w:before="120" w:after="120" w:line="240" w:lineRule="auto"/>
              <w:jc w:val="center"/>
              <w:rPr>
                <w:u w:val="single"/>
              </w:rPr>
            </w:pPr>
            <w:r w:rsidRPr="005243F8">
              <w:rPr>
                <w:u w:val="single"/>
              </w:rPr>
              <w:t>Volume de Esgoto Tratado</w:t>
            </w:r>
          </w:p>
          <w:p w:rsidR="00E32574" w:rsidRPr="005243F8" w:rsidRDefault="00E32574" w:rsidP="00451981">
            <w:pPr>
              <w:spacing w:before="120" w:after="120" w:line="240" w:lineRule="auto"/>
              <w:jc w:val="center"/>
              <w:rPr>
                <w:u w:val="single"/>
              </w:rPr>
            </w:pPr>
            <w:r w:rsidRPr="005243F8">
              <w:t>Volume de Água Consumido</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33,86 %</w:t>
            </w:r>
          </w:p>
        </w:tc>
      </w:tr>
      <w:tr w:rsidR="00E32574" w:rsidRPr="005243F8" w:rsidTr="00E32574">
        <w:trPr>
          <w:trHeight w:val="1392"/>
        </w:trPr>
        <w:tc>
          <w:tcPr>
            <w:tcW w:w="959" w:type="dxa"/>
            <w:tcBorders>
              <w:top w:val="single" w:sz="6" w:space="0" w:color="000000"/>
              <w:left w:val="single" w:sz="2" w:space="0" w:color="000000"/>
              <w:bottom w:val="single" w:sz="6" w:space="0" w:color="000000"/>
              <w:right w:val="single" w:sz="4"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E14</w:t>
            </w:r>
          </w:p>
        </w:tc>
        <w:tc>
          <w:tcPr>
            <w:tcW w:w="3593" w:type="dxa"/>
            <w:tcBorders>
              <w:top w:val="single" w:sz="6" w:space="0" w:color="000000"/>
              <w:left w:val="single" w:sz="4" w:space="0" w:color="000000"/>
              <w:bottom w:val="single" w:sz="6" w:space="0" w:color="000000"/>
              <w:right w:val="single" w:sz="4" w:space="0" w:color="000000"/>
            </w:tcBorders>
            <w:vAlign w:val="center"/>
          </w:tcPr>
          <w:p w:rsidR="00E32574" w:rsidRPr="00D1444E" w:rsidRDefault="00E32574" w:rsidP="00451981">
            <w:pPr>
              <w:pStyle w:val="Ttulo4"/>
              <w:spacing w:before="120" w:after="120"/>
              <w:rPr>
                <w:sz w:val="22"/>
                <w:szCs w:val="22"/>
                <w:lang w:val="pt-BR"/>
              </w:rPr>
            </w:pPr>
            <w:r w:rsidRPr="00D1444E">
              <w:rPr>
                <w:sz w:val="22"/>
                <w:szCs w:val="22"/>
                <w:lang w:val="pt-BR"/>
              </w:rPr>
              <w:t>Índice de eficiência da ETE</w:t>
            </w:r>
          </w:p>
          <w:p w:rsidR="00E32574" w:rsidRPr="00D1444E" w:rsidRDefault="00E32574" w:rsidP="00451981">
            <w:pPr>
              <w:pStyle w:val="Ttulo4"/>
              <w:spacing w:before="120" w:after="120"/>
              <w:rPr>
                <w:sz w:val="22"/>
                <w:szCs w:val="22"/>
                <w:lang w:val="pt-BR"/>
              </w:rPr>
            </w:pPr>
          </w:p>
        </w:tc>
        <w:tc>
          <w:tcPr>
            <w:tcW w:w="3245" w:type="dxa"/>
            <w:tcBorders>
              <w:top w:val="single" w:sz="6" w:space="0" w:color="000000"/>
              <w:left w:val="single" w:sz="4" w:space="0" w:color="000000"/>
              <w:bottom w:val="single" w:sz="6" w:space="0" w:color="000000"/>
              <w:right w:val="single" w:sz="4" w:space="0" w:color="000000"/>
            </w:tcBorders>
            <w:vAlign w:val="center"/>
          </w:tcPr>
          <w:p w:rsidR="00E32574" w:rsidRPr="005243F8" w:rsidRDefault="00E32574" w:rsidP="00451981">
            <w:pPr>
              <w:spacing w:before="120" w:after="120" w:line="240" w:lineRule="auto"/>
              <w:jc w:val="center"/>
              <w:rPr>
                <w:u w:val="single"/>
              </w:rPr>
            </w:pPr>
            <w:r w:rsidRPr="005243F8">
              <w:rPr>
                <w:u w:val="single"/>
              </w:rPr>
              <w:t>DBO Afluente- DBO Efluente</w:t>
            </w:r>
          </w:p>
          <w:p w:rsidR="00E32574" w:rsidRPr="005243F8" w:rsidRDefault="00E32574" w:rsidP="00451981">
            <w:pPr>
              <w:spacing w:before="120" w:after="120" w:line="240" w:lineRule="auto"/>
              <w:jc w:val="center"/>
              <w:rPr>
                <w:u w:val="single"/>
              </w:rPr>
            </w:pPr>
            <w:r w:rsidRPr="005243F8">
              <w:t>DBO Afluente</w:t>
            </w:r>
          </w:p>
        </w:tc>
        <w:tc>
          <w:tcPr>
            <w:tcW w:w="1290" w:type="dxa"/>
            <w:tcBorders>
              <w:top w:val="single" w:sz="6" w:space="0" w:color="000000"/>
              <w:left w:val="single" w:sz="4" w:space="0" w:color="000000"/>
              <w:bottom w:val="single" w:sz="6" w:space="0" w:color="000000"/>
              <w:right w:val="single" w:sz="2" w:space="0" w:color="000000"/>
            </w:tcBorders>
            <w:vAlign w:val="center"/>
          </w:tcPr>
          <w:p w:rsidR="00E32574" w:rsidRPr="005243F8" w:rsidRDefault="00E32574" w:rsidP="00451981">
            <w:pPr>
              <w:pStyle w:val="Default"/>
              <w:spacing w:before="120" w:after="120"/>
              <w:jc w:val="center"/>
              <w:rPr>
                <w:rFonts w:ascii="Times New Roman" w:hAnsi="Times New Roman" w:cs="Times New Roman"/>
                <w:b/>
                <w:sz w:val="22"/>
                <w:szCs w:val="22"/>
              </w:rPr>
            </w:pPr>
            <w:r w:rsidRPr="005243F8">
              <w:rPr>
                <w:rFonts w:ascii="Times New Roman" w:hAnsi="Times New Roman" w:cs="Times New Roman"/>
                <w:b/>
                <w:sz w:val="22"/>
                <w:szCs w:val="22"/>
              </w:rPr>
              <w:t>81,36 %</w:t>
            </w:r>
          </w:p>
        </w:tc>
      </w:tr>
    </w:tbl>
    <w:p w:rsidR="00E32574" w:rsidRPr="00451981" w:rsidRDefault="00451981" w:rsidP="00E32574">
      <w:pPr>
        <w:rPr>
          <w:rFonts w:cs="Times New Roman"/>
          <w:sz w:val="20"/>
          <w:szCs w:val="20"/>
        </w:rPr>
      </w:pPr>
      <w:r w:rsidRPr="00451981">
        <w:rPr>
          <w:rFonts w:cs="Times New Roman"/>
          <w:sz w:val="20"/>
          <w:szCs w:val="20"/>
        </w:rPr>
        <w:t>Fonte: Fundação Educacional de Caratinga, 2013.</w:t>
      </w:r>
    </w:p>
    <w:p w:rsidR="00E32574" w:rsidRDefault="00E32574" w:rsidP="00E32574">
      <w:pPr>
        <w:rPr>
          <w:b/>
          <w:bCs/>
          <w:color w:val="000000"/>
        </w:rPr>
      </w:pPr>
      <w:r>
        <w:rPr>
          <w:b/>
          <w:bCs/>
          <w:color w:val="000000"/>
        </w:rPr>
        <w:br w:type="page"/>
      </w:r>
    </w:p>
    <w:p w:rsidR="00E32574" w:rsidRDefault="00451981" w:rsidP="00971B37">
      <w:pPr>
        <w:pStyle w:val="Titulo"/>
      </w:pPr>
      <w:bookmarkStart w:id="531" w:name="_Toc372559155"/>
      <w:bookmarkStart w:id="532" w:name="_Toc372789586"/>
      <w:r>
        <w:lastRenderedPageBreak/>
        <w:t>12.1</w:t>
      </w:r>
      <w:r w:rsidR="00302A16">
        <w:t>4</w:t>
      </w:r>
      <w:r>
        <w:t xml:space="preserve"> </w:t>
      </w:r>
      <w:r w:rsidR="00E32574" w:rsidRPr="00565CCC">
        <w:t>Considerações</w:t>
      </w:r>
      <w:bookmarkEnd w:id="531"/>
      <w:bookmarkEnd w:id="532"/>
      <w:r w:rsidR="00E32574" w:rsidRPr="00565CCC">
        <w:t xml:space="preserve"> </w:t>
      </w:r>
    </w:p>
    <w:p w:rsidR="00E32574" w:rsidRPr="008D43D2" w:rsidRDefault="00E32574" w:rsidP="0053477A">
      <w:pPr>
        <w:pStyle w:val="PargrafodaLista"/>
        <w:numPr>
          <w:ilvl w:val="0"/>
          <w:numId w:val="36"/>
        </w:numPr>
        <w:spacing w:after="0" w:line="360" w:lineRule="auto"/>
        <w:ind w:left="567" w:hanging="283"/>
        <w:jc w:val="both"/>
        <w:rPr>
          <w:lang w:eastAsia="pt-BR"/>
        </w:rPr>
      </w:pPr>
      <w:r w:rsidRPr="008D43D2">
        <w:rPr>
          <w:lang w:eastAsia="pt-BR"/>
        </w:rPr>
        <w:t>O Plano Municipal de Saneamento Básico deve buscar a plenitude de seus componentes, a Drenagem Urbana, o Esgotamento Sanitário, o Abastecimento de Água, os Resíduos Sólidos. Para alcançar alguns fatores que são fundamentais para plenitude dos serviços deve-se:</w:t>
      </w:r>
    </w:p>
    <w:p w:rsidR="00E32574" w:rsidRPr="008D43D2" w:rsidRDefault="00E32574" w:rsidP="0053477A">
      <w:pPr>
        <w:pStyle w:val="PargrafodaLista"/>
        <w:numPr>
          <w:ilvl w:val="0"/>
          <w:numId w:val="36"/>
        </w:numPr>
        <w:spacing w:after="0" w:line="360" w:lineRule="auto"/>
        <w:ind w:left="567" w:hanging="283"/>
        <w:jc w:val="both"/>
        <w:rPr>
          <w:lang w:eastAsia="pt-BR"/>
        </w:rPr>
      </w:pPr>
      <w:r w:rsidRPr="008D43D2">
        <w:rPr>
          <w:lang w:eastAsia="pt-BR"/>
        </w:rPr>
        <w:t>Planejar com mais eficácia as atividades relacionadas à drenagem, melhorando a estrutura física do setor, o quadro funcional, os equipamentos para melhorar o atendimento ao público;</w:t>
      </w:r>
    </w:p>
    <w:p w:rsidR="00E32574" w:rsidRPr="008D43D2" w:rsidRDefault="00E32574" w:rsidP="0053477A">
      <w:pPr>
        <w:pStyle w:val="PargrafodaLista"/>
        <w:numPr>
          <w:ilvl w:val="0"/>
          <w:numId w:val="36"/>
        </w:numPr>
        <w:spacing w:after="0" w:line="360" w:lineRule="auto"/>
        <w:ind w:left="567" w:hanging="283"/>
        <w:jc w:val="both"/>
        <w:rPr>
          <w:lang w:eastAsia="pt-BR"/>
        </w:rPr>
      </w:pPr>
      <w:r w:rsidRPr="008D43D2">
        <w:rPr>
          <w:lang w:eastAsia="pt-BR"/>
        </w:rPr>
        <w:t>Necessita de uma base cartográfica de Aimorés sede e de todos os distritos, para que se possa dimensionar o sistema de drenagem urbana e os outros componentes do Plano Municipal de Saneamento Básico;</w:t>
      </w:r>
    </w:p>
    <w:p w:rsidR="00E32574" w:rsidRPr="008D43D2" w:rsidRDefault="00E32574" w:rsidP="0053477A">
      <w:pPr>
        <w:pStyle w:val="PargrafodaLista"/>
        <w:numPr>
          <w:ilvl w:val="0"/>
          <w:numId w:val="36"/>
        </w:numPr>
        <w:spacing w:after="0" w:line="360" w:lineRule="auto"/>
        <w:ind w:left="567" w:hanging="283"/>
        <w:jc w:val="both"/>
        <w:rPr>
          <w:lang w:eastAsia="pt-BR"/>
        </w:rPr>
      </w:pPr>
      <w:r w:rsidRPr="008D43D2">
        <w:rPr>
          <w:lang w:eastAsia="pt-BR"/>
        </w:rPr>
        <w:t>Aquisição de equipamentos para limpeza e manutenção das redes de drenagem;</w:t>
      </w:r>
    </w:p>
    <w:p w:rsidR="00E32574" w:rsidRPr="008D43D2" w:rsidRDefault="00E32574" w:rsidP="0053477A">
      <w:pPr>
        <w:pStyle w:val="PargrafodaLista"/>
        <w:numPr>
          <w:ilvl w:val="0"/>
          <w:numId w:val="36"/>
        </w:numPr>
        <w:spacing w:after="0" w:line="360" w:lineRule="auto"/>
        <w:ind w:left="567" w:hanging="283"/>
        <w:jc w:val="both"/>
        <w:rPr>
          <w:lang w:eastAsia="pt-BR"/>
        </w:rPr>
      </w:pPr>
      <w:r w:rsidRPr="008D43D2">
        <w:rPr>
          <w:lang w:eastAsia="pt-BR"/>
        </w:rPr>
        <w:t>Regularização das ocupações e loteamentos irregulares;</w:t>
      </w:r>
    </w:p>
    <w:p w:rsidR="00E32574" w:rsidRPr="005A4625" w:rsidRDefault="00E32574" w:rsidP="0053477A">
      <w:pPr>
        <w:pStyle w:val="PargrafodaLista"/>
        <w:numPr>
          <w:ilvl w:val="0"/>
          <w:numId w:val="36"/>
        </w:numPr>
        <w:spacing w:after="0" w:line="360" w:lineRule="auto"/>
        <w:ind w:left="567" w:hanging="283"/>
        <w:jc w:val="both"/>
        <w:rPr>
          <w:spacing w:val="-4"/>
          <w:lang w:eastAsia="pt-BR"/>
        </w:rPr>
      </w:pPr>
      <w:r w:rsidRPr="005A4625">
        <w:rPr>
          <w:spacing w:val="-4"/>
          <w:lang w:eastAsia="pt-BR"/>
        </w:rPr>
        <w:t>Criar um cadastro técnico das redes coletoras de águas pluviais da sede e dos distritos;</w:t>
      </w:r>
    </w:p>
    <w:p w:rsidR="00E32574" w:rsidRPr="008D43D2" w:rsidRDefault="00E32574" w:rsidP="0053477A">
      <w:pPr>
        <w:pStyle w:val="PargrafodaLista"/>
        <w:numPr>
          <w:ilvl w:val="0"/>
          <w:numId w:val="36"/>
        </w:numPr>
        <w:spacing w:after="0" w:line="360" w:lineRule="auto"/>
        <w:ind w:left="567" w:hanging="283"/>
        <w:jc w:val="both"/>
        <w:rPr>
          <w:spacing w:val="-2"/>
          <w:lang w:eastAsia="pt-BR"/>
        </w:rPr>
      </w:pPr>
      <w:r w:rsidRPr="008D43D2">
        <w:rPr>
          <w:spacing w:val="-2"/>
          <w:lang w:eastAsia="pt-BR"/>
        </w:rPr>
        <w:t>Padronizar a estrutura atual da malha de redes coletoras de esgoto do município em sua totalidade e retirar os pontos de lançamento de esgoto in natura em Córregos e Rios;</w:t>
      </w:r>
    </w:p>
    <w:p w:rsidR="00E32574" w:rsidRPr="008D43D2" w:rsidRDefault="00E32574" w:rsidP="0053477A">
      <w:pPr>
        <w:pStyle w:val="PargrafodaLista"/>
        <w:numPr>
          <w:ilvl w:val="0"/>
          <w:numId w:val="36"/>
        </w:numPr>
        <w:spacing w:after="0" w:line="360" w:lineRule="auto"/>
        <w:ind w:left="567" w:hanging="283"/>
        <w:jc w:val="both"/>
        <w:rPr>
          <w:lang w:eastAsia="pt-BR"/>
        </w:rPr>
      </w:pPr>
      <w:r w:rsidRPr="008D43D2">
        <w:rPr>
          <w:lang w:eastAsia="pt-BR"/>
        </w:rPr>
        <w:t>Criar Estações de Tratamento de Esgotos visto que em alguns distritos não há qualquer tipo de tratamento de esgoto e os distritos que tinham esse tratamento era ineficientes e em locais inadequados;</w:t>
      </w:r>
    </w:p>
    <w:p w:rsidR="00E32574" w:rsidRPr="008D43D2" w:rsidRDefault="00E32574" w:rsidP="0053477A">
      <w:pPr>
        <w:pStyle w:val="PargrafodaLista"/>
        <w:numPr>
          <w:ilvl w:val="0"/>
          <w:numId w:val="36"/>
        </w:numPr>
        <w:spacing w:after="0" w:line="360" w:lineRule="auto"/>
        <w:ind w:left="567" w:hanging="283"/>
        <w:jc w:val="both"/>
        <w:rPr>
          <w:lang w:eastAsia="pt-BR"/>
        </w:rPr>
      </w:pPr>
      <w:r w:rsidRPr="008D43D2">
        <w:rPr>
          <w:lang w:eastAsia="pt-BR"/>
        </w:rPr>
        <w:t>Criar políticas de educação ambiental que vislumbrem o contexto geral do uso do equipamento público;</w:t>
      </w:r>
    </w:p>
    <w:p w:rsidR="00E32574" w:rsidRPr="008D43D2" w:rsidRDefault="00E32574" w:rsidP="0053477A">
      <w:pPr>
        <w:pStyle w:val="PargrafodaLista"/>
        <w:numPr>
          <w:ilvl w:val="0"/>
          <w:numId w:val="36"/>
        </w:numPr>
        <w:spacing w:after="0" w:line="360" w:lineRule="auto"/>
        <w:ind w:left="567" w:hanging="283"/>
        <w:jc w:val="both"/>
        <w:rPr>
          <w:lang w:eastAsia="pt-BR"/>
        </w:rPr>
      </w:pPr>
      <w:r w:rsidRPr="008D43D2">
        <w:rPr>
          <w:lang w:eastAsia="pt-BR"/>
        </w:rPr>
        <w:t>Criar um sistema de hidrometração para se criar projeções para os eventuais sistemas de tratamento de esgoto que possam ser projetados;</w:t>
      </w:r>
    </w:p>
    <w:p w:rsidR="00E32574" w:rsidRPr="008D43D2" w:rsidRDefault="00E32574" w:rsidP="0053477A">
      <w:pPr>
        <w:pStyle w:val="PargrafodaLista"/>
        <w:numPr>
          <w:ilvl w:val="0"/>
          <w:numId w:val="36"/>
        </w:numPr>
        <w:spacing w:after="0" w:line="360" w:lineRule="auto"/>
        <w:ind w:left="567" w:hanging="283"/>
        <w:jc w:val="both"/>
        <w:rPr>
          <w:lang w:eastAsia="pt-BR"/>
        </w:rPr>
      </w:pPr>
      <w:r w:rsidRPr="008D43D2">
        <w:rPr>
          <w:lang w:eastAsia="pt-BR"/>
        </w:rPr>
        <w:t>Proteger e reflorestar os mananciais de captação de água;</w:t>
      </w:r>
    </w:p>
    <w:p w:rsidR="00E32574" w:rsidRPr="008D43D2" w:rsidRDefault="00E32574" w:rsidP="0053477A">
      <w:pPr>
        <w:pStyle w:val="PargrafodaLista"/>
        <w:numPr>
          <w:ilvl w:val="0"/>
          <w:numId w:val="36"/>
        </w:numPr>
        <w:spacing w:after="0" w:line="360" w:lineRule="auto"/>
        <w:ind w:left="567" w:hanging="283"/>
        <w:jc w:val="both"/>
        <w:rPr>
          <w:lang w:eastAsia="pt-BR"/>
        </w:rPr>
      </w:pPr>
      <w:r w:rsidRPr="008D43D2">
        <w:rPr>
          <w:lang w:eastAsia="pt-BR"/>
        </w:rPr>
        <w:t>Criar um cadastro das redes de adução e distribuição de água tratada;</w:t>
      </w:r>
    </w:p>
    <w:p w:rsidR="00E32574" w:rsidRPr="008D43D2" w:rsidRDefault="00E32574" w:rsidP="0053477A">
      <w:pPr>
        <w:pStyle w:val="PargrafodaLista"/>
        <w:numPr>
          <w:ilvl w:val="0"/>
          <w:numId w:val="36"/>
        </w:numPr>
        <w:spacing w:after="0" w:line="360" w:lineRule="auto"/>
        <w:ind w:left="567" w:hanging="283"/>
        <w:jc w:val="both"/>
        <w:rPr>
          <w:lang w:eastAsia="pt-BR"/>
        </w:rPr>
      </w:pPr>
      <w:r w:rsidRPr="008D43D2">
        <w:rPr>
          <w:lang w:eastAsia="pt-BR"/>
        </w:rPr>
        <w:t>Substituir as redes antigas com funcionamento comprometido ou com proibição de uso como é o caso do cimento amianto.</w:t>
      </w:r>
    </w:p>
    <w:p w:rsidR="00E32574" w:rsidRPr="008D43D2" w:rsidRDefault="00E32574" w:rsidP="0053477A">
      <w:pPr>
        <w:pStyle w:val="PargrafodaLista"/>
        <w:numPr>
          <w:ilvl w:val="0"/>
          <w:numId w:val="36"/>
        </w:numPr>
        <w:spacing w:after="0" w:line="360" w:lineRule="auto"/>
        <w:ind w:left="567" w:hanging="283"/>
        <w:jc w:val="both"/>
        <w:rPr>
          <w:lang w:eastAsia="pt-BR"/>
        </w:rPr>
      </w:pPr>
      <w:r w:rsidRPr="008D43D2">
        <w:rPr>
          <w:lang w:eastAsia="pt-BR"/>
        </w:rPr>
        <w:t>Reformar as Estações de Tratamento de Água e melhorar o acesso para a mesma.</w:t>
      </w:r>
    </w:p>
    <w:p w:rsidR="00E32574" w:rsidRPr="005A4625" w:rsidRDefault="00E32574" w:rsidP="0053477A">
      <w:pPr>
        <w:pStyle w:val="PargrafodaLista"/>
        <w:numPr>
          <w:ilvl w:val="0"/>
          <w:numId w:val="36"/>
        </w:numPr>
        <w:spacing w:after="0" w:line="360" w:lineRule="auto"/>
        <w:ind w:left="567" w:hanging="283"/>
        <w:jc w:val="both"/>
        <w:rPr>
          <w:spacing w:val="-4"/>
          <w:lang w:eastAsia="pt-BR"/>
        </w:rPr>
      </w:pPr>
      <w:r w:rsidRPr="005A4625">
        <w:rPr>
          <w:spacing w:val="-4"/>
          <w:lang w:eastAsia="pt-BR"/>
        </w:rPr>
        <w:t>Criar um sistema de macromedição nas captações e saídas dos sistemas de tratamento.</w:t>
      </w:r>
    </w:p>
    <w:p w:rsidR="00E32574" w:rsidRPr="008D43D2" w:rsidRDefault="00E32574" w:rsidP="0053477A">
      <w:pPr>
        <w:pStyle w:val="PargrafodaLista"/>
        <w:numPr>
          <w:ilvl w:val="0"/>
          <w:numId w:val="36"/>
        </w:numPr>
        <w:spacing w:after="0" w:line="360" w:lineRule="auto"/>
        <w:ind w:left="567" w:hanging="283"/>
        <w:jc w:val="both"/>
        <w:rPr>
          <w:lang w:eastAsia="pt-BR"/>
        </w:rPr>
      </w:pPr>
      <w:r w:rsidRPr="008D43D2">
        <w:rPr>
          <w:lang w:eastAsia="pt-BR"/>
        </w:rPr>
        <w:lastRenderedPageBreak/>
        <w:t>Melhorar o serviço de varrição na sede e nos visto a constante reclamações da população de descarte de resíduos em Córregos e Rios.</w:t>
      </w:r>
    </w:p>
    <w:p w:rsidR="00451981" w:rsidRDefault="00451981">
      <w:pPr>
        <w:spacing w:after="200" w:line="276" w:lineRule="auto"/>
        <w:rPr>
          <w:rFonts w:eastAsiaTheme="minorEastAsia" w:cs="Arial"/>
          <w:b/>
          <w:bCs/>
          <w:lang w:eastAsia="pt-BR"/>
        </w:rPr>
      </w:pPr>
      <w:bookmarkStart w:id="533" w:name="_Toc110334817"/>
      <w:r>
        <w:br w:type="page"/>
      </w:r>
    </w:p>
    <w:p w:rsidR="00451981" w:rsidRDefault="00451981" w:rsidP="00971B37">
      <w:pPr>
        <w:pStyle w:val="Titulo"/>
      </w:pPr>
      <w:bookmarkStart w:id="534" w:name="_Toc372559156"/>
      <w:bookmarkStart w:id="535" w:name="_Toc372789587"/>
      <w:r>
        <w:lastRenderedPageBreak/>
        <w:t>13 MANEJO DOS RESÍDUOS SÓLIDOS E LIMPEZA UR</w:t>
      </w:r>
      <w:r w:rsidR="006C0AAF">
        <w:t>B</w:t>
      </w:r>
      <w:r>
        <w:t>ANA</w:t>
      </w:r>
      <w:bookmarkEnd w:id="534"/>
      <w:bookmarkEnd w:id="535"/>
    </w:p>
    <w:p w:rsidR="00E32574" w:rsidRPr="0090022C" w:rsidRDefault="00451981" w:rsidP="00971B37">
      <w:pPr>
        <w:pStyle w:val="Titulo"/>
      </w:pPr>
      <w:bookmarkStart w:id="536" w:name="_Toc372559157"/>
      <w:bookmarkStart w:id="537" w:name="_Toc372789588"/>
      <w:r>
        <w:t xml:space="preserve">13.1 </w:t>
      </w:r>
      <w:r w:rsidRPr="0090022C">
        <w:t>Introdução</w:t>
      </w:r>
      <w:bookmarkEnd w:id="533"/>
      <w:bookmarkEnd w:id="536"/>
      <w:bookmarkEnd w:id="537"/>
    </w:p>
    <w:p w:rsidR="00E32574" w:rsidRPr="008D43D2" w:rsidRDefault="00E32574" w:rsidP="00451981">
      <w:pPr>
        <w:spacing w:after="0" w:line="360" w:lineRule="auto"/>
        <w:ind w:firstLine="709"/>
        <w:jc w:val="both"/>
        <w:rPr>
          <w:lang w:eastAsia="pt-BR"/>
        </w:rPr>
      </w:pPr>
      <w:r w:rsidRPr="008D43D2">
        <w:rPr>
          <w:lang w:eastAsia="pt-BR"/>
        </w:rPr>
        <w:t>O diagnóstico dos resíduos sólidos urbanos (RSU) é parte integrante do Plano Municipal de Saneamento Básico do município de Aimorés, em atendimento a Política Nacional do Saneamento Básico, Lei nº 11.445 de 05/01/2007.</w:t>
      </w:r>
    </w:p>
    <w:p w:rsidR="00E32574" w:rsidRPr="008D43D2" w:rsidRDefault="00E32574" w:rsidP="00451981">
      <w:pPr>
        <w:spacing w:after="0" w:line="360" w:lineRule="auto"/>
        <w:ind w:firstLine="709"/>
        <w:jc w:val="both"/>
        <w:rPr>
          <w:lang w:eastAsia="pt-BR"/>
        </w:rPr>
      </w:pPr>
      <w:r w:rsidRPr="008D43D2">
        <w:rPr>
          <w:lang w:eastAsia="pt-BR"/>
        </w:rPr>
        <w:t>Atendendo a supracitada Lei igualmente vai ao encontro das premissas estabelecidas pela Lei Federal nº 12.305 de 02/08/20</w:t>
      </w:r>
      <w:r w:rsidR="00E53895">
        <w:rPr>
          <w:lang w:eastAsia="pt-BR"/>
        </w:rPr>
        <w:t>10</w:t>
      </w:r>
      <w:r w:rsidRPr="008D43D2">
        <w:rPr>
          <w:lang w:eastAsia="pt-BR"/>
        </w:rPr>
        <w:t xml:space="preserve"> que institui a Política Nacional de Resíduos Sólidos, regulamentado pelo Decreto nº</w:t>
      </w:r>
      <w:hyperlink r:id="rId219" w:history="1">
        <w:r w:rsidRPr="008D43D2">
          <w:rPr>
            <w:lang w:eastAsia="pt-BR"/>
          </w:rPr>
          <w:t xml:space="preserve"> 7404 de </w:t>
        </w:r>
      </w:hyperlink>
      <w:r w:rsidRPr="008D43D2">
        <w:rPr>
          <w:lang w:eastAsia="pt-BR"/>
        </w:rPr>
        <w:t xml:space="preserve">23/12/2010 e a da </w:t>
      </w:r>
      <w:hyperlink r:id="rId220" w:history="1">
        <w:r w:rsidRPr="008D43D2">
          <w:rPr>
            <w:lang w:eastAsia="pt-BR"/>
          </w:rPr>
          <w:t xml:space="preserve">Lei Estadual nº 18.031 de 12 de janeiro de 2009, </w:t>
        </w:r>
      </w:hyperlink>
      <w:r w:rsidRPr="008D43D2">
        <w:rPr>
          <w:lang w:eastAsia="pt-BR"/>
        </w:rPr>
        <w:t>regulamentado pelo Decreto nº 45.181, de 25 de setembro de 2009.</w:t>
      </w:r>
    </w:p>
    <w:p w:rsidR="00E32574" w:rsidRPr="008D43D2" w:rsidRDefault="00E32574" w:rsidP="00451981">
      <w:pPr>
        <w:spacing w:after="0" w:line="360" w:lineRule="auto"/>
        <w:ind w:firstLine="709"/>
        <w:jc w:val="both"/>
        <w:rPr>
          <w:lang w:eastAsia="pt-BR"/>
        </w:rPr>
      </w:pPr>
      <w:r w:rsidRPr="008D43D2">
        <w:rPr>
          <w:lang w:eastAsia="pt-BR"/>
        </w:rPr>
        <w:t xml:space="preserve">O diagnóstico é a uma importante ferramenta para fundamentar um modelo de gerenciamento dos resíduos sólidos para o município de Aimorés de forma a assegurar seu desenvolvimento sustentável. Através dele, buscou-se conhecer a realidade dos resíduos no município, com vista a subsidiar a administração municipal, na condição de gestor do serviço de limpeza pública, a prestar serviço com qualidade, beneficiando a população quanto à melhoria da qualidade de vida e da preservação do meio ambiente. </w:t>
      </w:r>
    </w:p>
    <w:p w:rsidR="00E32574" w:rsidRPr="008D43D2" w:rsidRDefault="00E32574" w:rsidP="00451981">
      <w:pPr>
        <w:spacing w:after="0" w:line="360" w:lineRule="auto"/>
        <w:ind w:firstLine="709"/>
        <w:jc w:val="both"/>
        <w:rPr>
          <w:lang w:eastAsia="pt-BR"/>
        </w:rPr>
      </w:pPr>
      <w:r w:rsidRPr="008D43D2">
        <w:rPr>
          <w:lang w:eastAsia="pt-BR"/>
        </w:rPr>
        <w:t>Para elaboração deste diagnóstico dos resíduos sólidos de Aimorés, foram efetuadas 12 audiências públicas, sendo 4 audiências realizadas na sede e as demais nos distritos de Aimorés sendo registradas as idéias e proposições. Além disto, a equipe responsável pelo diagnóstico manteve estreito relacionamento como os setores responsáveis diretamente pela execução dos serviços de limpeza, coleta e disposição final de RSU do município.</w:t>
      </w:r>
    </w:p>
    <w:p w:rsidR="00E32574" w:rsidRPr="005A4625" w:rsidRDefault="00E32574" w:rsidP="00451981">
      <w:pPr>
        <w:spacing w:after="0" w:line="360" w:lineRule="auto"/>
        <w:ind w:firstLine="709"/>
        <w:jc w:val="both"/>
        <w:rPr>
          <w:lang w:eastAsia="pt-BR"/>
        </w:rPr>
      </w:pPr>
      <w:r w:rsidRPr="005A4625">
        <w:rPr>
          <w:lang w:eastAsia="pt-BR"/>
        </w:rPr>
        <w:t xml:space="preserve">Aimorés é um </w:t>
      </w:r>
      <w:hyperlink r:id="rId221" w:tooltip="Município" w:history="1">
        <w:r w:rsidRPr="005A4625">
          <w:rPr>
            <w:lang w:eastAsia="pt-BR"/>
          </w:rPr>
          <w:t>município</w:t>
        </w:r>
      </w:hyperlink>
      <w:r w:rsidRPr="005A4625">
        <w:rPr>
          <w:lang w:eastAsia="pt-BR"/>
        </w:rPr>
        <w:t xml:space="preserve"> mineiro com 1.349,987 km² de área, a sede está localizada na coordenada geográfica </w:t>
      </w:r>
      <w:hyperlink r:id="rId222" w:history="1">
        <w:r w:rsidRPr="005A4625">
          <w:rPr>
            <w:lang w:eastAsia="pt-BR"/>
          </w:rPr>
          <w:t>19° 29' 45" S e 41° 03' 50" O</w:t>
        </w:r>
      </w:hyperlink>
      <w:r w:rsidRPr="005A4625">
        <w:rPr>
          <w:lang w:eastAsia="pt-BR"/>
        </w:rPr>
        <w:t xml:space="preserve">, região leste do estado, na </w:t>
      </w:r>
      <w:hyperlink r:id="rId223" w:tooltip="Mesorregião do Vale do Rio Doce" w:history="1">
        <w:r w:rsidRPr="005A4625">
          <w:rPr>
            <w:lang w:eastAsia="pt-BR"/>
          </w:rPr>
          <w:t>Mesorregião do Vale do Rio Doce</w:t>
        </w:r>
      </w:hyperlink>
      <w:r w:rsidRPr="005A4625">
        <w:rPr>
          <w:lang w:eastAsia="pt-BR"/>
        </w:rPr>
        <w:t xml:space="preserve"> (Figura </w:t>
      </w:r>
      <w:r w:rsidR="00E53895">
        <w:rPr>
          <w:lang w:eastAsia="pt-BR"/>
        </w:rPr>
        <w:t>163</w:t>
      </w:r>
      <w:r w:rsidRPr="005A4625">
        <w:rPr>
          <w:lang w:eastAsia="pt-BR"/>
        </w:rPr>
        <w:t xml:space="preserve">). A sede o dista cerca de 440 km da capital e sua </w:t>
      </w:r>
      <w:hyperlink r:id="rId224" w:tooltip="População" w:history="1">
        <w:r w:rsidRPr="005A4625">
          <w:rPr>
            <w:lang w:eastAsia="pt-BR"/>
          </w:rPr>
          <w:t>população</w:t>
        </w:r>
      </w:hyperlink>
      <w:r w:rsidRPr="005A4625">
        <w:rPr>
          <w:lang w:eastAsia="pt-BR"/>
        </w:rPr>
        <w:t xml:space="preserve"> foi estimada em 2013 em 25.675 habitantes, sendo então o </w:t>
      </w:r>
      <w:hyperlink r:id="rId225" w:tooltip="Anexo:Lista de municípios de Minas Gerais por população" w:history="1">
        <w:r w:rsidRPr="005A4625">
          <w:rPr>
            <w:lang w:eastAsia="pt-BR"/>
          </w:rPr>
          <w:t>138º mais populoso do estado</w:t>
        </w:r>
      </w:hyperlink>
      <w:r w:rsidRPr="005A4625">
        <w:rPr>
          <w:lang w:eastAsia="pt-BR"/>
        </w:rPr>
        <w:t xml:space="preserve"> (IBGE, 2013)</w:t>
      </w:r>
      <w:hyperlink r:id="rId226" w:anchor="cite_note-IBGE_Pop_2013-7" w:history="1">
        <w:r w:rsidRPr="005A4625">
          <w:rPr>
            <w:lang w:eastAsia="pt-BR"/>
          </w:rPr>
          <w:t xml:space="preserve">. </w:t>
        </w:r>
      </w:hyperlink>
    </w:p>
    <w:p w:rsidR="00E53895" w:rsidRDefault="00E53895">
      <w:pPr>
        <w:spacing w:after="200" w:line="276" w:lineRule="auto"/>
        <w:rPr>
          <w:rFonts w:eastAsiaTheme="minorEastAsia" w:cs="Times New Roman"/>
          <w:bCs/>
          <w:szCs w:val="24"/>
          <w:lang w:eastAsia="pt-BR"/>
        </w:rPr>
      </w:pPr>
      <w:bookmarkStart w:id="538" w:name="_Toc372117216"/>
      <w:r>
        <w:br w:type="page"/>
      </w:r>
    </w:p>
    <w:p w:rsidR="00E32574" w:rsidRPr="00E53895" w:rsidRDefault="00291A25" w:rsidP="00291A25">
      <w:pPr>
        <w:pStyle w:val="Legenda"/>
        <w:rPr>
          <w:b w:val="0"/>
        </w:rPr>
      </w:pPr>
      <w:bookmarkStart w:id="539" w:name="_Toc372740246"/>
      <w:bookmarkEnd w:id="538"/>
      <w:r>
        <w:lastRenderedPageBreak/>
        <w:t xml:space="preserve">Figura </w:t>
      </w:r>
      <w:fldSimple w:instr=" SEQ Figura \* ARABIC ">
        <w:r w:rsidR="004F77E2">
          <w:rPr>
            <w:noProof/>
          </w:rPr>
          <w:t>163</w:t>
        </w:r>
      </w:fldSimple>
      <w:r>
        <w:t xml:space="preserve"> - </w:t>
      </w:r>
      <w:r w:rsidRPr="004E06CA">
        <w:rPr>
          <w:noProof/>
        </w:rPr>
        <w:t>Mapa de localização do município de Aimorés no contexto do estado de Minas Gerais.</w:t>
      </w:r>
      <w:bookmarkEnd w:id="539"/>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14:anchorId="377495AA" wp14:editId="0E9E7C9E">
            <wp:extent cx="4888666" cy="3767328"/>
            <wp:effectExtent l="19050" t="19050" r="26670" b="24130"/>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932451" cy="3801070"/>
                    </a:xfrm>
                    <a:prstGeom prst="rect">
                      <a:avLst/>
                    </a:prstGeom>
                    <a:noFill/>
                    <a:ln w="12700" cmpd="sng">
                      <a:solidFill>
                        <a:srgbClr val="000000"/>
                      </a:solidFill>
                      <a:miter lim="800000"/>
                      <a:headEnd/>
                      <a:tailEnd/>
                    </a:ln>
                    <a:effectLst/>
                  </pic:spPr>
                </pic:pic>
              </a:graphicData>
            </a:graphic>
          </wp:inline>
        </w:drawing>
      </w:r>
    </w:p>
    <w:p w:rsidR="00E32574" w:rsidRPr="0090022C" w:rsidRDefault="00E32574" w:rsidP="00E53895">
      <w:pPr>
        <w:pStyle w:val="Fonte"/>
        <w:spacing w:after="240"/>
        <w:ind w:left="709"/>
      </w:pPr>
      <w:r w:rsidRPr="0090022C">
        <w:t xml:space="preserve">Fonte: </w:t>
      </w:r>
      <w:hyperlink r:id="rId228" w:history="1">
        <w:r w:rsidRPr="0090022C">
          <w:t>http://pt.wikipedia.org/wiki/Aimor%C3%A9s_(Minas_Gerais)</w:t>
        </w:r>
      </w:hyperlink>
      <w:r w:rsidRPr="0090022C">
        <w:t xml:space="preserve"> (Acesso 05 set. 2013)</w:t>
      </w:r>
    </w:p>
    <w:p w:rsidR="00E32574" w:rsidRPr="008D43D2" w:rsidRDefault="00E32574" w:rsidP="00451981">
      <w:pPr>
        <w:spacing w:after="0" w:line="360" w:lineRule="auto"/>
        <w:ind w:firstLine="709"/>
        <w:jc w:val="both"/>
        <w:rPr>
          <w:lang w:eastAsia="pt-BR"/>
        </w:rPr>
      </w:pPr>
      <w:r w:rsidRPr="008D43D2">
        <w:rPr>
          <w:lang w:eastAsia="pt-BR"/>
        </w:rPr>
        <w:t xml:space="preserve">Com 79% da população vivendo na zona urbana, a cidade contava, em 2009, com 25 estabelecimentos de saúde. O seu </w:t>
      </w:r>
      <w:hyperlink r:id="rId229" w:tooltip="Índice de Desenvolvimento Humano" w:history="1">
        <w:r w:rsidRPr="008D43D2">
          <w:rPr>
            <w:lang w:eastAsia="pt-BR"/>
          </w:rPr>
          <w:t>Índice de Desenvolvimento Humano</w:t>
        </w:r>
      </w:hyperlink>
      <w:r w:rsidRPr="008D43D2">
        <w:rPr>
          <w:lang w:eastAsia="pt-BR"/>
        </w:rPr>
        <w:t xml:space="preserve"> (IDH) é de 0,684, considerando-se como médio em relação ao país (IBGE, 2013).</w:t>
      </w:r>
    </w:p>
    <w:p w:rsidR="00E32574" w:rsidRPr="008D43D2" w:rsidRDefault="00E32574" w:rsidP="00451981">
      <w:pPr>
        <w:spacing w:after="0" w:line="360" w:lineRule="auto"/>
        <w:ind w:firstLine="709"/>
        <w:jc w:val="both"/>
        <w:rPr>
          <w:lang w:eastAsia="pt-BR"/>
        </w:rPr>
      </w:pPr>
      <w:r w:rsidRPr="008D43D2">
        <w:rPr>
          <w:lang w:eastAsia="pt-BR"/>
        </w:rPr>
        <w:t>Inicialmente foram realizados levantamentos e entrevistas com os representantes da administração pública e, em seguida, foram analisadas aspectos de viabilidade para a destinação final dos resíduos sólidos gerados na sede e nos distritos de Aimorés.</w:t>
      </w:r>
    </w:p>
    <w:p w:rsidR="00E32574" w:rsidRPr="008D43D2" w:rsidRDefault="00E32574" w:rsidP="00451981">
      <w:pPr>
        <w:spacing w:after="0" w:line="360" w:lineRule="auto"/>
        <w:ind w:firstLine="709"/>
        <w:jc w:val="both"/>
        <w:rPr>
          <w:lang w:eastAsia="pt-BR"/>
        </w:rPr>
      </w:pPr>
      <w:r w:rsidRPr="008D43D2">
        <w:rPr>
          <w:lang w:eastAsia="pt-BR"/>
        </w:rPr>
        <w:t>Também foi utilizado o “PGIRSU para os Municípios da Área de Influência do Reservatório da Usina Hidrelétrica de Aimorés – MG”, Etapa Final – Versão Preliminar, elaborado por Pereira et al. (2004), da Equipe Técnica da Consultoria Loci Planejamento e Projetos, contratada pela Companhia Vale do Rio Doce e Cemig, empresas responsáveis pela AHE Aimorés – Consórcio da Hidroelétrica de Aimorés.</w:t>
      </w:r>
    </w:p>
    <w:p w:rsidR="00E32574" w:rsidRPr="008D43D2" w:rsidRDefault="00E32574" w:rsidP="00451981">
      <w:pPr>
        <w:spacing w:after="0" w:line="360" w:lineRule="auto"/>
        <w:ind w:firstLine="709"/>
        <w:jc w:val="both"/>
        <w:rPr>
          <w:lang w:eastAsia="pt-BR"/>
        </w:rPr>
      </w:pPr>
      <w:r w:rsidRPr="008D43D2">
        <w:rPr>
          <w:lang w:eastAsia="pt-BR"/>
        </w:rPr>
        <w:lastRenderedPageBreak/>
        <w:t>O Plano visa dentre outros a Gestão Integrada para Sistemas de Limpeza, Coleta e Disposição Final de RSU do município por meio do envolvimento de todos os segmentos da comunidade, dentro de um processo participativo, para a construção da política de saneamento, definindo as ações direcionadas a implantação e sustentação de um conjunto coordenado e coerente de atividades logísticas e operacionais, para mobilização das comunidades tanto da sede como dos distritos, para o tratamento adequado dos resíduos sólidos produzidos no município.</w:t>
      </w:r>
    </w:p>
    <w:p w:rsidR="00E32574" w:rsidRPr="003702F8" w:rsidRDefault="00E32574" w:rsidP="00451981">
      <w:pPr>
        <w:spacing w:after="0" w:line="360" w:lineRule="auto"/>
        <w:ind w:firstLine="709"/>
        <w:jc w:val="both"/>
        <w:rPr>
          <w:szCs w:val="24"/>
          <w:lang w:eastAsia="pt-BR"/>
        </w:rPr>
      </w:pPr>
      <w:r w:rsidRPr="003702F8">
        <w:rPr>
          <w:szCs w:val="24"/>
          <w:lang w:eastAsia="pt-BR"/>
        </w:rPr>
        <w:t>Através destes procedimentos, espera-se atingir os seguintes objetivos específicos:</w:t>
      </w:r>
    </w:p>
    <w:p w:rsidR="00E32574" w:rsidRPr="003702F8" w:rsidRDefault="00E32574" w:rsidP="0053477A">
      <w:pPr>
        <w:pStyle w:val="Corpodetexto2"/>
        <w:numPr>
          <w:ilvl w:val="0"/>
          <w:numId w:val="37"/>
        </w:numPr>
        <w:spacing w:after="0" w:line="360" w:lineRule="auto"/>
        <w:ind w:left="567" w:hanging="283"/>
        <w:jc w:val="both"/>
        <w:rPr>
          <w:szCs w:val="24"/>
        </w:rPr>
      </w:pPr>
      <w:r w:rsidRPr="003702F8">
        <w:rPr>
          <w:szCs w:val="24"/>
        </w:rPr>
        <w:t>Estabelecimento de estratégia de implantação por etapas, a fim de reduzir custos e permitir a auto-sustentação das propostas;</w:t>
      </w:r>
    </w:p>
    <w:p w:rsidR="00E32574" w:rsidRPr="003702F8" w:rsidRDefault="00E32574" w:rsidP="0053477A">
      <w:pPr>
        <w:pStyle w:val="Corpodetexto2"/>
        <w:numPr>
          <w:ilvl w:val="0"/>
          <w:numId w:val="37"/>
        </w:numPr>
        <w:spacing w:after="0" w:line="360" w:lineRule="auto"/>
        <w:ind w:left="567" w:hanging="283"/>
        <w:jc w:val="both"/>
        <w:rPr>
          <w:szCs w:val="24"/>
        </w:rPr>
      </w:pPr>
      <w:r w:rsidRPr="003702F8">
        <w:rPr>
          <w:szCs w:val="24"/>
        </w:rPr>
        <w:t>Relacionamento estreito entre a administração municipal, da população e demais parcerias com a finalidade de implantar soluções respaldadas pela comunidade;</w:t>
      </w:r>
    </w:p>
    <w:p w:rsidR="00E32574" w:rsidRPr="003702F8" w:rsidRDefault="00E32574" w:rsidP="0053477A">
      <w:pPr>
        <w:pStyle w:val="Corpodetexto2"/>
        <w:numPr>
          <w:ilvl w:val="0"/>
          <w:numId w:val="37"/>
        </w:numPr>
        <w:spacing w:after="0" w:line="360" w:lineRule="auto"/>
        <w:ind w:left="567" w:hanging="283"/>
        <w:jc w:val="both"/>
        <w:rPr>
          <w:szCs w:val="24"/>
        </w:rPr>
      </w:pPr>
      <w:r w:rsidRPr="003702F8">
        <w:rPr>
          <w:szCs w:val="24"/>
        </w:rPr>
        <w:t>Capacitação de equipe interdisciplinar local, responsável pelo monitoramento e desenvolvimento das tarefas continuadas apontadas pelo plano de ação;</w:t>
      </w:r>
    </w:p>
    <w:p w:rsidR="00E32574" w:rsidRPr="003702F8" w:rsidRDefault="00E32574" w:rsidP="0053477A">
      <w:pPr>
        <w:pStyle w:val="Corpodetexto2"/>
        <w:numPr>
          <w:ilvl w:val="0"/>
          <w:numId w:val="37"/>
        </w:numPr>
        <w:spacing w:after="0" w:line="360" w:lineRule="auto"/>
        <w:ind w:left="567" w:hanging="283"/>
        <w:jc w:val="both"/>
        <w:rPr>
          <w:szCs w:val="24"/>
        </w:rPr>
      </w:pPr>
      <w:r w:rsidRPr="003702F8">
        <w:rPr>
          <w:szCs w:val="24"/>
        </w:rPr>
        <w:t>Identificação de parcerias para a criação de um fórum municipal, aos moldes do Fórum Estadual Lixo &amp; Cidadania, visando à integração de ações, acompanhamento e avaliação do plano e suas atividades;</w:t>
      </w:r>
    </w:p>
    <w:p w:rsidR="00E32574" w:rsidRPr="003702F8" w:rsidRDefault="00E32574" w:rsidP="0053477A">
      <w:pPr>
        <w:pStyle w:val="Corpodetexto2"/>
        <w:numPr>
          <w:ilvl w:val="0"/>
          <w:numId w:val="37"/>
        </w:numPr>
        <w:spacing w:after="0" w:line="360" w:lineRule="auto"/>
        <w:ind w:left="567" w:hanging="283"/>
        <w:jc w:val="both"/>
        <w:rPr>
          <w:szCs w:val="24"/>
        </w:rPr>
      </w:pPr>
      <w:r w:rsidRPr="003702F8">
        <w:rPr>
          <w:szCs w:val="24"/>
        </w:rPr>
        <w:t>Identificação de potencial e viabilidade para aproveitamento econômico de resíduos sólidos no município, visando à definição de programas de coleta seletiva e de reciclagem;</w:t>
      </w:r>
    </w:p>
    <w:p w:rsidR="00E32574" w:rsidRPr="003702F8" w:rsidRDefault="00E32574" w:rsidP="0053477A">
      <w:pPr>
        <w:pStyle w:val="Corpodetexto2"/>
        <w:numPr>
          <w:ilvl w:val="0"/>
          <w:numId w:val="37"/>
        </w:numPr>
        <w:spacing w:after="0" w:line="360" w:lineRule="auto"/>
        <w:ind w:left="567" w:hanging="283"/>
        <w:jc w:val="both"/>
        <w:rPr>
          <w:szCs w:val="24"/>
        </w:rPr>
      </w:pPr>
      <w:r w:rsidRPr="003702F8">
        <w:rPr>
          <w:szCs w:val="24"/>
        </w:rPr>
        <w:t>Implantação da coleta seletiva elegendo os catadores e/ou as classes menos favorecidas como parceiros prioritários, promovendo sua inserção social pela profissionalização e oferecendo melhores condições de vida às suas famílias;</w:t>
      </w:r>
    </w:p>
    <w:p w:rsidR="00E32574" w:rsidRPr="003702F8" w:rsidRDefault="00E32574" w:rsidP="0053477A">
      <w:pPr>
        <w:pStyle w:val="Corpodetexto2"/>
        <w:numPr>
          <w:ilvl w:val="0"/>
          <w:numId w:val="37"/>
        </w:numPr>
        <w:spacing w:after="0" w:line="360" w:lineRule="auto"/>
        <w:ind w:left="567" w:hanging="283"/>
        <w:jc w:val="both"/>
        <w:rPr>
          <w:szCs w:val="24"/>
        </w:rPr>
      </w:pPr>
      <w:r w:rsidRPr="003702F8">
        <w:rPr>
          <w:szCs w:val="24"/>
        </w:rPr>
        <w:t>Conscientização dos segmentos públicos e privados quanto à necessidade de reduzir, reutilizar e reciclar bem como dispor adequadamente os resíduos não recicláveis, contribuindo para uma maior qualidade de vida;</w:t>
      </w:r>
    </w:p>
    <w:p w:rsidR="00E32574" w:rsidRPr="003702F8" w:rsidRDefault="00E32574" w:rsidP="0053477A">
      <w:pPr>
        <w:pStyle w:val="Corpodetexto2"/>
        <w:numPr>
          <w:ilvl w:val="0"/>
          <w:numId w:val="37"/>
        </w:numPr>
        <w:spacing w:after="0" w:line="360" w:lineRule="auto"/>
        <w:ind w:left="567" w:hanging="283"/>
        <w:jc w:val="both"/>
        <w:rPr>
          <w:szCs w:val="24"/>
        </w:rPr>
      </w:pPr>
      <w:r w:rsidRPr="003702F8">
        <w:rPr>
          <w:szCs w:val="24"/>
        </w:rPr>
        <w:t>Implantação de novas unidades municipais de tratamento dos resíduos sólidos e/ou destinação final adequados para melhor atender os distritos;</w:t>
      </w:r>
    </w:p>
    <w:p w:rsidR="00E32574" w:rsidRPr="003702F8" w:rsidRDefault="00E32574" w:rsidP="0053477A">
      <w:pPr>
        <w:pStyle w:val="Corpodetexto2"/>
        <w:numPr>
          <w:ilvl w:val="0"/>
          <w:numId w:val="37"/>
        </w:numPr>
        <w:spacing w:after="0" w:line="360" w:lineRule="auto"/>
        <w:ind w:left="567" w:hanging="283"/>
        <w:jc w:val="both"/>
        <w:rPr>
          <w:szCs w:val="24"/>
        </w:rPr>
      </w:pPr>
      <w:r w:rsidRPr="003702F8">
        <w:rPr>
          <w:szCs w:val="24"/>
        </w:rPr>
        <w:lastRenderedPageBreak/>
        <w:t>Qualificação do trabalhador da limpeza urbana, e valorização de seu trabalho como agente ambiental.</w:t>
      </w:r>
    </w:p>
    <w:p w:rsidR="00E32574" w:rsidRPr="0090022C" w:rsidRDefault="00E53895" w:rsidP="00971B37">
      <w:pPr>
        <w:pStyle w:val="Titulo"/>
      </w:pPr>
      <w:bookmarkStart w:id="540" w:name="_Toc110334818"/>
      <w:bookmarkStart w:id="541" w:name="_Toc372559158"/>
      <w:bookmarkStart w:id="542" w:name="_Toc372789589"/>
      <w:r>
        <w:t xml:space="preserve">13.2 </w:t>
      </w:r>
      <w:r w:rsidRPr="0090022C">
        <w:t xml:space="preserve">O Plano </w:t>
      </w:r>
      <w:r>
        <w:t>d</w:t>
      </w:r>
      <w:r w:rsidRPr="0090022C">
        <w:t xml:space="preserve">e Gerenciamento Integrado </w:t>
      </w:r>
      <w:r>
        <w:t>d</w:t>
      </w:r>
      <w:r w:rsidRPr="0090022C">
        <w:t>e Resíduos Sólidos</w:t>
      </w:r>
      <w:bookmarkEnd w:id="540"/>
      <w:r w:rsidRPr="0090022C">
        <w:t xml:space="preserve"> (PGIRS)</w:t>
      </w:r>
      <w:bookmarkEnd w:id="541"/>
      <w:bookmarkEnd w:id="542"/>
    </w:p>
    <w:p w:rsidR="00E32574" w:rsidRPr="008D43D2" w:rsidRDefault="00E32574" w:rsidP="00E53895">
      <w:pPr>
        <w:spacing w:after="0" w:line="360" w:lineRule="auto"/>
        <w:ind w:firstLine="708"/>
        <w:jc w:val="both"/>
        <w:rPr>
          <w:lang w:eastAsia="pt-BR"/>
        </w:rPr>
      </w:pPr>
      <w:r w:rsidRPr="008D43D2">
        <w:rPr>
          <w:lang w:eastAsia="pt-BR"/>
        </w:rPr>
        <w:t>O PGIRS decorre da implantação da política de saneamento contendo os programas e seus respectivos planos de ação, a partir de uma decisão do Executivo Municipal por sua realização, passando a ser, em síntese, o envolvimento de diferentes órgãos da administração pública e da sociedade civil com o propósito de realizar a limpeza urbana, a coleta, o tratamento e a disposição final do resíduo, elevando assim a qualidade de vida da população e promovendo o asseio da cidade.</w:t>
      </w:r>
    </w:p>
    <w:p w:rsidR="00E32574" w:rsidRPr="008D43D2" w:rsidRDefault="00E32574" w:rsidP="00E53895">
      <w:pPr>
        <w:spacing w:after="0" w:line="360" w:lineRule="auto"/>
        <w:ind w:firstLine="708"/>
        <w:jc w:val="both"/>
        <w:rPr>
          <w:lang w:eastAsia="pt-BR"/>
        </w:rPr>
      </w:pPr>
      <w:r w:rsidRPr="008D43D2">
        <w:rPr>
          <w:lang w:eastAsia="pt-BR"/>
        </w:rPr>
        <w:t>O PGIRS deve levar em consideração as características das fontes de produção, o volume e os tipos de resíduos para que seja dado tratamento diferenciado e disposição final técnica e ambientalmente adequadas, considerando inclusive as características sociais, culturais e econômicas dos cidadãos junto às peculiaridades demográficas, climáticas e urbanísticas locais.</w:t>
      </w:r>
    </w:p>
    <w:p w:rsidR="00E32574" w:rsidRPr="008D43D2" w:rsidRDefault="00E32574" w:rsidP="00E53895">
      <w:pPr>
        <w:spacing w:after="0" w:line="360" w:lineRule="auto"/>
        <w:ind w:firstLine="708"/>
        <w:jc w:val="both"/>
        <w:rPr>
          <w:lang w:eastAsia="pt-BR"/>
        </w:rPr>
      </w:pPr>
      <w:r w:rsidRPr="008D43D2">
        <w:rPr>
          <w:lang w:eastAsia="pt-BR"/>
        </w:rPr>
        <w:t>Para tanto, as medidas políticas de planejamento, normativas, financeiras e operacionais, que envolvem a questão, devem se processar de modo articulado segundo a visão de que as ações e operações envolvidas são interligadas e comprometidas entre si.</w:t>
      </w:r>
    </w:p>
    <w:p w:rsidR="00E32574" w:rsidRPr="008D43D2" w:rsidRDefault="00E32574" w:rsidP="00E53895">
      <w:pPr>
        <w:spacing w:after="0" w:line="360" w:lineRule="auto"/>
        <w:ind w:firstLine="708"/>
        <w:jc w:val="both"/>
        <w:rPr>
          <w:lang w:eastAsia="pt-BR"/>
        </w:rPr>
      </w:pPr>
      <w:r w:rsidRPr="008D43D2">
        <w:rPr>
          <w:lang w:eastAsia="pt-BR"/>
        </w:rPr>
        <w:t>Para além das atividades operacionais, destaca-se a importância de se considerar as questões socioeconômicas envolvidas no cenário da limpeza urbana e, para tanto, as políticas públicas - locais e as referentes a outras esferas - que possam estar associadas ao tratamento do resíduo, tanto na área de educação, saúde, trabalho e renda ou planejamento urbano.</w:t>
      </w:r>
    </w:p>
    <w:p w:rsidR="00E32574" w:rsidRPr="008D43D2" w:rsidRDefault="00E32574" w:rsidP="00E53895">
      <w:pPr>
        <w:spacing w:after="0" w:line="360" w:lineRule="auto"/>
        <w:ind w:firstLine="708"/>
        <w:jc w:val="both"/>
        <w:rPr>
          <w:lang w:eastAsia="pt-BR"/>
        </w:rPr>
      </w:pPr>
      <w:r w:rsidRPr="008D43D2">
        <w:rPr>
          <w:lang w:eastAsia="pt-BR"/>
        </w:rPr>
        <w:t>O gerenciamento integrado focaliza com mais nitidez os objetivos importantes da questão no município, que é a elevação da urbanidade em um contexto mais nobre para a convivência da população, onde haja manifestações de afeto à cidade, com participação efetiva da comunidade, sensibilizada a não sujar os logradouros públicos, a reduzir o descarte, a reaproveitar os materiais e reciclá-los antes de encaminhá-los para a disposição final.</w:t>
      </w:r>
    </w:p>
    <w:p w:rsidR="00E32574" w:rsidRPr="008D43D2" w:rsidRDefault="00E32574" w:rsidP="00E53895">
      <w:pPr>
        <w:spacing w:after="0" w:line="360" w:lineRule="auto"/>
        <w:ind w:firstLine="708"/>
        <w:jc w:val="both"/>
        <w:rPr>
          <w:lang w:eastAsia="pt-BR"/>
        </w:rPr>
      </w:pPr>
      <w:r w:rsidRPr="008D43D2">
        <w:rPr>
          <w:lang w:eastAsia="pt-BR"/>
        </w:rPr>
        <w:t xml:space="preserve">Por conta desse conceito, o gerenciamento integrado de resíduos sólidos do município de Aimorés deve criar programas de limpeza urbana enfocando meios para que sejam obtidos a máxima redução da produção diária de resíduo, o máximo reaproveitamento e reciclagem de </w:t>
      </w:r>
      <w:r w:rsidRPr="008D43D2">
        <w:rPr>
          <w:lang w:eastAsia="pt-BR"/>
        </w:rPr>
        <w:lastRenderedPageBreak/>
        <w:t>materiais e, ainda, a disposição dos resíduos de forma sanitária e ambientalmente adequada, abrangendo a população da sede e dos distritos. Metas que podem contribuir significativamente para a redução dos custos do sistema, além de proteger o meio ambiente e melhorar a qualidade de vida.</w:t>
      </w:r>
    </w:p>
    <w:p w:rsidR="00E32574" w:rsidRPr="008D43D2" w:rsidRDefault="00E32574" w:rsidP="00E53895">
      <w:pPr>
        <w:spacing w:after="0" w:line="360" w:lineRule="auto"/>
        <w:ind w:firstLine="708"/>
        <w:jc w:val="both"/>
        <w:rPr>
          <w:lang w:eastAsia="pt-BR"/>
        </w:rPr>
      </w:pPr>
      <w:r w:rsidRPr="008D43D2">
        <w:rPr>
          <w:lang w:eastAsia="pt-BR"/>
        </w:rPr>
        <w:t>O gerenciamento integrado, portanto, implica na busca contínua de parceiros, especialmente junto às lideranças e entidades representativas da comunidade, para compor e renovar um sistema de formas cada vez mais eficientes.</w:t>
      </w:r>
    </w:p>
    <w:p w:rsidR="00E32574" w:rsidRPr="008D43D2" w:rsidRDefault="00E32574" w:rsidP="00E53895">
      <w:pPr>
        <w:spacing w:after="0" w:line="360" w:lineRule="auto"/>
        <w:ind w:firstLine="708"/>
        <w:jc w:val="both"/>
        <w:rPr>
          <w:lang w:eastAsia="pt-BR"/>
        </w:rPr>
      </w:pPr>
      <w:bookmarkStart w:id="543" w:name="_Toc48451235"/>
      <w:r w:rsidRPr="008D43D2">
        <w:rPr>
          <w:lang w:eastAsia="pt-BR"/>
        </w:rPr>
        <w:t>Políticas e arranjos de parceria diferenciados deverão ser articulados para tratar dos diferentes resíduos recicláveis, tais como o papel, metais, vidros e plásticos; resíduos orgânicos passíveis de serem transformados em composto orgânico de qualidade, para enriquecer o solo agrícola; entulho de obras decorrentes de sobra de materiais de construção/demolição, e finalmente os resíduos provenientes de estabelecimentos que tratam da saúde ou de processos que produzem resíduos perigosos.</w:t>
      </w:r>
    </w:p>
    <w:p w:rsidR="00E32574" w:rsidRPr="008D43D2" w:rsidRDefault="00E32574" w:rsidP="00E53895">
      <w:pPr>
        <w:spacing w:after="0" w:line="360" w:lineRule="auto"/>
        <w:ind w:firstLine="708"/>
        <w:jc w:val="both"/>
        <w:rPr>
          <w:lang w:eastAsia="pt-BR"/>
        </w:rPr>
      </w:pPr>
      <w:r w:rsidRPr="008D43D2">
        <w:rPr>
          <w:lang w:eastAsia="pt-BR"/>
        </w:rPr>
        <w:t>Todos esses materiais deverão ser separados na fonte de produção pelos respectivos geradores, e daí seguir passos específicos para remoção, coleta, transporte, tratamento e destinos corretos. Consequentemente, os geradores têm de ser envolvidos, de uma forma ou de outra, para se integrarem à gestão do sistema.</w:t>
      </w:r>
    </w:p>
    <w:p w:rsidR="00E32574" w:rsidRPr="008D43D2" w:rsidRDefault="00E32574" w:rsidP="00E53895">
      <w:pPr>
        <w:spacing w:after="0" w:line="360" w:lineRule="auto"/>
        <w:ind w:firstLine="708"/>
        <w:jc w:val="both"/>
        <w:rPr>
          <w:lang w:eastAsia="pt-BR"/>
        </w:rPr>
      </w:pPr>
      <w:r w:rsidRPr="008D43D2">
        <w:rPr>
          <w:lang w:eastAsia="pt-BR"/>
        </w:rPr>
        <w:t>Finalmente, gerenciamento integrado revela-se com a atuação de subsistemas específicos que demandam instalações, equipamentos, pessoal e tecnologia, não somente disponibilizados pela Prefeitura, mas oferecidos pelos diversos agentes envolvidos na gestão, entre os quais se enquadram:</w:t>
      </w:r>
    </w:p>
    <w:p w:rsidR="00E32574" w:rsidRPr="0090022C" w:rsidRDefault="00E32574" w:rsidP="0053477A">
      <w:pPr>
        <w:pStyle w:val="Corpodetexto2"/>
        <w:numPr>
          <w:ilvl w:val="0"/>
          <w:numId w:val="38"/>
        </w:numPr>
        <w:spacing w:after="0" w:line="360" w:lineRule="auto"/>
        <w:ind w:left="567" w:hanging="283"/>
        <w:jc w:val="both"/>
      </w:pPr>
      <w:r w:rsidRPr="0090022C">
        <w:t>A Prefeitura, através da através da Secretaria Municipal de Transporte e Limpeza Pública e de seus agentes, instituições e empresas contratadas, que por meio de acordos, convênios e parcerias exercem, é claro, papel protagonista no gerenciamento integrado de todo o sistema;</w:t>
      </w:r>
    </w:p>
    <w:p w:rsidR="00E32574" w:rsidRPr="0090022C" w:rsidRDefault="00E32574" w:rsidP="0053477A">
      <w:pPr>
        <w:pStyle w:val="Corpodetexto2"/>
        <w:numPr>
          <w:ilvl w:val="0"/>
          <w:numId w:val="38"/>
        </w:numPr>
        <w:spacing w:after="0" w:line="360" w:lineRule="auto"/>
        <w:ind w:left="567" w:hanging="283"/>
        <w:jc w:val="both"/>
      </w:pPr>
      <w:r w:rsidRPr="0090022C">
        <w:t>A própria população, empenhada na separação e acondicionamento diferenciado dos materiais recicláveis em casa e no trabalho;</w:t>
      </w:r>
    </w:p>
    <w:p w:rsidR="00E32574" w:rsidRPr="0090022C" w:rsidRDefault="00E32574" w:rsidP="0053477A">
      <w:pPr>
        <w:pStyle w:val="Corpodetexto2"/>
        <w:numPr>
          <w:ilvl w:val="0"/>
          <w:numId w:val="38"/>
        </w:numPr>
        <w:spacing w:after="0" w:line="360" w:lineRule="auto"/>
        <w:ind w:left="567" w:hanging="283"/>
        <w:jc w:val="both"/>
      </w:pPr>
      <w:r w:rsidRPr="0090022C">
        <w:t>Os geradores, responsáveis pelos próprios rejeitos;</w:t>
      </w:r>
    </w:p>
    <w:p w:rsidR="00E32574" w:rsidRPr="0090022C" w:rsidRDefault="00E32574" w:rsidP="0053477A">
      <w:pPr>
        <w:pStyle w:val="Corpodetexto2"/>
        <w:numPr>
          <w:ilvl w:val="0"/>
          <w:numId w:val="38"/>
        </w:numPr>
        <w:spacing w:after="0" w:line="360" w:lineRule="auto"/>
        <w:ind w:left="567" w:hanging="283"/>
        <w:jc w:val="both"/>
      </w:pPr>
      <w:r w:rsidRPr="0090022C">
        <w:lastRenderedPageBreak/>
        <w:t>A Prefeitura responsável pelos serviços da limpeza pública assume com a inexistência de catadores organizados em cooperativas para atender à coleta seletiva dos materiais recicláveis, os serviços de coleta, segregação e comercialização dos resíduos recicláveis na Usina de Triagem e Compostagem (UTC) do município;</w:t>
      </w:r>
    </w:p>
    <w:p w:rsidR="00E32574" w:rsidRPr="0090022C" w:rsidRDefault="00E32574" w:rsidP="0053477A">
      <w:pPr>
        <w:pStyle w:val="Corpodetexto2"/>
        <w:numPr>
          <w:ilvl w:val="0"/>
          <w:numId w:val="38"/>
        </w:numPr>
        <w:spacing w:after="0" w:line="360" w:lineRule="auto"/>
        <w:ind w:left="567" w:hanging="283"/>
        <w:jc w:val="both"/>
      </w:pPr>
      <w:r w:rsidRPr="0090022C">
        <w:t>Os estabelecimentos que tratam da saúde, tornando-os inertes ou oferecidos à coleta diferenciada, quando isso for imprescindível;</w:t>
      </w:r>
    </w:p>
    <w:p w:rsidR="00E32574" w:rsidRPr="0090022C" w:rsidRDefault="00E32574" w:rsidP="0053477A">
      <w:pPr>
        <w:pStyle w:val="Corpodetexto2"/>
        <w:numPr>
          <w:ilvl w:val="0"/>
          <w:numId w:val="38"/>
        </w:numPr>
        <w:spacing w:after="0" w:line="360" w:lineRule="auto"/>
        <w:ind w:left="567" w:hanging="283"/>
        <w:jc w:val="both"/>
      </w:pPr>
      <w:r w:rsidRPr="0090022C">
        <w:t>As escolas públicas e privadas, no ensino e motivação das novas práticas de cidadania.</w:t>
      </w:r>
    </w:p>
    <w:p w:rsidR="00E32574" w:rsidRPr="008D43D2" w:rsidRDefault="00E32574" w:rsidP="00E53895">
      <w:pPr>
        <w:spacing w:after="0" w:line="360" w:lineRule="auto"/>
        <w:ind w:firstLine="708"/>
        <w:jc w:val="both"/>
        <w:rPr>
          <w:lang w:eastAsia="pt-BR"/>
        </w:rPr>
      </w:pPr>
      <w:r w:rsidRPr="008D43D2">
        <w:rPr>
          <w:lang w:eastAsia="pt-BR"/>
        </w:rPr>
        <w:t>Pode-se considerar gerenciamento integrado do resíduo sólido quando passar a existir uma estreita interligação entre as ações normativas, operacionais, financeiras e de planejamento das atividades do sistema de limpeza urbana, bem como quando tais articulações se manifestarem também no âmbito das ações de limpeza urbana com as demais políticas públicas setoriais.</w:t>
      </w:r>
    </w:p>
    <w:p w:rsidR="00E32574" w:rsidRPr="008D43D2" w:rsidRDefault="00E32574" w:rsidP="00B515F8">
      <w:pPr>
        <w:spacing w:after="0" w:line="360" w:lineRule="auto"/>
        <w:ind w:firstLine="709"/>
        <w:jc w:val="both"/>
        <w:rPr>
          <w:lang w:eastAsia="pt-BR"/>
        </w:rPr>
      </w:pPr>
      <w:r w:rsidRPr="008D43D2">
        <w:rPr>
          <w:lang w:eastAsia="pt-BR"/>
        </w:rPr>
        <w:t>Nesse cenário, a participação da população ocupará sempre papel de significativo destaque, sendo reconhecida sua função de agente transformador no contexto da limpeza urbana da sede e distritos municipais.</w:t>
      </w:r>
    </w:p>
    <w:p w:rsidR="00E32574" w:rsidRPr="005A4625" w:rsidRDefault="00E32574" w:rsidP="001D33A3">
      <w:pPr>
        <w:pStyle w:val="Corpodetexto3"/>
        <w:spacing w:before="120" w:line="240" w:lineRule="auto"/>
        <w:ind w:left="3402"/>
        <w:jc w:val="both"/>
        <w:rPr>
          <w:sz w:val="20"/>
          <w:szCs w:val="20"/>
        </w:rPr>
      </w:pPr>
      <w:r w:rsidRPr="005A4625">
        <w:rPr>
          <w:sz w:val="20"/>
          <w:szCs w:val="20"/>
        </w:rPr>
        <w:t>"O manejo ambientalmente saudável de resíduos deve ir além da simples deposição ou aproveitamento por métodos seguros dos resíduos gerados e buscar desenvolver a causa fundamental do problema, procurando mudar os padrões não-sustentáveis de produção e consumo. Isto implica a utilização do conceito de manejo integrado do ciclo vital, o qual apresenta oportunidade única de conciliar o desenvolvimento com a proteção do meio ambiente” (</w:t>
      </w:r>
      <w:r w:rsidR="00876CD0">
        <w:rPr>
          <w:sz w:val="20"/>
          <w:szCs w:val="20"/>
        </w:rPr>
        <w:t>Agência</w:t>
      </w:r>
      <w:r w:rsidRPr="005A4625">
        <w:rPr>
          <w:sz w:val="20"/>
          <w:szCs w:val="20"/>
        </w:rPr>
        <w:t xml:space="preserve"> 21).</w:t>
      </w:r>
    </w:p>
    <w:p w:rsidR="00E32574" w:rsidRPr="0090022C" w:rsidRDefault="001D33A3" w:rsidP="00971B37">
      <w:pPr>
        <w:pStyle w:val="Titulo"/>
      </w:pPr>
      <w:bookmarkStart w:id="544" w:name="_Toc110334819"/>
      <w:bookmarkStart w:id="545" w:name="_Toc372559159"/>
      <w:bookmarkStart w:id="546" w:name="_Toc372789590"/>
      <w:bookmarkEnd w:id="543"/>
      <w:r>
        <w:t xml:space="preserve">13.3 </w:t>
      </w:r>
      <w:r w:rsidRPr="0090022C">
        <w:t>Modelo Institucional</w:t>
      </w:r>
      <w:bookmarkEnd w:id="544"/>
      <w:bookmarkEnd w:id="545"/>
      <w:bookmarkEnd w:id="546"/>
    </w:p>
    <w:p w:rsidR="00E32574" w:rsidRPr="000C5DD6" w:rsidRDefault="001D33A3" w:rsidP="00971B37">
      <w:pPr>
        <w:pStyle w:val="Titulo"/>
      </w:pPr>
      <w:bookmarkStart w:id="547" w:name="_Toc110334820"/>
      <w:bookmarkStart w:id="548" w:name="_Toc372559160"/>
      <w:bookmarkStart w:id="549" w:name="_Toc372789591"/>
      <w:r w:rsidRPr="000C5DD6">
        <w:t>13.3</w:t>
      </w:r>
      <w:r w:rsidR="00E32574" w:rsidRPr="000C5DD6">
        <w:t>.1 Objetivo</w:t>
      </w:r>
      <w:bookmarkEnd w:id="547"/>
      <w:bookmarkEnd w:id="548"/>
      <w:bookmarkEnd w:id="549"/>
    </w:p>
    <w:p w:rsidR="00E32574" w:rsidRPr="00466071" w:rsidRDefault="00E32574" w:rsidP="001D33A3">
      <w:pPr>
        <w:pStyle w:val="Corpodetexto3"/>
        <w:spacing w:after="0" w:line="360" w:lineRule="auto"/>
        <w:ind w:firstLine="851"/>
        <w:jc w:val="both"/>
        <w:rPr>
          <w:rFonts w:cs="Times New Roman"/>
          <w:sz w:val="24"/>
          <w:szCs w:val="24"/>
        </w:rPr>
      </w:pPr>
      <w:r w:rsidRPr="00466071">
        <w:rPr>
          <w:rFonts w:cs="Times New Roman"/>
          <w:bCs/>
          <w:sz w:val="24"/>
          <w:szCs w:val="24"/>
        </w:rPr>
        <w:t xml:space="preserve">As diretrizes nacionais para o saneamento básico definida pela </w:t>
      </w:r>
      <w:hyperlink r:id="rId230" w:history="1">
        <w:r w:rsidRPr="00466071">
          <w:rPr>
            <w:rFonts w:cs="Times New Roman"/>
            <w:sz w:val="24"/>
            <w:szCs w:val="24"/>
          </w:rPr>
          <w:t>Lei Nº 11.445, de 5 de janeiro de 2007, estabelece</w:t>
        </w:r>
      </w:hyperlink>
      <w:r w:rsidRPr="00466071">
        <w:rPr>
          <w:rFonts w:cs="Times New Roman"/>
          <w:bCs/>
          <w:sz w:val="24"/>
          <w:szCs w:val="24"/>
        </w:rPr>
        <w:t xml:space="preserve"> no </w:t>
      </w:r>
      <w:r w:rsidRPr="00466071">
        <w:rPr>
          <w:rFonts w:cs="Times New Roman"/>
          <w:sz w:val="24"/>
          <w:szCs w:val="24"/>
        </w:rPr>
        <w:t xml:space="preserve">Art. 2º que os serviços públicos de saneamento básico, dentre estes se inclui a </w:t>
      </w:r>
      <w:r w:rsidRPr="00466071">
        <w:rPr>
          <w:rFonts w:cs="Times New Roman"/>
          <w:bCs/>
          <w:iCs/>
          <w:sz w:val="24"/>
          <w:szCs w:val="24"/>
        </w:rPr>
        <w:t>limpeza urbana e manejo dos resíduos sólidos,</w:t>
      </w:r>
      <w:r w:rsidRPr="00466071">
        <w:rPr>
          <w:rFonts w:cs="Times New Roman"/>
          <w:sz w:val="24"/>
          <w:szCs w:val="24"/>
        </w:rPr>
        <w:t xml:space="preserve"> devem ser prestados com base nos princípios fundamentais da universalização do acesso; na integralidade, propiciando à população o acesso </w:t>
      </w:r>
      <w:r w:rsidR="00466071" w:rsidRPr="00466071">
        <w:rPr>
          <w:rFonts w:cs="Times New Roman"/>
          <w:sz w:val="24"/>
          <w:szCs w:val="24"/>
        </w:rPr>
        <w:t>a</w:t>
      </w:r>
      <w:r w:rsidRPr="00466071">
        <w:rPr>
          <w:rFonts w:cs="Times New Roman"/>
          <w:sz w:val="24"/>
          <w:szCs w:val="24"/>
        </w:rPr>
        <w:t xml:space="preserve"> conformidade de suas necessidades e maximizando a eficácia das ações e resultados; na eficiência e sustentabilidade econômica; na utilização de tecnologias apropriadas, considerando a capacidade de pagamento dos usuários e a adoção de soluções graduais e </w:t>
      </w:r>
      <w:r w:rsidRPr="00466071">
        <w:rPr>
          <w:rFonts w:cs="Times New Roman"/>
          <w:sz w:val="24"/>
          <w:szCs w:val="24"/>
        </w:rPr>
        <w:lastRenderedPageBreak/>
        <w:t>progressivas; na transparência das ações, baseada em sistemas de informações e processos decisórios institucionalizados; no controle social; na segu</w:t>
      </w:r>
      <w:r w:rsidR="00466071">
        <w:rPr>
          <w:rFonts w:cs="Times New Roman"/>
          <w:sz w:val="24"/>
          <w:szCs w:val="24"/>
        </w:rPr>
        <w:t>rança, qualidade e regularidade.</w:t>
      </w:r>
    </w:p>
    <w:p w:rsidR="00E32574" w:rsidRPr="00466071" w:rsidRDefault="00E32574" w:rsidP="001D33A3">
      <w:pPr>
        <w:pStyle w:val="Corpodetexto3"/>
        <w:spacing w:after="0" w:line="360" w:lineRule="auto"/>
        <w:ind w:firstLine="851"/>
        <w:jc w:val="both"/>
        <w:rPr>
          <w:rFonts w:cs="Times New Roman"/>
          <w:bCs/>
          <w:iCs/>
          <w:sz w:val="24"/>
          <w:szCs w:val="24"/>
        </w:rPr>
      </w:pPr>
      <w:r w:rsidRPr="00466071">
        <w:rPr>
          <w:rFonts w:cs="Times New Roman"/>
          <w:color w:val="000000"/>
          <w:sz w:val="24"/>
          <w:szCs w:val="24"/>
        </w:rPr>
        <w:t>No Art. 3</w:t>
      </w:r>
      <w:r w:rsidRPr="00466071">
        <w:rPr>
          <w:rFonts w:cs="Times New Roman"/>
          <w:color w:val="000000"/>
          <w:sz w:val="24"/>
          <w:szCs w:val="24"/>
          <w:u w:val="single"/>
          <w:vertAlign w:val="superscript"/>
        </w:rPr>
        <w:t>o</w:t>
      </w:r>
      <w:r w:rsidRPr="00466071">
        <w:rPr>
          <w:rFonts w:cs="Times New Roman"/>
          <w:color w:val="000000"/>
          <w:sz w:val="24"/>
          <w:szCs w:val="24"/>
        </w:rPr>
        <w:t xml:space="preserve"> Para os efeitos desta Lei, considera-se saneamento básico conjunto de </w:t>
      </w:r>
      <w:r w:rsidRPr="00466071">
        <w:rPr>
          <w:rFonts w:cs="Times New Roman"/>
          <w:bCs/>
          <w:iCs/>
          <w:sz w:val="24"/>
          <w:szCs w:val="24"/>
        </w:rPr>
        <w:t xml:space="preserve">serviços, infraestruturas e instalações operacionais. No item “c” deste artigo a </w:t>
      </w:r>
      <w:bookmarkStart w:id="550" w:name="art3ic"/>
      <w:bookmarkEnd w:id="550"/>
      <w:r w:rsidRPr="00466071">
        <w:rPr>
          <w:rFonts w:cs="Times New Roman"/>
          <w:bCs/>
          <w:iCs/>
          <w:sz w:val="24"/>
          <w:szCs w:val="24"/>
        </w:rPr>
        <w:t>limpeza urbana e manejo de resíduos sólidos: conjunto de atividades, infraestruturas e instalações operacionais de coleta, transporte, transbordo, tratamento e destino final do lixo doméstico e do lixo originário da varrição e limpeza de logradouros e vias públicas;</w:t>
      </w:r>
    </w:p>
    <w:p w:rsidR="00E32574" w:rsidRPr="001D33A3" w:rsidRDefault="00E32574" w:rsidP="001D33A3">
      <w:pPr>
        <w:spacing w:after="0" w:line="360" w:lineRule="auto"/>
        <w:ind w:firstLine="708"/>
        <w:jc w:val="both"/>
        <w:rPr>
          <w:rFonts w:cs="Times New Roman"/>
          <w:szCs w:val="24"/>
          <w:lang w:eastAsia="pt-BR"/>
        </w:rPr>
      </w:pPr>
      <w:r w:rsidRPr="001D33A3">
        <w:rPr>
          <w:rFonts w:cs="Times New Roman"/>
          <w:szCs w:val="24"/>
          <w:lang w:eastAsia="pt-BR"/>
        </w:rPr>
        <w:t>O sistema de limpeza urbana para o município de Aimorés deverá ser implantado segundo modelo de gestão que, tanto quanto possível, seja capaz de:</w:t>
      </w:r>
    </w:p>
    <w:p w:rsidR="00E32574" w:rsidRPr="001D33A3" w:rsidRDefault="00E32574" w:rsidP="0053477A">
      <w:pPr>
        <w:pStyle w:val="Corpodetexto2"/>
        <w:numPr>
          <w:ilvl w:val="0"/>
          <w:numId w:val="39"/>
        </w:numPr>
        <w:spacing w:after="0" w:line="360" w:lineRule="auto"/>
        <w:ind w:left="567" w:hanging="283"/>
        <w:jc w:val="both"/>
        <w:rPr>
          <w:rFonts w:cs="Times New Roman"/>
          <w:szCs w:val="24"/>
        </w:rPr>
      </w:pPr>
      <w:r w:rsidRPr="001D33A3">
        <w:rPr>
          <w:rFonts w:cs="Times New Roman"/>
          <w:szCs w:val="24"/>
        </w:rPr>
        <w:t>Promover a sustentabilidade econômica das operações relacionadas à coleta, disposição e tratamento de resíduos, na sede municipal e nos distritos;</w:t>
      </w:r>
    </w:p>
    <w:p w:rsidR="00E32574" w:rsidRPr="001D33A3" w:rsidRDefault="00E32574" w:rsidP="0053477A">
      <w:pPr>
        <w:pStyle w:val="Corpodetexto2"/>
        <w:numPr>
          <w:ilvl w:val="0"/>
          <w:numId w:val="39"/>
        </w:numPr>
        <w:spacing w:after="0" w:line="360" w:lineRule="auto"/>
        <w:ind w:left="567" w:hanging="283"/>
        <w:jc w:val="both"/>
        <w:rPr>
          <w:rFonts w:cs="Times New Roman"/>
          <w:szCs w:val="24"/>
        </w:rPr>
      </w:pPr>
      <w:r w:rsidRPr="001D33A3">
        <w:rPr>
          <w:rFonts w:cs="Times New Roman"/>
          <w:szCs w:val="24"/>
        </w:rPr>
        <w:t>Preservar o meio ambiente;</w:t>
      </w:r>
    </w:p>
    <w:p w:rsidR="00E32574" w:rsidRPr="001D33A3" w:rsidRDefault="00E32574" w:rsidP="0053477A">
      <w:pPr>
        <w:pStyle w:val="Corpodetexto2"/>
        <w:numPr>
          <w:ilvl w:val="0"/>
          <w:numId w:val="39"/>
        </w:numPr>
        <w:spacing w:after="0" w:line="360" w:lineRule="auto"/>
        <w:ind w:left="567" w:hanging="283"/>
        <w:jc w:val="both"/>
        <w:rPr>
          <w:rFonts w:cs="Times New Roman"/>
          <w:szCs w:val="24"/>
        </w:rPr>
      </w:pPr>
      <w:r w:rsidRPr="001D33A3">
        <w:rPr>
          <w:rFonts w:cs="Times New Roman"/>
          <w:szCs w:val="24"/>
        </w:rPr>
        <w:t>Preservar a qualidade de vida das comunidades;</w:t>
      </w:r>
    </w:p>
    <w:p w:rsidR="00E32574" w:rsidRPr="001D33A3" w:rsidRDefault="00E32574" w:rsidP="0053477A">
      <w:pPr>
        <w:pStyle w:val="Corpodetexto2"/>
        <w:numPr>
          <w:ilvl w:val="0"/>
          <w:numId w:val="39"/>
        </w:numPr>
        <w:spacing w:after="0" w:line="360" w:lineRule="auto"/>
        <w:ind w:left="567" w:hanging="283"/>
        <w:jc w:val="both"/>
        <w:rPr>
          <w:rFonts w:cs="Times New Roman"/>
          <w:szCs w:val="24"/>
        </w:rPr>
      </w:pPr>
      <w:r w:rsidRPr="001D33A3">
        <w:rPr>
          <w:rFonts w:cs="Times New Roman"/>
          <w:szCs w:val="24"/>
        </w:rPr>
        <w:t>Contribuir para a solução dos aspectos sociais envolvidos com a questão.</w:t>
      </w:r>
    </w:p>
    <w:p w:rsidR="00E32574" w:rsidRPr="001D33A3" w:rsidRDefault="00E32574" w:rsidP="001D33A3">
      <w:pPr>
        <w:spacing w:after="0" w:line="360" w:lineRule="auto"/>
        <w:ind w:firstLine="708"/>
        <w:jc w:val="both"/>
        <w:rPr>
          <w:rFonts w:cs="Times New Roman"/>
          <w:szCs w:val="24"/>
          <w:lang w:eastAsia="pt-BR"/>
        </w:rPr>
      </w:pPr>
      <w:r w:rsidRPr="001D33A3">
        <w:rPr>
          <w:rFonts w:cs="Times New Roman"/>
          <w:szCs w:val="24"/>
          <w:lang w:eastAsia="pt-BR"/>
        </w:rPr>
        <w:t>Em todos os segmentos operacionais do sistema deverão ser buscadas alternativas que atendam simultaneamente a duas condições fundamentais: Sejam as mais econômicas e sejam tecnicamente corretas para o ambiente e para a saúde da população.</w:t>
      </w:r>
    </w:p>
    <w:p w:rsidR="00E32574" w:rsidRPr="001D33A3" w:rsidRDefault="00E32574" w:rsidP="001D33A3">
      <w:pPr>
        <w:spacing w:after="0" w:line="360" w:lineRule="auto"/>
        <w:ind w:firstLine="708"/>
        <w:jc w:val="both"/>
        <w:rPr>
          <w:rFonts w:cs="Times New Roman"/>
          <w:szCs w:val="24"/>
          <w:lang w:eastAsia="pt-BR"/>
        </w:rPr>
      </w:pPr>
      <w:r w:rsidRPr="001D33A3">
        <w:rPr>
          <w:rFonts w:cs="Times New Roman"/>
          <w:szCs w:val="24"/>
          <w:lang w:eastAsia="pt-BR"/>
        </w:rPr>
        <w:t>O modelo de gestão então deverá não somente permitir, mas sobretudo, facilitar a participação da população na questão da limpeza urbana da sede e distritos para que estes se conscientizem das várias atividades que compõem o sistema, dos custos requeridos para sua realização entendendo o seu papel como agente consumidor e, por consequência, gerador de resíduo.</w:t>
      </w:r>
    </w:p>
    <w:p w:rsidR="00E32574" w:rsidRPr="001D33A3" w:rsidRDefault="00E32574" w:rsidP="001D33A3">
      <w:pPr>
        <w:spacing w:after="0" w:line="360" w:lineRule="auto"/>
        <w:ind w:firstLine="708"/>
        <w:jc w:val="both"/>
        <w:rPr>
          <w:rFonts w:cs="Times New Roman"/>
          <w:szCs w:val="24"/>
          <w:lang w:eastAsia="pt-BR"/>
        </w:rPr>
      </w:pPr>
      <w:r w:rsidRPr="001D33A3">
        <w:rPr>
          <w:rFonts w:cs="Times New Roman"/>
          <w:szCs w:val="24"/>
          <w:lang w:eastAsia="pt-BR"/>
        </w:rPr>
        <w:t>A consequência efetiva dessa participação se traduz na redução da geração de resíduo, na manutenção dos logradouros limpos, no acondicionamento e disposição para a coleta programada, e, como resultado final, em operações dos serviços menos onerosas para a municipalidade.</w:t>
      </w:r>
    </w:p>
    <w:p w:rsidR="00E32574" w:rsidRPr="001D33A3" w:rsidRDefault="00E32574" w:rsidP="001D33A3">
      <w:pPr>
        <w:spacing w:after="0" w:line="360" w:lineRule="auto"/>
        <w:ind w:firstLine="708"/>
        <w:jc w:val="both"/>
        <w:rPr>
          <w:rFonts w:cs="Times New Roman"/>
          <w:szCs w:val="24"/>
          <w:lang w:eastAsia="pt-BR"/>
        </w:rPr>
      </w:pPr>
      <w:r w:rsidRPr="001D33A3">
        <w:rPr>
          <w:rFonts w:cs="Times New Roman"/>
          <w:szCs w:val="24"/>
          <w:lang w:eastAsia="pt-BR"/>
        </w:rPr>
        <w:t xml:space="preserve">É importante que a população saiba que é ela quem remunera o sistema, através do pagamento de impostos, taxas ou tarifas. Em última análise, está na própria população a chave para a sustentação do sistema, implicando por parte da municipalidade a montagem de uma </w:t>
      </w:r>
      <w:r w:rsidRPr="001D33A3">
        <w:rPr>
          <w:rFonts w:cs="Times New Roman"/>
          <w:szCs w:val="24"/>
          <w:lang w:eastAsia="pt-BR"/>
        </w:rPr>
        <w:lastRenderedPageBreak/>
        <w:t>gestão integrada que inclua, necessariamente, programas de sensibilização dos cidadãos e tenha uma nítida predisposição política voltada para a defesa das prioridades inerentes ao sistema de limpeza urbana.</w:t>
      </w:r>
    </w:p>
    <w:p w:rsidR="00E32574" w:rsidRPr="001D33A3" w:rsidRDefault="00E32574" w:rsidP="001D33A3">
      <w:pPr>
        <w:spacing w:after="0" w:line="360" w:lineRule="auto"/>
        <w:ind w:firstLine="708"/>
        <w:jc w:val="both"/>
        <w:rPr>
          <w:rFonts w:cs="Times New Roman"/>
          <w:szCs w:val="24"/>
          <w:lang w:eastAsia="pt-BR"/>
        </w:rPr>
      </w:pPr>
      <w:r w:rsidRPr="001D33A3">
        <w:rPr>
          <w:rFonts w:cs="Times New Roman"/>
          <w:szCs w:val="24"/>
          <w:lang w:eastAsia="pt-BR"/>
        </w:rPr>
        <w:t>Esse objetivo deverá estar presente na definição da política fiscal do município, técnica e socialmente justa, e, consequentemente, nas dotações orçamentárias necessárias à sustentação econômica do sistema, à educação ambiental e ao desenvolvimento de programas geradores de emprego e renda na chamada “economia do resíduo”.</w:t>
      </w:r>
    </w:p>
    <w:p w:rsidR="00E32574" w:rsidRPr="001D33A3" w:rsidRDefault="00E32574" w:rsidP="001D33A3">
      <w:pPr>
        <w:spacing w:after="0" w:line="360" w:lineRule="auto"/>
        <w:ind w:firstLine="708"/>
        <w:jc w:val="both"/>
        <w:rPr>
          <w:rFonts w:cs="Times New Roman"/>
          <w:szCs w:val="24"/>
          <w:lang w:eastAsia="pt-BR"/>
        </w:rPr>
      </w:pPr>
      <w:r w:rsidRPr="001D33A3">
        <w:rPr>
          <w:rFonts w:cs="Times New Roman"/>
          <w:szCs w:val="24"/>
          <w:lang w:eastAsia="pt-BR"/>
        </w:rPr>
        <w:t>A base para a ação política está na satisfação da população com os serviços de limpeza urbana, cuja qualidade se manifesta na universalidade, regularidade e pontualidade dos serviços de coleta e limpeza de logradouros, dentro de um padrão de produtividade que denota preocupação com custos e eficiência operacional.</w:t>
      </w:r>
    </w:p>
    <w:p w:rsidR="00E32574" w:rsidRPr="001D33A3" w:rsidRDefault="00E32574" w:rsidP="001D33A3">
      <w:pPr>
        <w:spacing w:after="0" w:line="360" w:lineRule="auto"/>
        <w:ind w:firstLine="708"/>
        <w:jc w:val="both"/>
        <w:rPr>
          <w:rFonts w:cs="Times New Roman"/>
          <w:szCs w:val="24"/>
          <w:lang w:eastAsia="pt-BR"/>
        </w:rPr>
      </w:pPr>
      <w:r w:rsidRPr="001D33A3">
        <w:rPr>
          <w:rFonts w:cs="Times New Roman"/>
          <w:szCs w:val="24"/>
          <w:lang w:eastAsia="pt-BR"/>
        </w:rPr>
        <w:t>A ação política situa-se no envolvimento das lideranças sociais, de empresas privadas e de instituições estaduais e federais atuantes no município com responsabilidades ambientais importantes.</w:t>
      </w:r>
    </w:p>
    <w:p w:rsidR="00E32574" w:rsidRPr="001D33A3" w:rsidRDefault="00E32574" w:rsidP="001D33A3">
      <w:pPr>
        <w:spacing w:after="0" w:line="360" w:lineRule="auto"/>
        <w:ind w:firstLine="708"/>
        <w:jc w:val="both"/>
        <w:rPr>
          <w:rFonts w:cs="Times New Roman"/>
          <w:szCs w:val="24"/>
          <w:lang w:eastAsia="pt-BR"/>
        </w:rPr>
      </w:pPr>
      <w:r w:rsidRPr="001D33A3">
        <w:rPr>
          <w:rFonts w:cs="Times New Roman"/>
          <w:szCs w:val="24"/>
          <w:lang w:eastAsia="pt-BR"/>
        </w:rPr>
        <w:t>A instrumentação política então se concretizará com a aprovação de regulamento para a limpeza urbana da cidade de Aimorés, que consolidaria o modelo de gestão adotado e as posturas de comportamento social obrigatórias, assim como as definições de infrações e multas.</w:t>
      </w:r>
    </w:p>
    <w:p w:rsidR="00E32574" w:rsidRPr="001D33A3" w:rsidRDefault="00E32574" w:rsidP="001D33A3">
      <w:pPr>
        <w:spacing w:after="0" w:line="360" w:lineRule="auto"/>
        <w:ind w:firstLine="708"/>
        <w:jc w:val="both"/>
        <w:rPr>
          <w:rFonts w:cs="Times New Roman"/>
          <w:szCs w:val="24"/>
          <w:lang w:eastAsia="pt-BR"/>
        </w:rPr>
      </w:pPr>
      <w:r w:rsidRPr="001D33A3">
        <w:rPr>
          <w:rFonts w:cs="Times New Roman"/>
          <w:szCs w:val="24"/>
          <w:lang w:eastAsia="pt-BR"/>
        </w:rPr>
        <w:t>O regulamento deverá espelhar com nitidez os objetivos do poder público na conscientização da população para a questão da limpeza urbana e ambiental.</w:t>
      </w:r>
    </w:p>
    <w:p w:rsidR="00E32574" w:rsidRPr="000C5DD6" w:rsidRDefault="00343110" w:rsidP="00971B37">
      <w:pPr>
        <w:pStyle w:val="Titulo"/>
      </w:pPr>
      <w:bookmarkStart w:id="551" w:name="_Toc110334821"/>
      <w:bookmarkStart w:id="552" w:name="_Toc372559161"/>
      <w:bookmarkStart w:id="553" w:name="_Toc372789592"/>
      <w:r w:rsidRPr="000C5DD6">
        <w:t xml:space="preserve">13.3.2 </w:t>
      </w:r>
      <w:r w:rsidR="00E32574" w:rsidRPr="000C5DD6">
        <w:t>Forma de Administração</w:t>
      </w:r>
      <w:bookmarkEnd w:id="551"/>
      <w:bookmarkEnd w:id="552"/>
      <w:bookmarkEnd w:id="553"/>
    </w:p>
    <w:p w:rsidR="00E32574" w:rsidRPr="0090022C" w:rsidRDefault="00E32574" w:rsidP="00343110">
      <w:pPr>
        <w:spacing w:after="0" w:line="360" w:lineRule="auto"/>
        <w:ind w:firstLine="708"/>
        <w:jc w:val="both"/>
        <w:rPr>
          <w:szCs w:val="24"/>
        </w:rPr>
      </w:pPr>
      <w:r w:rsidRPr="0090022C">
        <w:rPr>
          <w:szCs w:val="24"/>
        </w:rPr>
        <w:t xml:space="preserve">A Constituição Federal, em seu art.30, </w:t>
      </w:r>
      <w:r w:rsidRPr="008D43D2">
        <w:rPr>
          <w:lang w:eastAsia="pt-BR"/>
        </w:rPr>
        <w:t>inciso</w:t>
      </w:r>
      <w:r w:rsidRPr="0090022C">
        <w:rPr>
          <w:szCs w:val="24"/>
        </w:rPr>
        <w:t xml:space="preserve"> V, dispõe sobre a competência dos municípios em </w:t>
      </w:r>
      <w:r w:rsidRPr="0090022C">
        <w:rPr>
          <w:i/>
          <w:iCs/>
          <w:szCs w:val="24"/>
        </w:rPr>
        <w:t xml:space="preserve">"organizar e prestar, diretamente ou sob regime de concessão ou permissão, os serviços públicos de interesse local, incluído o transporte coletivo, que tem caráter essencial" </w:t>
      </w:r>
      <w:r w:rsidRPr="0090022C">
        <w:rPr>
          <w:iCs/>
          <w:szCs w:val="24"/>
        </w:rPr>
        <w:t>(BRASIL, 1988)</w:t>
      </w:r>
      <w:r w:rsidRPr="0090022C">
        <w:rPr>
          <w:i/>
          <w:iCs/>
          <w:szCs w:val="24"/>
        </w:rPr>
        <w:t>.</w:t>
      </w:r>
    </w:p>
    <w:p w:rsidR="00E32574" w:rsidRPr="008D43D2" w:rsidRDefault="00E32574" w:rsidP="00343110">
      <w:pPr>
        <w:spacing w:after="0" w:line="360" w:lineRule="auto"/>
        <w:ind w:firstLine="708"/>
        <w:jc w:val="both"/>
        <w:rPr>
          <w:lang w:eastAsia="pt-BR"/>
        </w:rPr>
      </w:pPr>
      <w:r w:rsidRPr="008D43D2">
        <w:rPr>
          <w:lang w:eastAsia="pt-BR"/>
        </w:rPr>
        <w:t>O que define e caracteriza "interesse local" é a predominância do interesse do Município sobre os interesses do Estado ou da União. No que tange aos municípios, portanto, encontram-se sob a competência dos mesmos os serviços públicos essenciais, de interesse predominantemente local e, entre esses, os serviços de limpeza urbana.</w:t>
      </w:r>
    </w:p>
    <w:p w:rsidR="00E32574" w:rsidRPr="008D43D2" w:rsidRDefault="00E32574" w:rsidP="00343110">
      <w:pPr>
        <w:spacing w:after="0" w:line="360" w:lineRule="auto"/>
        <w:ind w:firstLine="708"/>
        <w:jc w:val="both"/>
        <w:rPr>
          <w:lang w:eastAsia="pt-BR"/>
        </w:rPr>
      </w:pPr>
      <w:r w:rsidRPr="008D43D2">
        <w:rPr>
          <w:lang w:eastAsia="pt-BR"/>
        </w:rPr>
        <w:lastRenderedPageBreak/>
        <w:t>O sistema de limpeza urbana da cidade pode ser administrado diretamente pela Prefeitura, como o é hoje; Através de uma empresa pública específica; Através de uma empresa de economia mista criada para desempenhar especificamente essa função; Ou através de concessão ou terceirizados junto à iniciativa privada.</w:t>
      </w:r>
    </w:p>
    <w:p w:rsidR="00E32574" w:rsidRPr="008D43D2" w:rsidRDefault="00E32574" w:rsidP="00343110">
      <w:pPr>
        <w:spacing w:after="0" w:line="360" w:lineRule="auto"/>
        <w:ind w:firstLine="708"/>
        <w:jc w:val="both"/>
        <w:rPr>
          <w:lang w:eastAsia="pt-BR"/>
        </w:rPr>
      </w:pPr>
      <w:r w:rsidRPr="008D43D2">
        <w:rPr>
          <w:lang w:eastAsia="pt-BR"/>
        </w:rPr>
        <w:t>A escala de produção do resíduo da cidade e de seus distritos, suas características urbanísticas, demográficas, econômicas e as peculiaridades culturais e sociais das comunidades devem orientar a escolha da forma de administração, tendo sempre os seguintes condicionantes como referência:</w:t>
      </w:r>
    </w:p>
    <w:p w:rsidR="00E32574" w:rsidRPr="0090022C" w:rsidRDefault="00E32574" w:rsidP="0053477A">
      <w:pPr>
        <w:pStyle w:val="Corpodetexto2"/>
        <w:numPr>
          <w:ilvl w:val="0"/>
          <w:numId w:val="40"/>
        </w:numPr>
        <w:spacing w:after="0" w:line="360" w:lineRule="auto"/>
        <w:ind w:left="567" w:hanging="283"/>
        <w:jc w:val="both"/>
      </w:pPr>
      <w:r w:rsidRPr="0090022C">
        <w:t>Custo da administração, gerenciamento, controle e fiscalização dos serviços;</w:t>
      </w:r>
    </w:p>
    <w:p w:rsidR="00E32574" w:rsidRPr="0090022C" w:rsidRDefault="00E32574" w:rsidP="0053477A">
      <w:pPr>
        <w:pStyle w:val="Corpodetexto2"/>
        <w:numPr>
          <w:ilvl w:val="0"/>
          <w:numId w:val="40"/>
        </w:numPr>
        <w:spacing w:after="0" w:line="360" w:lineRule="auto"/>
        <w:ind w:left="567" w:hanging="283"/>
        <w:jc w:val="both"/>
      </w:pPr>
      <w:r w:rsidRPr="0090022C">
        <w:t>Autonomia ou agilidade para planejar e decidir;</w:t>
      </w:r>
    </w:p>
    <w:p w:rsidR="00E32574" w:rsidRPr="0090022C" w:rsidRDefault="00E32574" w:rsidP="0053477A">
      <w:pPr>
        <w:pStyle w:val="Corpodetexto2"/>
        <w:numPr>
          <w:ilvl w:val="0"/>
          <w:numId w:val="40"/>
        </w:numPr>
        <w:spacing w:after="0" w:line="360" w:lineRule="auto"/>
        <w:ind w:left="567" w:hanging="283"/>
        <w:jc w:val="both"/>
      </w:pPr>
      <w:r w:rsidRPr="0090022C">
        <w:t>Autonomia de aplicação e remanejamento de recursos orçamentários;</w:t>
      </w:r>
    </w:p>
    <w:p w:rsidR="00E32574" w:rsidRPr="0090022C" w:rsidRDefault="00E32574" w:rsidP="0053477A">
      <w:pPr>
        <w:pStyle w:val="Corpodetexto2"/>
        <w:numPr>
          <w:ilvl w:val="0"/>
          <w:numId w:val="40"/>
        </w:numPr>
        <w:spacing w:after="0" w:line="360" w:lineRule="auto"/>
        <w:ind w:left="567" w:hanging="283"/>
        <w:jc w:val="both"/>
      </w:pPr>
      <w:r w:rsidRPr="0090022C">
        <w:t>Capacidade para investimento em desenvolvimento tecnológico, sistemas de informática e controle de qualidade;</w:t>
      </w:r>
    </w:p>
    <w:p w:rsidR="00E32574" w:rsidRPr="0090022C" w:rsidRDefault="00E32574" w:rsidP="0053477A">
      <w:pPr>
        <w:pStyle w:val="Corpodetexto2"/>
        <w:numPr>
          <w:ilvl w:val="0"/>
          <w:numId w:val="40"/>
        </w:numPr>
        <w:spacing w:after="0" w:line="360" w:lineRule="auto"/>
        <w:ind w:left="567" w:hanging="283"/>
        <w:jc w:val="both"/>
      </w:pPr>
      <w:r w:rsidRPr="0090022C">
        <w:t>Capacidade de investimento em recursos humanos e geração de emprego e renda;</w:t>
      </w:r>
    </w:p>
    <w:p w:rsidR="00E32574" w:rsidRPr="0090022C" w:rsidRDefault="00E32574" w:rsidP="0053477A">
      <w:pPr>
        <w:pStyle w:val="Corpodetexto2"/>
        <w:numPr>
          <w:ilvl w:val="0"/>
          <w:numId w:val="40"/>
        </w:numPr>
        <w:spacing w:after="0" w:line="360" w:lineRule="auto"/>
        <w:ind w:left="567" w:hanging="283"/>
        <w:jc w:val="both"/>
      </w:pPr>
      <w:r w:rsidRPr="0090022C">
        <w:t>Resposta às demandas sociais e políticas;</w:t>
      </w:r>
    </w:p>
    <w:p w:rsidR="00E32574" w:rsidRPr="0090022C" w:rsidRDefault="00E32574" w:rsidP="0053477A">
      <w:pPr>
        <w:pStyle w:val="Corpodetexto2"/>
        <w:numPr>
          <w:ilvl w:val="0"/>
          <w:numId w:val="40"/>
        </w:numPr>
        <w:spacing w:after="0" w:line="360" w:lineRule="auto"/>
        <w:ind w:left="567" w:hanging="283"/>
        <w:jc w:val="both"/>
      </w:pPr>
      <w:r w:rsidRPr="0090022C">
        <w:t>Resposta às questões econômicas conjunturais;</w:t>
      </w:r>
    </w:p>
    <w:p w:rsidR="00E32574" w:rsidRPr="0090022C" w:rsidRDefault="00E32574" w:rsidP="0053477A">
      <w:pPr>
        <w:pStyle w:val="Corpodetexto2"/>
        <w:numPr>
          <w:ilvl w:val="0"/>
          <w:numId w:val="40"/>
        </w:numPr>
        <w:spacing w:after="0" w:line="360" w:lineRule="auto"/>
        <w:ind w:left="567" w:hanging="283"/>
        <w:jc w:val="both"/>
      </w:pPr>
      <w:r w:rsidRPr="0090022C">
        <w:t>Resposta às emergências operacionais;</w:t>
      </w:r>
    </w:p>
    <w:p w:rsidR="00E32574" w:rsidRPr="0090022C" w:rsidRDefault="00E32574" w:rsidP="0053477A">
      <w:pPr>
        <w:pStyle w:val="Corpodetexto2"/>
        <w:numPr>
          <w:ilvl w:val="0"/>
          <w:numId w:val="40"/>
        </w:numPr>
        <w:spacing w:after="0" w:line="360" w:lineRule="auto"/>
        <w:ind w:left="567" w:hanging="283"/>
        <w:jc w:val="both"/>
      </w:pPr>
      <w:r w:rsidRPr="0090022C">
        <w:t>Resposta ao crescimento da demanda dos serviços.</w:t>
      </w:r>
    </w:p>
    <w:p w:rsidR="00E32574" w:rsidRPr="008D43D2" w:rsidRDefault="00E32574" w:rsidP="00343110">
      <w:pPr>
        <w:spacing w:after="0" w:line="360" w:lineRule="auto"/>
        <w:ind w:firstLine="708"/>
        <w:jc w:val="both"/>
        <w:rPr>
          <w:lang w:eastAsia="pt-BR"/>
        </w:rPr>
      </w:pPr>
      <w:r w:rsidRPr="008D43D2">
        <w:rPr>
          <w:lang w:eastAsia="pt-BR"/>
        </w:rPr>
        <w:t>A administração da limpeza urbana da sede e dos distritos de Aimorés é feita pelo Departamento de Limpeza Pública, ligado à Secretaria de Transporte e Limpeza Urbana, que compartilha recursos com outras secretarias da administração municipal. Esse tipo de administração em geral tem custo bastante reduzido quando comparado com custo de um órgão ou de uma instituição especificamente voltada para a gestão da limpeza urbana da cidade. Mas todos os demais condicionantes referidos anteriormente tornam-se difíceis de serem realizados, e o serviço tende a perder prioridade para outras áreas compartilhadas da prefeitura que também possuem urgências e às vezes apresenta maior visibilidade pública.</w:t>
      </w:r>
    </w:p>
    <w:p w:rsidR="00E32574" w:rsidRPr="008D43D2" w:rsidRDefault="00E32574" w:rsidP="00343110">
      <w:pPr>
        <w:spacing w:after="0" w:line="360" w:lineRule="auto"/>
        <w:ind w:firstLine="708"/>
        <w:jc w:val="both"/>
        <w:rPr>
          <w:lang w:eastAsia="pt-BR"/>
        </w:rPr>
      </w:pPr>
      <w:r w:rsidRPr="008D43D2">
        <w:rPr>
          <w:lang w:eastAsia="pt-BR"/>
        </w:rPr>
        <w:t>A administração da limpeza pública seja direta ou indireta, a prefeitura tem que equacionar duas questões: Remunerar de forma correta e suficiente os serviços; Ter garantia na arrecadação de receitas destinadas à limpeza urbana da cidade.</w:t>
      </w:r>
    </w:p>
    <w:p w:rsidR="00E32574" w:rsidRPr="008D43D2" w:rsidRDefault="00E32574" w:rsidP="00343110">
      <w:pPr>
        <w:spacing w:after="0" w:line="360" w:lineRule="auto"/>
        <w:ind w:firstLine="708"/>
        <w:jc w:val="both"/>
        <w:rPr>
          <w:lang w:eastAsia="pt-BR"/>
        </w:rPr>
      </w:pPr>
      <w:r w:rsidRPr="008D43D2">
        <w:rPr>
          <w:lang w:eastAsia="pt-BR"/>
        </w:rPr>
        <w:lastRenderedPageBreak/>
        <w:t>De acordo com dados da Prefeitura Municipal de Aimorés a população rural do município não é atendida pelo serviço de coleta dos RSU. Entretanto, os domicílios da área urbana da sede e dos distritos são atendidos por este serviço, ou seja, cerca de 79% da população é atendida pelo serviço de coleta convencional de RSU.</w:t>
      </w:r>
    </w:p>
    <w:p w:rsidR="00E32574" w:rsidRPr="000C5DD6" w:rsidRDefault="00343110" w:rsidP="00971B37">
      <w:pPr>
        <w:pStyle w:val="Titulo"/>
      </w:pPr>
      <w:bookmarkStart w:id="554" w:name="_Toc110334822"/>
      <w:bookmarkStart w:id="555" w:name="_Toc372559162"/>
      <w:bookmarkStart w:id="556" w:name="_Toc372789593"/>
      <w:r w:rsidRPr="000C5DD6">
        <w:t>13.3.3</w:t>
      </w:r>
      <w:r w:rsidR="00B67892" w:rsidRPr="000C5DD6">
        <w:t xml:space="preserve"> </w:t>
      </w:r>
      <w:r w:rsidR="00E32574" w:rsidRPr="000C5DD6">
        <w:t>Remuneração dos Serviços</w:t>
      </w:r>
      <w:bookmarkEnd w:id="554"/>
      <w:r w:rsidR="00E32574" w:rsidRPr="000C5DD6">
        <w:t xml:space="preserve"> de limpeza pública</w:t>
      </w:r>
      <w:bookmarkEnd w:id="555"/>
      <w:bookmarkEnd w:id="556"/>
    </w:p>
    <w:p w:rsidR="00995ADD" w:rsidRDefault="00E32574" w:rsidP="00343110">
      <w:pPr>
        <w:spacing w:after="0" w:line="360" w:lineRule="auto"/>
        <w:ind w:firstLine="709"/>
        <w:jc w:val="both"/>
        <w:rPr>
          <w:lang w:eastAsia="pt-BR"/>
        </w:rPr>
      </w:pPr>
      <w:r w:rsidRPr="008D43D2">
        <w:rPr>
          <w:lang w:eastAsia="pt-BR"/>
        </w:rPr>
        <w:t>Em Aimorés a remuneração pela prestação do serviço de limpeza pública e manejo do RSU é feito através da cobrança na conta do Serviço Autônomo de Água e Esgoto (SAAE/Aimorés)</w:t>
      </w:r>
      <w:r w:rsidR="00995ADD">
        <w:rPr>
          <w:lang w:eastAsia="pt-BR"/>
        </w:rPr>
        <w:t xml:space="preserve"> regulamentado segundo a Lei n°2.199/2010 “</w:t>
      </w:r>
      <w:r w:rsidR="00995ADD" w:rsidRPr="00106046">
        <w:rPr>
          <w:i/>
          <w:lang w:eastAsia="pt-BR"/>
        </w:rPr>
        <w:t>Dispõe sobre a cobrança da taxa de lixo no âmbito do município de Aimorés-MG e dá outras providências</w:t>
      </w:r>
      <w:r w:rsidR="00995ADD">
        <w:rPr>
          <w:lang w:eastAsia="pt-BR"/>
        </w:rPr>
        <w:t>”.</w:t>
      </w:r>
    </w:p>
    <w:p w:rsidR="00995ADD" w:rsidRPr="00106046" w:rsidRDefault="00995ADD" w:rsidP="00343110">
      <w:pPr>
        <w:spacing w:after="0" w:line="360" w:lineRule="auto"/>
        <w:ind w:firstLine="709"/>
        <w:jc w:val="both"/>
        <w:rPr>
          <w:i/>
          <w:lang w:eastAsia="pt-BR"/>
        </w:rPr>
      </w:pPr>
      <w:r w:rsidRPr="00106046">
        <w:rPr>
          <w:i/>
          <w:lang w:eastAsia="pt-BR"/>
        </w:rPr>
        <w:t>“Art. 15 – Cada Unidade Geradora de Lixo –UGL recebe uma classificação específica, conforme o bairro que está localizado nos seguintes termos:</w:t>
      </w:r>
    </w:p>
    <w:p w:rsidR="00995ADD" w:rsidRPr="00106046" w:rsidRDefault="00995ADD" w:rsidP="00343110">
      <w:pPr>
        <w:spacing w:after="0" w:line="360" w:lineRule="auto"/>
        <w:ind w:firstLine="709"/>
        <w:jc w:val="both"/>
        <w:rPr>
          <w:i/>
          <w:lang w:eastAsia="pt-BR"/>
        </w:rPr>
      </w:pPr>
    </w:p>
    <w:tbl>
      <w:tblPr>
        <w:tblStyle w:val="Tabelacomgrade"/>
        <w:tblW w:w="0" w:type="auto"/>
        <w:jc w:val="center"/>
        <w:tblLook w:val="04A0" w:firstRow="1" w:lastRow="0" w:firstColumn="1" w:lastColumn="0" w:noHBand="0" w:noVBand="1"/>
      </w:tblPr>
      <w:tblGrid>
        <w:gridCol w:w="1256"/>
        <w:gridCol w:w="1990"/>
      </w:tblGrid>
      <w:tr w:rsidR="00995ADD" w:rsidRPr="00106046" w:rsidTr="00995ADD">
        <w:trPr>
          <w:jc w:val="center"/>
        </w:trPr>
        <w:tc>
          <w:tcPr>
            <w:tcW w:w="1256" w:type="dxa"/>
          </w:tcPr>
          <w:p w:rsidR="00995ADD" w:rsidRPr="00106046" w:rsidRDefault="00995ADD" w:rsidP="00343110">
            <w:pPr>
              <w:spacing w:after="0" w:line="360" w:lineRule="auto"/>
              <w:jc w:val="both"/>
              <w:rPr>
                <w:i/>
                <w:lang w:eastAsia="pt-BR"/>
              </w:rPr>
            </w:pPr>
            <w:r w:rsidRPr="00106046">
              <w:rPr>
                <w:i/>
                <w:lang w:eastAsia="pt-BR"/>
              </w:rPr>
              <w:t>Classe A</w:t>
            </w:r>
          </w:p>
        </w:tc>
        <w:tc>
          <w:tcPr>
            <w:tcW w:w="1990" w:type="dxa"/>
          </w:tcPr>
          <w:p w:rsidR="00995ADD" w:rsidRPr="00106046" w:rsidRDefault="00995ADD" w:rsidP="00343110">
            <w:pPr>
              <w:spacing w:after="0" w:line="360" w:lineRule="auto"/>
              <w:jc w:val="both"/>
              <w:rPr>
                <w:i/>
                <w:lang w:eastAsia="pt-BR"/>
              </w:rPr>
            </w:pPr>
            <w:r w:rsidRPr="00106046">
              <w:rPr>
                <w:i/>
                <w:lang w:eastAsia="pt-BR"/>
              </w:rPr>
              <w:t>Valor de R$ 9,50</w:t>
            </w:r>
          </w:p>
        </w:tc>
      </w:tr>
      <w:tr w:rsidR="00995ADD" w:rsidRPr="00106046" w:rsidTr="00995ADD">
        <w:trPr>
          <w:jc w:val="center"/>
        </w:trPr>
        <w:tc>
          <w:tcPr>
            <w:tcW w:w="1256" w:type="dxa"/>
          </w:tcPr>
          <w:p w:rsidR="00995ADD" w:rsidRPr="00106046" w:rsidRDefault="00995ADD" w:rsidP="00343110">
            <w:pPr>
              <w:spacing w:after="0" w:line="360" w:lineRule="auto"/>
              <w:jc w:val="both"/>
              <w:rPr>
                <w:i/>
                <w:lang w:eastAsia="pt-BR"/>
              </w:rPr>
            </w:pPr>
            <w:r w:rsidRPr="00106046">
              <w:rPr>
                <w:i/>
                <w:lang w:eastAsia="pt-BR"/>
              </w:rPr>
              <w:t>Classe B</w:t>
            </w:r>
          </w:p>
        </w:tc>
        <w:tc>
          <w:tcPr>
            <w:tcW w:w="1990" w:type="dxa"/>
          </w:tcPr>
          <w:p w:rsidR="00995ADD" w:rsidRPr="00106046" w:rsidRDefault="00995ADD" w:rsidP="00343110">
            <w:pPr>
              <w:spacing w:after="0" w:line="360" w:lineRule="auto"/>
              <w:jc w:val="both"/>
              <w:rPr>
                <w:i/>
                <w:lang w:eastAsia="pt-BR"/>
              </w:rPr>
            </w:pPr>
            <w:r w:rsidRPr="00106046">
              <w:rPr>
                <w:i/>
                <w:lang w:eastAsia="pt-BR"/>
              </w:rPr>
              <w:t>Valor de R$ 6,20</w:t>
            </w:r>
          </w:p>
        </w:tc>
      </w:tr>
      <w:tr w:rsidR="00995ADD" w:rsidRPr="00106046" w:rsidTr="00995ADD">
        <w:trPr>
          <w:jc w:val="center"/>
        </w:trPr>
        <w:tc>
          <w:tcPr>
            <w:tcW w:w="1256" w:type="dxa"/>
          </w:tcPr>
          <w:p w:rsidR="00995ADD" w:rsidRPr="00106046" w:rsidRDefault="00995ADD" w:rsidP="00343110">
            <w:pPr>
              <w:spacing w:after="0" w:line="360" w:lineRule="auto"/>
              <w:jc w:val="both"/>
              <w:rPr>
                <w:i/>
                <w:lang w:eastAsia="pt-BR"/>
              </w:rPr>
            </w:pPr>
            <w:r w:rsidRPr="00106046">
              <w:rPr>
                <w:i/>
                <w:lang w:eastAsia="pt-BR"/>
              </w:rPr>
              <w:t>Classe C</w:t>
            </w:r>
          </w:p>
        </w:tc>
        <w:tc>
          <w:tcPr>
            <w:tcW w:w="1990" w:type="dxa"/>
          </w:tcPr>
          <w:p w:rsidR="00995ADD" w:rsidRPr="00106046" w:rsidRDefault="00995ADD" w:rsidP="00343110">
            <w:pPr>
              <w:spacing w:after="0" w:line="360" w:lineRule="auto"/>
              <w:jc w:val="both"/>
              <w:rPr>
                <w:i/>
                <w:lang w:eastAsia="pt-BR"/>
              </w:rPr>
            </w:pPr>
            <w:r w:rsidRPr="00106046">
              <w:rPr>
                <w:i/>
                <w:lang w:eastAsia="pt-BR"/>
              </w:rPr>
              <w:t>Valor de R$ 4,30</w:t>
            </w:r>
          </w:p>
        </w:tc>
      </w:tr>
      <w:tr w:rsidR="00995ADD" w:rsidRPr="00106046" w:rsidTr="00995ADD">
        <w:trPr>
          <w:jc w:val="center"/>
        </w:trPr>
        <w:tc>
          <w:tcPr>
            <w:tcW w:w="1256" w:type="dxa"/>
          </w:tcPr>
          <w:p w:rsidR="00995ADD" w:rsidRPr="00106046" w:rsidRDefault="00995ADD" w:rsidP="00343110">
            <w:pPr>
              <w:spacing w:after="0" w:line="360" w:lineRule="auto"/>
              <w:jc w:val="both"/>
              <w:rPr>
                <w:i/>
                <w:lang w:eastAsia="pt-BR"/>
              </w:rPr>
            </w:pPr>
            <w:r w:rsidRPr="00106046">
              <w:rPr>
                <w:i/>
                <w:lang w:eastAsia="pt-BR"/>
              </w:rPr>
              <w:t xml:space="preserve">Classe D </w:t>
            </w:r>
          </w:p>
        </w:tc>
        <w:tc>
          <w:tcPr>
            <w:tcW w:w="1990" w:type="dxa"/>
          </w:tcPr>
          <w:p w:rsidR="00995ADD" w:rsidRPr="00106046" w:rsidRDefault="00995ADD" w:rsidP="00343110">
            <w:pPr>
              <w:spacing w:after="0" w:line="360" w:lineRule="auto"/>
              <w:jc w:val="both"/>
              <w:rPr>
                <w:i/>
                <w:lang w:eastAsia="pt-BR"/>
              </w:rPr>
            </w:pPr>
            <w:r w:rsidRPr="00106046">
              <w:rPr>
                <w:i/>
                <w:lang w:eastAsia="pt-BR"/>
              </w:rPr>
              <w:t>Valor de R$ 2,50</w:t>
            </w:r>
          </w:p>
        </w:tc>
      </w:tr>
    </w:tbl>
    <w:p w:rsidR="00995ADD" w:rsidRPr="00106046" w:rsidRDefault="00995ADD" w:rsidP="00343110">
      <w:pPr>
        <w:spacing w:after="0" w:line="360" w:lineRule="auto"/>
        <w:ind w:firstLine="709"/>
        <w:jc w:val="both"/>
        <w:rPr>
          <w:i/>
          <w:lang w:eastAsia="pt-BR"/>
        </w:rPr>
      </w:pPr>
    </w:p>
    <w:p w:rsidR="00995ADD" w:rsidRPr="00106046" w:rsidRDefault="00995ADD" w:rsidP="00343110">
      <w:pPr>
        <w:spacing w:after="0" w:line="360" w:lineRule="auto"/>
        <w:ind w:firstLine="709"/>
        <w:jc w:val="both"/>
        <w:rPr>
          <w:i/>
          <w:lang w:eastAsia="pt-BR"/>
        </w:rPr>
      </w:pPr>
      <w:r w:rsidRPr="00106046">
        <w:rPr>
          <w:i/>
          <w:lang w:eastAsia="pt-BR"/>
        </w:rPr>
        <w:t>Parágrafo Primeiro – O Enquadramento na tabela será realizado através de decreto expedido pelo Executivo Municipal com base em levantamento apresentado pelo setor de Coleta e Reciclagem de lixo e Departamento de arrecadação.</w:t>
      </w:r>
    </w:p>
    <w:p w:rsidR="00995ADD" w:rsidRPr="00106046" w:rsidRDefault="00995ADD" w:rsidP="00343110">
      <w:pPr>
        <w:spacing w:after="0" w:line="360" w:lineRule="auto"/>
        <w:ind w:firstLine="709"/>
        <w:jc w:val="both"/>
        <w:rPr>
          <w:i/>
          <w:lang w:eastAsia="pt-BR"/>
        </w:rPr>
      </w:pPr>
      <w:r w:rsidRPr="00106046">
        <w:rPr>
          <w:i/>
          <w:lang w:eastAsia="pt-BR"/>
        </w:rPr>
        <w:t>Parágrafo Segundo – Os estabelecimentos comerciais e industriais estão inseridos na classe A da tabela do caput deste artigo.”</w:t>
      </w:r>
    </w:p>
    <w:p w:rsidR="00E32574" w:rsidRPr="008D43D2" w:rsidRDefault="00E32574" w:rsidP="00343110">
      <w:pPr>
        <w:spacing w:after="0" w:line="360" w:lineRule="auto"/>
        <w:ind w:firstLine="709"/>
        <w:jc w:val="both"/>
        <w:rPr>
          <w:lang w:eastAsia="pt-BR"/>
        </w:rPr>
      </w:pPr>
      <w:r w:rsidRPr="008D43D2">
        <w:rPr>
          <w:lang w:eastAsia="pt-BR"/>
        </w:rPr>
        <w:t xml:space="preserve"> O SAAE é uma autarquia municipal responsável pelos serviços de abastecimento de água e esgotamento sanitário repassa os recursos financeiros arrecadados para a prefeitura, responsável pela gestão do serviço de limpeza pública e manejo do RSU.</w:t>
      </w:r>
    </w:p>
    <w:p w:rsidR="00E32574" w:rsidRPr="008D43D2" w:rsidRDefault="00E32574" w:rsidP="00343110">
      <w:pPr>
        <w:spacing w:after="0" w:line="360" w:lineRule="auto"/>
        <w:ind w:firstLine="709"/>
        <w:jc w:val="both"/>
        <w:rPr>
          <w:lang w:eastAsia="pt-BR"/>
        </w:rPr>
      </w:pPr>
      <w:r w:rsidRPr="008D43D2">
        <w:rPr>
          <w:lang w:eastAsia="pt-BR"/>
        </w:rPr>
        <w:t xml:space="preserve">Em termos da remuneração da Prefeitura o serviço cobrado refere-se a coleta de resíduo domiciliar cobrado da população uma taxa específica, denominada taxa de coleta de resíduo. </w:t>
      </w:r>
      <w:r w:rsidRPr="008D43D2">
        <w:rPr>
          <w:lang w:eastAsia="pt-BR"/>
        </w:rPr>
        <w:lastRenderedPageBreak/>
        <w:t>Este serviço é passível de ser medido pois os usuários/beneficiários são identificados, podem ser objeto de fixação de preço e, portanto, ser remunerados exclusivamente por tarifas cobradas.</w:t>
      </w:r>
    </w:p>
    <w:p w:rsidR="00E32574" w:rsidRPr="008D43D2" w:rsidRDefault="00E32574" w:rsidP="00343110">
      <w:pPr>
        <w:spacing w:after="0" w:line="360" w:lineRule="auto"/>
        <w:ind w:firstLine="709"/>
        <w:jc w:val="both"/>
        <w:rPr>
          <w:lang w:eastAsia="pt-BR"/>
        </w:rPr>
      </w:pPr>
      <w:r w:rsidRPr="008D43D2">
        <w:rPr>
          <w:lang w:eastAsia="pt-BR"/>
        </w:rPr>
        <w:t>É preciso, portanto, que a prefeitura garanta, por meios políticos, as dotações orçamentárias que sustentem adequadamente o custeio e os investimentos no sistema.</w:t>
      </w:r>
    </w:p>
    <w:p w:rsidR="00E32574" w:rsidRPr="008D43D2" w:rsidRDefault="00E32574" w:rsidP="00343110">
      <w:pPr>
        <w:spacing w:after="0" w:line="360" w:lineRule="auto"/>
        <w:ind w:firstLine="709"/>
        <w:jc w:val="both"/>
        <w:rPr>
          <w:lang w:eastAsia="pt-BR"/>
        </w:rPr>
      </w:pPr>
      <w:r w:rsidRPr="008D43D2">
        <w:rPr>
          <w:lang w:eastAsia="pt-BR"/>
        </w:rPr>
        <w:t>No tocante à inadimplência dos contribuintes ou usuários, são parcas as soluções legalmente possíveis para contornar a situação. Os cortes comumente adotados no fornecimento de água, pela falta de pagamento da tarifa, não podem ser aplicados na coleta ou remoção de resíduo. A falta de pagamento da taxa de coleta de resíduo, por exemplo, não pode ser combatida com a suspensão do serviço e do atendimento ao contribuinte inadimplente, simplesmente porque o resíduo que ele dispõe para a coleta tem que ser recolhido de qualquer maneira por razões de saúde pública.</w:t>
      </w:r>
    </w:p>
    <w:p w:rsidR="00E32574" w:rsidRPr="008D43D2" w:rsidRDefault="00E32574" w:rsidP="00343110">
      <w:pPr>
        <w:spacing w:after="0" w:line="360" w:lineRule="auto"/>
        <w:ind w:firstLine="709"/>
        <w:jc w:val="both"/>
        <w:rPr>
          <w:lang w:eastAsia="pt-BR"/>
        </w:rPr>
      </w:pPr>
      <w:r w:rsidRPr="008D43D2">
        <w:rPr>
          <w:lang w:eastAsia="pt-BR"/>
        </w:rPr>
        <w:t>Embora de aplicação legalmente duvidosa, em alguns casos é adotada a inscrição do imóvel do devedor na dívida pública do Município. Mesmo assim esse ato tem pouco poder punitivo, porque apenas ameaça o devedor na ocasião da eventual alienação do imóvel.</w:t>
      </w:r>
    </w:p>
    <w:p w:rsidR="00E32574" w:rsidRPr="008D43D2" w:rsidRDefault="00E32574" w:rsidP="00343110">
      <w:pPr>
        <w:spacing w:after="0" w:line="360" w:lineRule="auto"/>
        <w:ind w:firstLine="709"/>
        <w:jc w:val="both"/>
        <w:rPr>
          <w:lang w:eastAsia="pt-BR"/>
        </w:rPr>
      </w:pPr>
      <w:r w:rsidRPr="008D43D2">
        <w:rPr>
          <w:lang w:eastAsia="pt-BR"/>
        </w:rPr>
        <w:t>O sistema de limpeza urbana, de um modo geral, consome de 7 a 15% do orçamento dos municípios. Há uma tendência, de as prefeituras remunerarem os serviços de limpeza urbana através de uma taxa, geralmente cobrada na mesma guia do Imposto Predial e Territorial Urbano – IPTU. A receita proveniente dessa taxa é recolhida ao Tesouro Municipal, nada garantindo sua aplicação no setor, a não ser pela vontade política do prefeito. Todavia, conforme o diagnóstico realizado, o valor representa apenas parte dos custos reais dos serviços. E para atualização ou correção dos valores da taxa depende de autorização da Câmara dos Vereadores, que geralmente resiste em repassar aumentos da carga tributária dos munícipes.</w:t>
      </w:r>
    </w:p>
    <w:p w:rsidR="00E32574" w:rsidRDefault="00E32574" w:rsidP="00343110">
      <w:pPr>
        <w:pStyle w:val="Corpodetexto3"/>
        <w:spacing w:before="120" w:line="240" w:lineRule="auto"/>
        <w:ind w:left="3402"/>
        <w:jc w:val="both"/>
        <w:rPr>
          <w:i/>
          <w:sz w:val="20"/>
          <w:szCs w:val="20"/>
        </w:rPr>
      </w:pPr>
      <w:r w:rsidRPr="00B67892">
        <w:rPr>
          <w:sz w:val="20"/>
          <w:szCs w:val="20"/>
        </w:rPr>
        <w:t xml:space="preserve">“Só mesmo uma reforma tributária poderá instrumentalizar o município a se ressarcir, de forma socialmente justa, pelos serviços de limpeza urbana prestados à população” </w:t>
      </w:r>
      <w:r w:rsidRPr="00B67892">
        <w:rPr>
          <w:i/>
          <w:sz w:val="20"/>
          <w:szCs w:val="20"/>
        </w:rPr>
        <w:t>(MONTEIRO, 2001).</w:t>
      </w:r>
    </w:p>
    <w:p w:rsidR="00466071" w:rsidRPr="00B67892" w:rsidRDefault="00466071" w:rsidP="00343110">
      <w:pPr>
        <w:pStyle w:val="Corpodetexto3"/>
        <w:spacing w:before="120" w:line="240" w:lineRule="auto"/>
        <w:ind w:left="3402"/>
        <w:jc w:val="both"/>
        <w:rPr>
          <w:sz w:val="20"/>
          <w:szCs w:val="20"/>
        </w:rPr>
      </w:pPr>
    </w:p>
    <w:p w:rsidR="00E32574" w:rsidRPr="008D43D2" w:rsidRDefault="00E32574" w:rsidP="00343110">
      <w:pPr>
        <w:spacing w:after="0" w:line="360" w:lineRule="auto"/>
        <w:ind w:firstLine="709"/>
        <w:jc w:val="both"/>
        <w:rPr>
          <w:lang w:eastAsia="pt-BR"/>
        </w:rPr>
      </w:pPr>
      <w:r w:rsidRPr="008D43D2">
        <w:rPr>
          <w:lang w:eastAsia="pt-BR"/>
        </w:rPr>
        <w:t xml:space="preserve">A aplicação de uma taxa realista e socialmente justa que esteja dentro da capacidade de pagamento da população aimoreense, e que efetivamente cubra os custos e manutenção dos serviços e equipamentos em operação, implica em novos estudos econômicos e financeiros mais </w:t>
      </w:r>
      <w:r w:rsidRPr="008D43D2">
        <w:rPr>
          <w:lang w:eastAsia="pt-BR"/>
        </w:rPr>
        <w:lastRenderedPageBreak/>
        <w:t>detalhados, e uma ação política que requer habilidade e empenho por parte do prefeito, vereadores e lideranças locais.</w:t>
      </w:r>
    </w:p>
    <w:p w:rsidR="00E32574" w:rsidRPr="008D43D2" w:rsidRDefault="00E32574" w:rsidP="00343110">
      <w:pPr>
        <w:spacing w:after="0" w:line="360" w:lineRule="auto"/>
        <w:ind w:firstLine="709"/>
        <w:jc w:val="both"/>
        <w:rPr>
          <w:lang w:eastAsia="pt-BR"/>
        </w:rPr>
      </w:pPr>
      <w:r w:rsidRPr="008D43D2">
        <w:rPr>
          <w:lang w:eastAsia="pt-BR"/>
        </w:rPr>
        <w:t xml:space="preserve">Se não for conquistada a remuneração adequada do sistema, ficará prejudicada a qualidade dos serviços prestados no município. A limpeza urbana será mal realizada, pois não disporá dos recursos necessários, e a população poderá não aceitar as taxas por não contar com serviços de qualidade. Toda prefeitura precisa arriscar com o ônus de um aumento da carga tributária para que possa fazer frente aos investimentos necessários na evolução do sistema, até que o quadro se reverta com a melhoria da qualidade dos serviços prestados. </w:t>
      </w:r>
    </w:p>
    <w:p w:rsidR="00E32574" w:rsidRPr="008D43D2" w:rsidRDefault="00E32574" w:rsidP="00343110">
      <w:pPr>
        <w:spacing w:after="0" w:line="360" w:lineRule="auto"/>
        <w:ind w:firstLine="709"/>
        <w:jc w:val="both"/>
        <w:rPr>
          <w:lang w:eastAsia="pt-BR"/>
        </w:rPr>
      </w:pPr>
      <w:r w:rsidRPr="008D43D2">
        <w:rPr>
          <w:lang w:eastAsia="pt-BR"/>
        </w:rPr>
        <w:t>Seja como for, a remuneração do sistema de limpeza urbana se resolve na seguinte equação:</w:t>
      </w:r>
    </w:p>
    <w:p w:rsidR="00E32574" w:rsidRPr="0090022C" w:rsidRDefault="00E32574" w:rsidP="00E32574">
      <w:pPr>
        <w:pStyle w:val="Corpodetexto"/>
        <w:spacing w:after="0" w:line="360" w:lineRule="auto"/>
        <w:rPr>
          <w:szCs w:val="24"/>
        </w:rPr>
      </w:pPr>
    </w:p>
    <w:tbl>
      <w:tblPr>
        <w:tblW w:w="0" w:type="auto"/>
        <w:tblLook w:val="04A0" w:firstRow="1" w:lastRow="0" w:firstColumn="1" w:lastColumn="0" w:noHBand="0" w:noVBand="1"/>
      </w:tblPr>
      <w:tblGrid>
        <w:gridCol w:w="3191"/>
        <w:gridCol w:w="5881"/>
      </w:tblGrid>
      <w:tr w:rsidR="00E32574" w:rsidRPr="0090022C" w:rsidTr="00E32574">
        <w:tc>
          <w:tcPr>
            <w:tcW w:w="3227" w:type="dxa"/>
            <w:shd w:val="clear" w:color="auto" w:fill="auto"/>
            <w:vAlign w:val="center"/>
          </w:tcPr>
          <w:p w:rsidR="00E32574" w:rsidRPr="00A1723F" w:rsidRDefault="00E32574" w:rsidP="00343110">
            <w:pPr>
              <w:pStyle w:val="Corpodetexto"/>
              <w:spacing w:after="0" w:line="276" w:lineRule="auto"/>
              <w:jc w:val="center"/>
              <w:rPr>
                <w:szCs w:val="24"/>
              </w:rPr>
            </w:pPr>
            <w:r w:rsidRPr="00A1723F">
              <w:rPr>
                <w:b/>
              </w:rPr>
              <w:t>Remuneração = Despesas</w:t>
            </w:r>
            <w:r w:rsidR="00343110">
              <w:rPr>
                <w:b/>
              </w:rPr>
              <w:t xml:space="preserve"> </w:t>
            </w:r>
            <w:r w:rsidRPr="00A1723F">
              <w:rPr>
                <w:b/>
              </w:rPr>
              <w:t>=</w:t>
            </w:r>
          </w:p>
        </w:tc>
        <w:tc>
          <w:tcPr>
            <w:tcW w:w="5985" w:type="dxa"/>
            <w:shd w:val="clear" w:color="auto" w:fill="auto"/>
          </w:tcPr>
          <w:p w:rsidR="00E32574" w:rsidRPr="00A1723F" w:rsidRDefault="00E32574" w:rsidP="00E32574">
            <w:pPr>
              <w:pStyle w:val="Corpodetexto"/>
              <w:spacing w:after="0" w:line="276" w:lineRule="auto"/>
              <w:rPr>
                <w:szCs w:val="24"/>
              </w:rPr>
            </w:pPr>
            <w:r w:rsidRPr="00A1723F">
              <w:t>Recursos do Tesouro Municipal + Arrecadação da Taxa de Coleta de Lixo (TCL) + Arrecadação de Tarifas e Receitas Diversas</w:t>
            </w:r>
          </w:p>
        </w:tc>
      </w:tr>
    </w:tbl>
    <w:p w:rsidR="00E32574" w:rsidRPr="0090022C" w:rsidRDefault="00E32574" w:rsidP="00E32574">
      <w:pPr>
        <w:pStyle w:val="Corpodetexto"/>
        <w:spacing w:after="0" w:line="360" w:lineRule="auto"/>
        <w:rPr>
          <w:szCs w:val="24"/>
        </w:rPr>
      </w:pPr>
    </w:p>
    <w:p w:rsidR="00E32574" w:rsidRPr="008D43D2" w:rsidRDefault="00E32574" w:rsidP="00BA7595">
      <w:pPr>
        <w:spacing w:after="0" w:line="360" w:lineRule="auto"/>
        <w:ind w:firstLine="709"/>
        <w:jc w:val="both"/>
        <w:rPr>
          <w:lang w:eastAsia="pt-BR"/>
        </w:rPr>
      </w:pPr>
      <w:r w:rsidRPr="008D43D2">
        <w:rPr>
          <w:lang w:eastAsia="pt-BR"/>
        </w:rPr>
        <w:t>O quadro de funcionários e os equipamentos envolvidos na limpeza pública do município de Aimorés estão apresentados respectivamente n</w:t>
      </w:r>
      <w:r w:rsidR="00343110">
        <w:rPr>
          <w:lang w:eastAsia="pt-BR"/>
        </w:rPr>
        <w:t>o</w:t>
      </w:r>
      <w:r w:rsidRPr="008D43D2">
        <w:rPr>
          <w:lang w:eastAsia="pt-BR"/>
        </w:rPr>
        <w:t xml:space="preserve">s </w:t>
      </w:r>
      <w:r w:rsidR="00343110">
        <w:rPr>
          <w:lang w:eastAsia="pt-BR"/>
        </w:rPr>
        <w:t xml:space="preserve">Quadros 53 e </w:t>
      </w:r>
      <w:r w:rsidR="00B87BA2">
        <w:rPr>
          <w:lang w:eastAsia="pt-BR"/>
        </w:rPr>
        <w:t>na Tabela 13</w:t>
      </w:r>
    </w:p>
    <w:p w:rsidR="00B67892" w:rsidRPr="0090022C" w:rsidRDefault="0075744C" w:rsidP="0075744C">
      <w:pPr>
        <w:pStyle w:val="Legenda"/>
      </w:pPr>
      <w:bookmarkStart w:id="557" w:name="_Toc372740559"/>
      <w:r>
        <w:t xml:space="preserve">Quadro </w:t>
      </w:r>
      <w:fldSimple w:instr=" SEQ Quadro \* ARABIC ">
        <w:r w:rsidR="004F77E2">
          <w:rPr>
            <w:noProof/>
          </w:rPr>
          <w:t>53</w:t>
        </w:r>
      </w:fldSimple>
      <w:r>
        <w:t xml:space="preserve"> - </w:t>
      </w:r>
      <w:r w:rsidRPr="008C189B">
        <w:t>Quadro de funcionários envolvidos na limpeza pública do município de Aimorés.</w:t>
      </w:r>
      <w:bookmarkEnd w:id="5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3"/>
        <w:gridCol w:w="1934"/>
        <w:gridCol w:w="1363"/>
      </w:tblGrid>
      <w:tr w:rsidR="00E32574" w:rsidRPr="0090022C" w:rsidTr="00343110">
        <w:trPr>
          <w:trHeight w:val="389"/>
          <w:jc w:val="center"/>
        </w:trPr>
        <w:tc>
          <w:tcPr>
            <w:tcW w:w="5303" w:type="dxa"/>
            <w:shd w:val="clear" w:color="auto" w:fill="D9D9D9" w:themeFill="background1" w:themeFillShade="D9"/>
            <w:vAlign w:val="center"/>
          </w:tcPr>
          <w:p w:rsidR="00E32574" w:rsidRPr="00343110" w:rsidRDefault="00E32574" w:rsidP="00343110">
            <w:pPr>
              <w:pStyle w:val="Corpodetexto"/>
              <w:spacing w:before="120" w:line="240" w:lineRule="auto"/>
              <w:rPr>
                <w:b/>
                <w:szCs w:val="24"/>
              </w:rPr>
            </w:pPr>
            <w:r w:rsidRPr="00343110">
              <w:rPr>
                <w:b/>
                <w:szCs w:val="24"/>
              </w:rPr>
              <w:t>Serviço</w:t>
            </w:r>
          </w:p>
        </w:tc>
        <w:tc>
          <w:tcPr>
            <w:tcW w:w="1934" w:type="dxa"/>
            <w:shd w:val="clear" w:color="auto" w:fill="D9D9D9" w:themeFill="background1" w:themeFillShade="D9"/>
            <w:vAlign w:val="center"/>
          </w:tcPr>
          <w:p w:rsidR="00E32574" w:rsidRPr="00343110" w:rsidRDefault="00E32574" w:rsidP="00343110">
            <w:pPr>
              <w:pStyle w:val="Corpodetexto"/>
              <w:spacing w:before="120" w:line="240" w:lineRule="auto"/>
              <w:jc w:val="center"/>
              <w:rPr>
                <w:b/>
                <w:szCs w:val="24"/>
              </w:rPr>
            </w:pPr>
            <w:r w:rsidRPr="00343110">
              <w:rPr>
                <w:b/>
                <w:szCs w:val="24"/>
              </w:rPr>
              <w:t>Nº Funcionários</w:t>
            </w:r>
          </w:p>
        </w:tc>
        <w:tc>
          <w:tcPr>
            <w:tcW w:w="1363" w:type="dxa"/>
            <w:shd w:val="clear" w:color="auto" w:fill="D9D9D9" w:themeFill="background1" w:themeFillShade="D9"/>
            <w:vAlign w:val="center"/>
          </w:tcPr>
          <w:p w:rsidR="00E32574" w:rsidRPr="00343110" w:rsidRDefault="00E32574" w:rsidP="00343110">
            <w:pPr>
              <w:pStyle w:val="Corpodetexto"/>
              <w:spacing w:before="120" w:line="240" w:lineRule="auto"/>
              <w:jc w:val="center"/>
              <w:rPr>
                <w:b/>
                <w:szCs w:val="24"/>
              </w:rPr>
            </w:pPr>
            <w:r w:rsidRPr="00343110">
              <w:rPr>
                <w:b/>
                <w:szCs w:val="24"/>
              </w:rPr>
              <w:t>%</w:t>
            </w:r>
          </w:p>
        </w:tc>
      </w:tr>
      <w:tr w:rsidR="00E32574" w:rsidRPr="0090022C" w:rsidTr="00343110">
        <w:trPr>
          <w:trHeight w:val="389"/>
          <w:jc w:val="center"/>
        </w:trPr>
        <w:tc>
          <w:tcPr>
            <w:tcW w:w="5303" w:type="dxa"/>
          </w:tcPr>
          <w:p w:rsidR="00E32574" w:rsidRPr="00A1723F" w:rsidRDefault="00E32574" w:rsidP="00343110">
            <w:pPr>
              <w:pStyle w:val="Corpodetexto"/>
              <w:spacing w:before="120" w:line="240" w:lineRule="auto"/>
              <w:rPr>
                <w:szCs w:val="24"/>
              </w:rPr>
            </w:pPr>
            <w:r w:rsidRPr="00A1723F">
              <w:rPr>
                <w:szCs w:val="24"/>
              </w:rPr>
              <w:t>Varrição</w:t>
            </w:r>
          </w:p>
        </w:tc>
        <w:tc>
          <w:tcPr>
            <w:tcW w:w="1934" w:type="dxa"/>
          </w:tcPr>
          <w:p w:rsidR="00E32574" w:rsidRPr="00A1723F" w:rsidRDefault="00E32574" w:rsidP="00343110">
            <w:pPr>
              <w:pStyle w:val="Corpodetexto"/>
              <w:spacing w:before="120" w:line="240" w:lineRule="auto"/>
              <w:ind w:right="721"/>
              <w:jc w:val="right"/>
              <w:rPr>
                <w:szCs w:val="24"/>
              </w:rPr>
            </w:pPr>
            <w:r w:rsidRPr="00A1723F">
              <w:rPr>
                <w:szCs w:val="24"/>
              </w:rPr>
              <w:t>101</w:t>
            </w:r>
          </w:p>
        </w:tc>
        <w:tc>
          <w:tcPr>
            <w:tcW w:w="1363" w:type="dxa"/>
            <w:vAlign w:val="center"/>
          </w:tcPr>
          <w:p w:rsidR="00E32574" w:rsidRPr="00A1723F" w:rsidRDefault="00E32574" w:rsidP="00343110">
            <w:pPr>
              <w:pStyle w:val="Corpodetexto"/>
              <w:spacing w:before="120" w:line="240" w:lineRule="auto"/>
              <w:ind w:right="282"/>
              <w:jc w:val="right"/>
              <w:rPr>
                <w:szCs w:val="24"/>
              </w:rPr>
            </w:pPr>
            <w:r w:rsidRPr="00A1723F">
              <w:rPr>
                <w:szCs w:val="24"/>
              </w:rPr>
              <w:t>72,14</w:t>
            </w:r>
          </w:p>
        </w:tc>
      </w:tr>
      <w:tr w:rsidR="00E32574" w:rsidRPr="0090022C" w:rsidTr="00343110">
        <w:trPr>
          <w:trHeight w:val="389"/>
          <w:jc w:val="center"/>
        </w:trPr>
        <w:tc>
          <w:tcPr>
            <w:tcW w:w="5303" w:type="dxa"/>
          </w:tcPr>
          <w:p w:rsidR="00E32574" w:rsidRPr="00A1723F" w:rsidRDefault="00E32574" w:rsidP="00343110">
            <w:pPr>
              <w:pStyle w:val="Corpodetexto"/>
              <w:spacing w:before="120" w:line="240" w:lineRule="auto"/>
              <w:rPr>
                <w:szCs w:val="24"/>
              </w:rPr>
            </w:pPr>
            <w:r w:rsidRPr="00A1723F">
              <w:rPr>
                <w:szCs w:val="24"/>
              </w:rPr>
              <w:t>Coleta dos resíduos sólidos (Coletadores + Motoristas)</w:t>
            </w:r>
          </w:p>
        </w:tc>
        <w:tc>
          <w:tcPr>
            <w:tcW w:w="1934" w:type="dxa"/>
          </w:tcPr>
          <w:p w:rsidR="00E32574" w:rsidRPr="00A1723F" w:rsidRDefault="00E32574" w:rsidP="00343110">
            <w:pPr>
              <w:pStyle w:val="Corpodetexto"/>
              <w:spacing w:before="120" w:line="240" w:lineRule="auto"/>
              <w:ind w:right="721"/>
              <w:jc w:val="right"/>
              <w:rPr>
                <w:szCs w:val="24"/>
              </w:rPr>
            </w:pPr>
            <w:r w:rsidRPr="00A1723F">
              <w:rPr>
                <w:szCs w:val="24"/>
              </w:rPr>
              <w:t>16</w:t>
            </w:r>
          </w:p>
        </w:tc>
        <w:tc>
          <w:tcPr>
            <w:tcW w:w="1363" w:type="dxa"/>
            <w:vAlign w:val="center"/>
          </w:tcPr>
          <w:p w:rsidR="00E32574" w:rsidRPr="00A1723F" w:rsidRDefault="00E32574" w:rsidP="00343110">
            <w:pPr>
              <w:pStyle w:val="Corpodetexto"/>
              <w:spacing w:before="120" w:line="240" w:lineRule="auto"/>
              <w:ind w:right="282"/>
              <w:jc w:val="right"/>
              <w:rPr>
                <w:szCs w:val="24"/>
              </w:rPr>
            </w:pPr>
            <w:r w:rsidRPr="00A1723F">
              <w:rPr>
                <w:szCs w:val="24"/>
              </w:rPr>
              <w:t>11,43</w:t>
            </w:r>
          </w:p>
        </w:tc>
      </w:tr>
      <w:tr w:rsidR="00E32574" w:rsidRPr="0090022C" w:rsidTr="00343110">
        <w:trPr>
          <w:trHeight w:val="389"/>
          <w:jc w:val="center"/>
        </w:trPr>
        <w:tc>
          <w:tcPr>
            <w:tcW w:w="5303" w:type="dxa"/>
          </w:tcPr>
          <w:p w:rsidR="00E32574" w:rsidRPr="00A1723F" w:rsidRDefault="00E32574" w:rsidP="00343110">
            <w:pPr>
              <w:pStyle w:val="Corpodetexto"/>
              <w:spacing w:before="120" w:line="240" w:lineRule="auto"/>
              <w:rPr>
                <w:szCs w:val="24"/>
              </w:rPr>
            </w:pPr>
            <w:r w:rsidRPr="00A1723F">
              <w:rPr>
                <w:szCs w:val="24"/>
              </w:rPr>
              <w:t>Unidade de manejo, tratamento ou disposição final</w:t>
            </w:r>
          </w:p>
        </w:tc>
        <w:tc>
          <w:tcPr>
            <w:tcW w:w="1934" w:type="dxa"/>
          </w:tcPr>
          <w:p w:rsidR="00E32574" w:rsidRPr="00A1723F" w:rsidRDefault="00E32574" w:rsidP="00343110">
            <w:pPr>
              <w:pStyle w:val="Corpodetexto"/>
              <w:spacing w:before="120" w:line="240" w:lineRule="auto"/>
              <w:ind w:right="721"/>
              <w:jc w:val="right"/>
              <w:rPr>
                <w:szCs w:val="24"/>
              </w:rPr>
            </w:pPr>
            <w:r w:rsidRPr="00A1723F">
              <w:rPr>
                <w:szCs w:val="24"/>
              </w:rPr>
              <w:t>12</w:t>
            </w:r>
          </w:p>
        </w:tc>
        <w:tc>
          <w:tcPr>
            <w:tcW w:w="1363" w:type="dxa"/>
            <w:vAlign w:val="center"/>
          </w:tcPr>
          <w:p w:rsidR="00E32574" w:rsidRPr="00A1723F" w:rsidRDefault="00E32574" w:rsidP="00343110">
            <w:pPr>
              <w:pStyle w:val="Corpodetexto"/>
              <w:spacing w:before="120" w:line="240" w:lineRule="auto"/>
              <w:ind w:right="282"/>
              <w:jc w:val="right"/>
              <w:rPr>
                <w:szCs w:val="24"/>
              </w:rPr>
            </w:pPr>
            <w:r w:rsidRPr="00A1723F">
              <w:rPr>
                <w:szCs w:val="24"/>
              </w:rPr>
              <w:t>8,57</w:t>
            </w:r>
          </w:p>
        </w:tc>
      </w:tr>
      <w:tr w:rsidR="00E32574" w:rsidRPr="0090022C" w:rsidTr="00343110">
        <w:trPr>
          <w:trHeight w:val="389"/>
          <w:jc w:val="center"/>
        </w:trPr>
        <w:tc>
          <w:tcPr>
            <w:tcW w:w="5303" w:type="dxa"/>
          </w:tcPr>
          <w:p w:rsidR="00E32574" w:rsidRPr="00A1723F" w:rsidRDefault="00E32574" w:rsidP="00343110">
            <w:pPr>
              <w:pStyle w:val="Corpodetexto"/>
              <w:spacing w:before="120" w:line="240" w:lineRule="auto"/>
              <w:rPr>
                <w:szCs w:val="24"/>
              </w:rPr>
            </w:pPr>
            <w:r w:rsidRPr="00A1723F">
              <w:rPr>
                <w:szCs w:val="24"/>
              </w:rPr>
              <w:t>Capina e Roçada</w:t>
            </w:r>
          </w:p>
        </w:tc>
        <w:tc>
          <w:tcPr>
            <w:tcW w:w="1934" w:type="dxa"/>
          </w:tcPr>
          <w:p w:rsidR="00E32574" w:rsidRPr="00A1723F" w:rsidRDefault="00E32574" w:rsidP="00343110">
            <w:pPr>
              <w:pStyle w:val="Corpodetexto"/>
              <w:spacing w:before="120" w:line="240" w:lineRule="auto"/>
              <w:ind w:right="721"/>
              <w:jc w:val="right"/>
              <w:rPr>
                <w:szCs w:val="24"/>
              </w:rPr>
            </w:pPr>
            <w:r w:rsidRPr="00A1723F">
              <w:rPr>
                <w:szCs w:val="24"/>
              </w:rPr>
              <w:t>7</w:t>
            </w:r>
          </w:p>
        </w:tc>
        <w:tc>
          <w:tcPr>
            <w:tcW w:w="1363" w:type="dxa"/>
            <w:vAlign w:val="center"/>
          </w:tcPr>
          <w:p w:rsidR="00E32574" w:rsidRPr="00A1723F" w:rsidRDefault="00E32574" w:rsidP="00343110">
            <w:pPr>
              <w:pStyle w:val="Corpodetexto"/>
              <w:spacing w:before="120" w:line="240" w:lineRule="auto"/>
              <w:ind w:right="282"/>
              <w:jc w:val="right"/>
              <w:rPr>
                <w:szCs w:val="24"/>
              </w:rPr>
            </w:pPr>
            <w:r w:rsidRPr="00A1723F">
              <w:rPr>
                <w:szCs w:val="24"/>
              </w:rPr>
              <w:t>5,00</w:t>
            </w:r>
          </w:p>
        </w:tc>
      </w:tr>
      <w:tr w:rsidR="00E32574" w:rsidRPr="0090022C" w:rsidTr="00343110">
        <w:trPr>
          <w:trHeight w:val="389"/>
          <w:jc w:val="center"/>
        </w:trPr>
        <w:tc>
          <w:tcPr>
            <w:tcW w:w="5303" w:type="dxa"/>
          </w:tcPr>
          <w:p w:rsidR="00E32574" w:rsidRPr="00A1723F" w:rsidRDefault="00E32574" w:rsidP="00343110">
            <w:pPr>
              <w:pStyle w:val="Corpodetexto"/>
              <w:spacing w:before="120" w:line="240" w:lineRule="auto"/>
              <w:rPr>
                <w:szCs w:val="24"/>
              </w:rPr>
            </w:pPr>
            <w:r w:rsidRPr="00A1723F">
              <w:rPr>
                <w:szCs w:val="24"/>
              </w:rPr>
              <w:t>Gerência ou Administração</w:t>
            </w:r>
          </w:p>
        </w:tc>
        <w:tc>
          <w:tcPr>
            <w:tcW w:w="1934" w:type="dxa"/>
          </w:tcPr>
          <w:p w:rsidR="00E32574" w:rsidRPr="00A1723F" w:rsidRDefault="00E32574" w:rsidP="00343110">
            <w:pPr>
              <w:pStyle w:val="Corpodetexto"/>
              <w:spacing w:before="120" w:line="240" w:lineRule="auto"/>
              <w:ind w:right="721"/>
              <w:jc w:val="right"/>
              <w:rPr>
                <w:szCs w:val="24"/>
              </w:rPr>
            </w:pPr>
            <w:r w:rsidRPr="00A1723F">
              <w:rPr>
                <w:szCs w:val="24"/>
              </w:rPr>
              <w:t>4</w:t>
            </w:r>
          </w:p>
        </w:tc>
        <w:tc>
          <w:tcPr>
            <w:tcW w:w="1363" w:type="dxa"/>
            <w:vAlign w:val="center"/>
          </w:tcPr>
          <w:p w:rsidR="00E32574" w:rsidRPr="00A1723F" w:rsidRDefault="00E32574" w:rsidP="00343110">
            <w:pPr>
              <w:pStyle w:val="Corpodetexto"/>
              <w:spacing w:before="120" w:line="240" w:lineRule="auto"/>
              <w:ind w:right="282"/>
              <w:jc w:val="right"/>
              <w:rPr>
                <w:szCs w:val="24"/>
              </w:rPr>
            </w:pPr>
            <w:r w:rsidRPr="00A1723F">
              <w:rPr>
                <w:szCs w:val="24"/>
              </w:rPr>
              <w:t>2,86</w:t>
            </w:r>
          </w:p>
        </w:tc>
      </w:tr>
      <w:tr w:rsidR="00E32574" w:rsidRPr="0090022C" w:rsidTr="00343110">
        <w:trPr>
          <w:trHeight w:val="389"/>
          <w:jc w:val="center"/>
        </w:trPr>
        <w:tc>
          <w:tcPr>
            <w:tcW w:w="5303" w:type="dxa"/>
          </w:tcPr>
          <w:p w:rsidR="00E32574" w:rsidRPr="00A1723F" w:rsidRDefault="00E32574" w:rsidP="00343110">
            <w:pPr>
              <w:pStyle w:val="Corpodetexto"/>
              <w:spacing w:before="120" w:line="240" w:lineRule="auto"/>
              <w:rPr>
                <w:szCs w:val="24"/>
              </w:rPr>
            </w:pPr>
            <w:r w:rsidRPr="00A1723F">
              <w:rPr>
                <w:szCs w:val="24"/>
              </w:rPr>
              <w:t>Total</w:t>
            </w:r>
          </w:p>
        </w:tc>
        <w:tc>
          <w:tcPr>
            <w:tcW w:w="1934" w:type="dxa"/>
          </w:tcPr>
          <w:p w:rsidR="00E32574" w:rsidRPr="00A1723F" w:rsidRDefault="00E32574" w:rsidP="00343110">
            <w:pPr>
              <w:pStyle w:val="Corpodetexto"/>
              <w:spacing w:before="120" w:line="240" w:lineRule="auto"/>
              <w:ind w:right="721"/>
              <w:jc w:val="right"/>
              <w:rPr>
                <w:szCs w:val="24"/>
              </w:rPr>
            </w:pPr>
            <w:r w:rsidRPr="00A1723F">
              <w:rPr>
                <w:szCs w:val="24"/>
              </w:rPr>
              <w:t>140</w:t>
            </w:r>
          </w:p>
        </w:tc>
        <w:tc>
          <w:tcPr>
            <w:tcW w:w="1363" w:type="dxa"/>
            <w:vAlign w:val="center"/>
          </w:tcPr>
          <w:p w:rsidR="00E32574" w:rsidRPr="00A1723F" w:rsidRDefault="00E32574" w:rsidP="00343110">
            <w:pPr>
              <w:pStyle w:val="Corpodetexto"/>
              <w:spacing w:before="120" w:line="240" w:lineRule="auto"/>
              <w:ind w:right="282"/>
              <w:jc w:val="right"/>
              <w:rPr>
                <w:szCs w:val="24"/>
              </w:rPr>
            </w:pPr>
            <w:r w:rsidRPr="00A1723F">
              <w:rPr>
                <w:szCs w:val="24"/>
              </w:rPr>
              <w:t>100</w:t>
            </w:r>
          </w:p>
        </w:tc>
      </w:tr>
    </w:tbl>
    <w:p w:rsidR="00BA7595" w:rsidRPr="00BA7595" w:rsidRDefault="00BA7595" w:rsidP="00BA7595">
      <w:pPr>
        <w:pStyle w:val="TituloTabelas"/>
        <w:spacing w:before="120" w:after="120"/>
        <w:ind w:left="142"/>
        <w:rPr>
          <w:sz w:val="20"/>
          <w:szCs w:val="20"/>
        </w:rPr>
      </w:pPr>
      <w:bookmarkStart w:id="558" w:name="_Toc372117308"/>
      <w:r w:rsidRPr="00BA7595">
        <w:rPr>
          <w:sz w:val="20"/>
          <w:szCs w:val="20"/>
        </w:rPr>
        <w:t>Fonte: Prefeitura Municipal de Aimorés</w:t>
      </w:r>
    </w:p>
    <w:bookmarkEnd w:id="558"/>
    <w:p w:rsidR="001F0E0C" w:rsidRDefault="001F0E0C">
      <w:pPr>
        <w:spacing w:after="200" w:line="276" w:lineRule="auto"/>
        <w:rPr>
          <w:rFonts w:eastAsia="Times New Roman" w:cs="Tahoma"/>
          <w:b/>
          <w:bCs/>
          <w:szCs w:val="20"/>
          <w:lang w:eastAsia="pt-BR"/>
        </w:rPr>
      </w:pPr>
      <w:r>
        <w:br w:type="page"/>
      </w:r>
    </w:p>
    <w:p w:rsidR="00B67892" w:rsidRPr="00BA7595" w:rsidRDefault="00B02273" w:rsidP="00B02273">
      <w:pPr>
        <w:pStyle w:val="Legenda"/>
        <w:rPr>
          <w:b w:val="0"/>
        </w:rPr>
      </w:pPr>
      <w:bookmarkStart w:id="559" w:name="_Toc372740362"/>
      <w:r>
        <w:lastRenderedPageBreak/>
        <w:t xml:space="preserve">Tabela </w:t>
      </w:r>
      <w:fldSimple w:instr=" SEQ Tabela \* ARABIC ">
        <w:r w:rsidR="004F77E2">
          <w:rPr>
            <w:noProof/>
          </w:rPr>
          <w:t>14</w:t>
        </w:r>
      </w:fldSimple>
      <w:r>
        <w:t xml:space="preserve"> - </w:t>
      </w:r>
      <w:r w:rsidRPr="00791F88">
        <w:rPr>
          <w:noProof/>
        </w:rPr>
        <w:t>Equipamentos disponíveis em Aimorés para realizar a limpeza pública</w:t>
      </w:r>
      <w:r w:rsidR="00BA7595" w:rsidRPr="00BA7595">
        <w:rPr>
          <w:b w:val="0"/>
        </w:rPr>
        <w:t>.</w:t>
      </w:r>
      <w:bookmarkEnd w:id="5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7"/>
        <w:gridCol w:w="1560"/>
        <w:gridCol w:w="3023"/>
      </w:tblGrid>
      <w:tr w:rsidR="00E32574" w:rsidRPr="00BA7595" w:rsidTr="00BA7595">
        <w:trPr>
          <w:trHeight w:val="389"/>
          <w:jc w:val="center"/>
        </w:trPr>
        <w:tc>
          <w:tcPr>
            <w:tcW w:w="4017" w:type="dxa"/>
            <w:shd w:val="clear" w:color="auto" w:fill="D9D9D9" w:themeFill="background1" w:themeFillShade="D9"/>
            <w:vAlign w:val="center"/>
          </w:tcPr>
          <w:p w:rsidR="00E32574" w:rsidRPr="00BA7595" w:rsidRDefault="00E32574" w:rsidP="00BA7595">
            <w:pPr>
              <w:pStyle w:val="Corpodetexto"/>
              <w:spacing w:before="120" w:line="240" w:lineRule="auto"/>
              <w:rPr>
                <w:b/>
                <w:szCs w:val="24"/>
              </w:rPr>
            </w:pPr>
            <w:r w:rsidRPr="00BA7595">
              <w:rPr>
                <w:b/>
                <w:szCs w:val="24"/>
              </w:rPr>
              <w:t>Equipamento</w:t>
            </w:r>
          </w:p>
        </w:tc>
        <w:tc>
          <w:tcPr>
            <w:tcW w:w="1560" w:type="dxa"/>
            <w:shd w:val="clear" w:color="auto" w:fill="D9D9D9" w:themeFill="background1" w:themeFillShade="D9"/>
            <w:vAlign w:val="center"/>
          </w:tcPr>
          <w:p w:rsidR="00E32574" w:rsidRPr="00BA7595" w:rsidRDefault="00E32574" w:rsidP="00BA7595">
            <w:pPr>
              <w:pStyle w:val="Corpodetexto"/>
              <w:spacing w:before="120" w:line="240" w:lineRule="auto"/>
              <w:ind w:left="-1819" w:firstLine="1819"/>
              <w:jc w:val="center"/>
              <w:rPr>
                <w:b/>
                <w:szCs w:val="24"/>
              </w:rPr>
            </w:pPr>
            <w:r w:rsidRPr="00BA7595">
              <w:rPr>
                <w:b/>
                <w:szCs w:val="24"/>
              </w:rPr>
              <w:t>Quantidade</w:t>
            </w:r>
          </w:p>
        </w:tc>
        <w:tc>
          <w:tcPr>
            <w:tcW w:w="3023" w:type="dxa"/>
            <w:shd w:val="clear" w:color="auto" w:fill="D9D9D9" w:themeFill="background1" w:themeFillShade="D9"/>
            <w:vAlign w:val="center"/>
          </w:tcPr>
          <w:p w:rsidR="00E32574" w:rsidRPr="00BA7595" w:rsidRDefault="00E32574" w:rsidP="00BA7595">
            <w:pPr>
              <w:pStyle w:val="Corpodetexto"/>
              <w:spacing w:before="120" w:line="240" w:lineRule="auto"/>
              <w:rPr>
                <w:b/>
                <w:szCs w:val="24"/>
              </w:rPr>
            </w:pPr>
            <w:r w:rsidRPr="00BA7595">
              <w:rPr>
                <w:b/>
                <w:szCs w:val="24"/>
              </w:rPr>
              <w:t>Comentário</w:t>
            </w:r>
          </w:p>
        </w:tc>
      </w:tr>
      <w:tr w:rsidR="00E32574" w:rsidRPr="0090022C" w:rsidTr="00BA7595">
        <w:trPr>
          <w:trHeight w:val="389"/>
          <w:jc w:val="center"/>
        </w:trPr>
        <w:tc>
          <w:tcPr>
            <w:tcW w:w="4017" w:type="dxa"/>
            <w:vAlign w:val="center"/>
          </w:tcPr>
          <w:p w:rsidR="00E32574" w:rsidRPr="00A1723F" w:rsidRDefault="00BA7595" w:rsidP="00BA7595">
            <w:pPr>
              <w:pStyle w:val="Corpodetexto"/>
              <w:spacing w:before="120" w:line="240" w:lineRule="auto"/>
              <w:rPr>
                <w:szCs w:val="24"/>
              </w:rPr>
            </w:pPr>
            <w:r>
              <w:rPr>
                <w:szCs w:val="24"/>
              </w:rPr>
              <w:t>C</w:t>
            </w:r>
            <w:r w:rsidR="00E32574" w:rsidRPr="00A1723F">
              <w:rPr>
                <w:szCs w:val="24"/>
              </w:rPr>
              <w:t>aminhão compactador</w:t>
            </w:r>
          </w:p>
        </w:tc>
        <w:tc>
          <w:tcPr>
            <w:tcW w:w="1560" w:type="dxa"/>
            <w:vAlign w:val="center"/>
          </w:tcPr>
          <w:p w:rsidR="00E32574" w:rsidRPr="00A1723F" w:rsidRDefault="00E32574" w:rsidP="00BA7595">
            <w:pPr>
              <w:pStyle w:val="Corpodetexto"/>
              <w:spacing w:before="120" w:line="240" w:lineRule="auto"/>
              <w:ind w:left="-1819" w:firstLine="1819"/>
              <w:jc w:val="center"/>
              <w:rPr>
                <w:szCs w:val="24"/>
              </w:rPr>
            </w:pPr>
            <w:r w:rsidRPr="00A1723F">
              <w:rPr>
                <w:szCs w:val="24"/>
              </w:rPr>
              <w:t>1</w:t>
            </w:r>
          </w:p>
        </w:tc>
        <w:tc>
          <w:tcPr>
            <w:tcW w:w="3023" w:type="dxa"/>
            <w:vAlign w:val="center"/>
          </w:tcPr>
          <w:p w:rsidR="00E32574" w:rsidRPr="00A1723F" w:rsidRDefault="00E32574" w:rsidP="00BA7595">
            <w:pPr>
              <w:pStyle w:val="Corpodetexto"/>
              <w:spacing w:before="120" w:line="240" w:lineRule="auto"/>
              <w:ind w:right="282"/>
              <w:rPr>
                <w:szCs w:val="24"/>
              </w:rPr>
            </w:pPr>
            <w:r w:rsidRPr="00A1723F">
              <w:rPr>
                <w:szCs w:val="24"/>
              </w:rPr>
              <w:t xml:space="preserve">&lt; 5 anos de uso </w:t>
            </w:r>
          </w:p>
        </w:tc>
      </w:tr>
      <w:tr w:rsidR="00E32574" w:rsidRPr="0090022C" w:rsidTr="00BA7595">
        <w:trPr>
          <w:trHeight w:val="389"/>
          <w:jc w:val="center"/>
        </w:trPr>
        <w:tc>
          <w:tcPr>
            <w:tcW w:w="4017" w:type="dxa"/>
            <w:vAlign w:val="center"/>
          </w:tcPr>
          <w:p w:rsidR="00E32574" w:rsidRPr="00A1723F" w:rsidRDefault="00BA7595" w:rsidP="00BA7595">
            <w:pPr>
              <w:pStyle w:val="Corpodetexto"/>
              <w:spacing w:before="120" w:line="240" w:lineRule="auto"/>
              <w:rPr>
                <w:szCs w:val="24"/>
              </w:rPr>
            </w:pPr>
            <w:r>
              <w:rPr>
                <w:szCs w:val="24"/>
              </w:rPr>
              <w:t>C</w:t>
            </w:r>
            <w:r w:rsidR="00E32574" w:rsidRPr="00A1723F">
              <w:rPr>
                <w:szCs w:val="24"/>
              </w:rPr>
              <w:t>aminhão basculante</w:t>
            </w:r>
          </w:p>
        </w:tc>
        <w:tc>
          <w:tcPr>
            <w:tcW w:w="1560" w:type="dxa"/>
            <w:vAlign w:val="center"/>
          </w:tcPr>
          <w:p w:rsidR="00E32574" w:rsidRPr="00A1723F" w:rsidRDefault="00E32574" w:rsidP="00BA7595">
            <w:pPr>
              <w:pStyle w:val="Corpodetexto"/>
              <w:spacing w:before="120" w:line="240" w:lineRule="auto"/>
              <w:ind w:left="-1819" w:firstLine="1819"/>
              <w:jc w:val="center"/>
              <w:rPr>
                <w:szCs w:val="24"/>
              </w:rPr>
            </w:pPr>
            <w:r w:rsidRPr="00A1723F">
              <w:rPr>
                <w:szCs w:val="24"/>
              </w:rPr>
              <w:t>4</w:t>
            </w:r>
          </w:p>
        </w:tc>
        <w:tc>
          <w:tcPr>
            <w:tcW w:w="3023" w:type="dxa"/>
            <w:vAlign w:val="center"/>
          </w:tcPr>
          <w:p w:rsidR="00E32574" w:rsidRPr="00A1723F" w:rsidRDefault="00E32574" w:rsidP="00BA7595">
            <w:pPr>
              <w:pStyle w:val="Corpodetexto"/>
              <w:spacing w:before="120" w:line="240" w:lineRule="auto"/>
              <w:ind w:right="282"/>
              <w:rPr>
                <w:szCs w:val="24"/>
              </w:rPr>
            </w:pPr>
            <w:r w:rsidRPr="00A1723F">
              <w:rPr>
                <w:color w:val="222222"/>
                <w:szCs w:val="24"/>
                <w:shd w:val="clear" w:color="auto" w:fill="FFFFFF"/>
              </w:rPr>
              <w:t>1 caminhão com menos de 5 anos de uso e 3 com mais de 10 anos de uso</w:t>
            </w:r>
          </w:p>
        </w:tc>
      </w:tr>
      <w:tr w:rsidR="00E32574" w:rsidRPr="0090022C" w:rsidTr="00BA7595">
        <w:trPr>
          <w:trHeight w:val="389"/>
          <w:jc w:val="center"/>
        </w:trPr>
        <w:tc>
          <w:tcPr>
            <w:tcW w:w="4017" w:type="dxa"/>
            <w:vAlign w:val="center"/>
          </w:tcPr>
          <w:p w:rsidR="00E32574" w:rsidRPr="00A1723F" w:rsidRDefault="00BA7595" w:rsidP="00BA7595">
            <w:pPr>
              <w:pStyle w:val="Corpodetexto"/>
              <w:spacing w:before="120" w:line="240" w:lineRule="auto"/>
              <w:rPr>
                <w:szCs w:val="24"/>
              </w:rPr>
            </w:pPr>
            <w:r>
              <w:rPr>
                <w:szCs w:val="24"/>
              </w:rPr>
              <w:t>T</w:t>
            </w:r>
            <w:r w:rsidR="00E32574" w:rsidRPr="00A1723F">
              <w:rPr>
                <w:szCs w:val="24"/>
              </w:rPr>
              <w:t>rator</w:t>
            </w:r>
          </w:p>
        </w:tc>
        <w:tc>
          <w:tcPr>
            <w:tcW w:w="1560" w:type="dxa"/>
            <w:vAlign w:val="center"/>
          </w:tcPr>
          <w:p w:rsidR="00E32574" w:rsidRPr="00A1723F" w:rsidRDefault="00E32574" w:rsidP="00BA7595">
            <w:pPr>
              <w:pStyle w:val="Corpodetexto"/>
              <w:spacing w:before="120" w:line="240" w:lineRule="auto"/>
              <w:ind w:left="-1819" w:firstLine="1819"/>
              <w:jc w:val="center"/>
              <w:rPr>
                <w:szCs w:val="24"/>
              </w:rPr>
            </w:pPr>
            <w:r w:rsidRPr="00A1723F">
              <w:rPr>
                <w:szCs w:val="24"/>
              </w:rPr>
              <w:t>2</w:t>
            </w:r>
          </w:p>
        </w:tc>
        <w:tc>
          <w:tcPr>
            <w:tcW w:w="3023" w:type="dxa"/>
            <w:vAlign w:val="center"/>
          </w:tcPr>
          <w:p w:rsidR="00E32574" w:rsidRPr="00A1723F" w:rsidRDefault="00E32574" w:rsidP="00BA7595">
            <w:pPr>
              <w:pStyle w:val="Corpodetexto"/>
              <w:spacing w:before="120" w:line="240" w:lineRule="auto"/>
              <w:ind w:right="282"/>
              <w:rPr>
                <w:szCs w:val="24"/>
              </w:rPr>
            </w:pPr>
            <w:r w:rsidRPr="00A1723F">
              <w:rPr>
                <w:szCs w:val="24"/>
              </w:rPr>
              <w:t xml:space="preserve">1 trator modelo 265 </w:t>
            </w:r>
            <w:r w:rsidRPr="00A1723F">
              <w:rPr>
                <w:color w:val="222222"/>
                <w:szCs w:val="24"/>
                <w:shd w:val="clear" w:color="auto" w:fill="FFFFFF"/>
              </w:rPr>
              <w:t xml:space="preserve">sucateado </w:t>
            </w:r>
            <w:r w:rsidRPr="00A1723F">
              <w:rPr>
                <w:szCs w:val="24"/>
              </w:rPr>
              <w:t xml:space="preserve">e 1 trator modelo 285, </w:t>
            </w:r>
            <w:r w:rsidRPr="00A1723F">
              <w:rPr>
                <w:color w:val="222222"/>
                <w:szCs w:val="24"/>
                <w:shd w:val="clear" w:color="auto" w:fill="FFFFFF"/>
              </w:rPr>
              <w:t>em bom estado com uma concha adaptada, mas sua concha não consegue alcançar o caminhão</w:t>
            </w:r>
            <w:r w:rsidRPr="00A1723F">
              <w:rPr>
                <w:szCs w:val="24"/>
              </w:rPr>
              <w:t xml:space="preserve"> </w:t>
            </w:r>
          </w:p>
        </w:tc>
      </w:tr>
      <w:tr w:rsidR="00E32574" w:rsidRPr="0090022C" w:rsidTr="00BA7595">
        <w:trPr>
          <w:trHeight w:val="389"/>
          <w:jc w:val="center"/>
        </w:trPr>
        <w:tc>
          <w:tcPr>
            <w:tcW w:w="4017" w:type="dxa"/>
            <w:vAlign w:val="center"/>
          </w:tcPr>
          <w:p w:rsidR="00E32574" w:rsidRPr="00A1723F" w:rsidRDefault="00E32574" w:rsidP="00BA7595">
            <w:pPr>
              <w:pStyle w:val="Corpodetexto"/>
              <w:spacing w:before="120" w:line="240" w:lineRule="auto"/>
              <w:rPr>
                <w:szCs w:val="24"/>
              </w:rPr>
            </w:pPr>
            <w:r w:rsidRPr="00A1723F">
              <w:rPr>
                <w:szCs w:val="24"/>
              </w:rPr>
              <w:t>Carroça tração animal</w:t>
            </w:r>
          </w:p>
        </w:tc>
        <w:tc>
          <w:tcPr>
            <w:tcW w:w="1560" w:type="dxa"/>
            <w:vAlign w:val="center"/>
          </w:tcPr>
          <w:p w:rsidR="00E32574" w:rsidRPr="00A1723F" w:rsidRDefault="00E32574" w:rsidP="00BA7595">
            <w:pPr>
              <w:pStyle w:val="Corpodetexto"/>
              <w:spacing w:before="120" w:line="240" w:lineRule="auto"/>
              <w:ind w:left="-1819" w:firstLine="1819"/>
              <w:jc w:val="center"/>
              <w:rPr>
                <w:szCs w:val="24"/>
              </w:rPr>
            </w:pPr>
            <w:r w:rsidRPr="00A1723F">
              <w:rPr>
                <w:szCs w:val="24"/>
              </w:rPr>
              <w:t>2</w:t>
            </w:r>
          </w:p>
        </w:tc>
        <w:tc>
          <w:tcPr>
            <w:tcW w:w="3023" w:type="dxa"/>
            <w:vAlign w:val="center"/>
          </w:tcPr>
          <w:p w:rsidR="00E32574" w:rsidRPr="00A1723F" w:rsidRDefault="00E32574" w:rsidP="00BA7595">
            <w:pPr>
              <w:pStyle w:val="Corpodetexto"/>
              <w:spacing w:before="120" w:line="240" w:lineRule="auto"/>
              <w:ind w:right="282"/>
              <w:rPr>
                <w:szCs w:val="24"/>
              </w:rPr>
            </w:pPr>
            <w:r w:rsidRPr="00A1723F">
              <w:rPr>
                <w:szCs w:val="24"/>
              </w:rPr>
              <w:t>-</w:t>
            </w:r>
          </w:p>
        </w:tc>
      </w:tr>
      <w:tr w:rsidR="00E32574" w:rsidRPr="0090022C" w:rsidTr="00BA7595">
        <w:trPr>
          <w:trHeight w:val="389"/>
          <w:jc w:val="center"/>
        </w:trPr>
        <w:tc>
          <w:tcPr>
            <w:tcW w:w="4017" w:type="dxa"/>
            <w:vAlign w:val="center"/>
          </w:tcPr>
          <w:p w:rsidR="00E32574" w:rsidRPr="00A1723F" w:rsidRDefault="00BA7595" w:rsidP="00BA7595">
            <w:pPr>
              <w:pStyle w:val="Corpodetexto"/>
              <w:spacing w:before="120" w:line="240" w:lineRule="auto"/>
              <w:rPr>
                <w:szCs w:val="24"/>
              </w:rPr>
            </w:pPr>
            <w:r>
              <w:rPr>
                <w:color w:val="222222"/>
                <w:szCs w:val="24"/>
                <w:shd w:val="clear" w:color="auto" w:fill="FFFFFF"/>
              </w:rPr>
              <w:t>C</w:t>
            </w:r>
            <w:r w:rsidR="00E32574" w:rsidRPr="00A1723F">
              <w:rPr>
                <w:color w:val="222222"/>
                <w:szCs w:val="24"/>
                <w:shd w:val="clear" w:color="auto" w:fill="FFFFFF"/>
              </w:rPr>
              <w:t xml:space="preserve">arreta reboque </w:t>
            </w:r>
          </w:p>
        </w:tc>
        <w:tc>
          <w:tcPr>
            <w:tcW w:w="1560" w:type="dxa"/>
            <w:vAlign w:val="center"/>
          </w:tcPr>
          <w:p w:rsidR="00E32574" w:rsidRPr="00A1723F" w:rsidRDefault="00E32574" w:rsidP="00BA7595">
            <w:pPr>
              <w:pStyle w:val="Corpodetexto"/>
              <w:spacing w:before="120" w:line="240" w:lineRule="auto"/>
              <w:ind w:left="-1819" w:firstLine="1819"/>
              <w:jc w:val="center"/>
              <w:rPr>
                <w:szCs w:val="24"/>
              </w:rPr>
            </w:pPr>
            <w:r w:rsidRPr="00A1723F">
              <w:rPr>
                <w:szCs w:val="24"/>
              </w:rPr>
              <w:t>1</w:t>
            </w:r>
          </w:p>
        </w:tc>
        <w:tc>
          <w:tcPr>
            <w:tcW w:w="3023" w:type="dxa"/>
            <w:vAlign w:val="center"/>
          </w:tcPr>
          <w:p w:rsidR="00E32574" w:rsidRPr="00A1723F" w:rsidRDefault="00BA7595" w:rsidP="00BA7595">
            <w:pPr>
              <w:pStyle w:val="Corpodetexto"/>
              <w:spacing w:before="120" w:line="240" w:lineRule="auto"/>
              <w:ind w:right="282"/>
              <w:rPr>
                <w:szCs w:val="24"/>
              </w:rPr>
            </w:pPr>
            <w:r>
              <w:rPr>
                <w:color w:val="222222"/>
                <w:szCs w:val="24"/>
                <w:shd w:val="clear" w:color="auto" w:fill="FFFFFF"/>
              </w:rPr>
              <w:t>S</w:t>
            </w:r>
            <w:r w:rsidR="00E32574" w:rsidRPr="00A1723F">
              <w:rPr>
                <w:color w:val="222222"/>
                <w:szCs w:val="24"/>
                <w:shd w:val="clear" w:color="auto" w:fill="FFFFFF"/>
              </w:rPr>
              <w:t>ucateada</w:t>
            </w:r>
          </w:p>
        </w:tc>
      </w:tr>
    </w:tbl>
    <w:p w:rsidR="00BA7595" w:rsidRPr="00BA7595" w:rsidRDefault="00BA7595" w:rsidP="00BA7595">
      <w:pPr>
        <w:pStyle w:val="TituloTabelas"/>
        <w:spacing w:before="120" w:after="120"/>
        <w:ind w:left="142"/>
        <w:rPr>
          <w:sz w:val="20"/>
          <w:szCs w:val="20"/>
        </w:rPr>
      </w:pPr>
      <w:r w:rsidRPr="00BA7595">
        <w:rPr>
          <w:sz w:val="20"/>
          <w:szCs w:val="20"/>
        </w:rPr>
        <w:t>Fonte: Prefeitura Municipal de Aimorés</w:t>
      </w:r>
    </w:p>
    <w:p w:rsidR="00E32574" w:rsidRPr="008D43D2" w:rsidRDefault="00E32574" w:rsidP="00BA7595">
      <w:pPr>
        <w:spacing w:after="0" w:line="360" w:lineRule="auto"/>
        <w:ind w:firstLine="709"/>
        <w:jc w:val="both"/>
        <w:rPr>
          <w:lang w:eastAsia="pt-BR"/>
        </w:rPr>
      </w:pPr>
      <w:r w:rsidRPr="008D43D2">
        <w:rPr>
          <w:lang w:eastAsia="pt-BR"/>
        </w:rPr>
        <w:t xml:space="preserve">Ainda com relação a remuneração do sistema de limpeza urbana é importante somar aos recursos disponíveis (Recursos do Tesouro Municipal + Arrecadação da Taxa de Coleta de Lixo (TCL) + Arrecadação de Tarifas e Receitas Diversas) a outras fontes, inclui aí a busca </w:t>
      </w:r>
      <w:r w:rsidR="00BA7595">
        <w:rPr>
          <w:lang w:eastAsia="pt-BR"/>
        </w:rPr>
        <w:t>d</w:t>
      </w:r>
      <w:r w:rsidRPr="008D43D2">
        <w:rPr>
          <w:lang w:eastAsia="pt-BR"/>
        </w:rPr>
        <w:t>a efetivação do licenciamento ambiental da UTC de RSU de Aimorés para receber recursos advindos do ICMS-Ecológico em vigor no Estado de Minas Gerais. Apesar da UTC estar em operação desde 1999 esta Unidade ainda opera sem licenciamento Ambiental, fato que impossibilita o município de pleitear este recurso.</w:t>
      </w:r>
    </w:p>
    <w:p w:rsidR="00E32574" w:rsidRPr="008D43D2" w:rsidRDefault="00E32574" w:rsidP="00BA7595">
      <w:pPr>
        <w:spacing w:after="0" w:line="360" w:lineRule="auto"/>
        <w:ind w:firstLine="709"/>
        <w:jc w:val="both"/>
        <w:rPr>
          <w:lang w:eastAsia="pt-BR"/>
        </w:rPr>
      </w:pPr>
      <w:r w:rsidRPr="008D43D2">
        <w:rPr>
          <w:lang w:eastAsia="pt-BR"/>
        </w:rPr>
        <w:t>O processamento dos resíduos sólidos na UTC visa à triagem dos materiais recuperáveis, além da compostagem da fração orgânica, sendo está uma clara vantagem econômica, social, sanitária e ambiental.</w:t>
      </w:r>
    </w:p>
    <w:p w:rsidR="00E32574" w:rsidRPr="008D43D2" w:rsidRDefault="00E32574" w:rsidP="00BA7595">
      <w:pPr>
        <w:spacing w:after="0" w:line="360" w:lineRule="auto"/>
        <w:ind w:firstLine="709"/>
        <w:jc w:val="both"/>
        <w:rPr>
          <w:lang w:eastAsia="pt-BR"/>
        </w:rPr>
      </w:pPr>
      <w:r w:rsidRPr="008D43D2">
        <w:rPr>
          <w:lang w:eastAsia="pt-BR"/>
        </w:rPr>
        <w:t>Neste contexto o PGIRS deve buscar, dentre outras coisas, a sua regularização para o município se habilitar para requerer o recebimento do ICMS-Ecológico, bem como atender a legislação ambiental, considerando que este é um tipo de empreendimento cujo licenciamento ambiental é obrigatório.</w:t>
      </w:r>
    </w:p>
    <w:p w:rsidR="00E32574" w:rsidRPr="008D43D2" w:rsidRDefault="00E32574" w:rsidP="00BA7595">
      <w:pPr>
        <w:spacing w:after="0" w:line="360" w:lineRule="auto"/>
        <w:ind w:firstLine="709"/>
        <w:jc w:val="both"/>
        <w:rPr>
          <w:lang w:eastAsia="pt-BR"/>
        </w:rPr>
      </w:pPr>
      <w:r w:rsidRPr="008D43D2">
        <w:rPr>
          <w:lang w:eastAsia="pt-BR"/>
        </w:rPr>
        <w:lastRenderedPageBreak/>
        <w:t>Independentemente da forma de gestão, os recursos financeiros do município e a arrecadação de tarifas possíveis devem equivaler ao orçamento do custeio e despesas de capital de todas as operações que abrangem a limpeza da cidade.</w:t>
      </w:r>
    </w:p>
    <w:p w:rsidR="00E32574" w:rsidRPr="008D43D2" w:rsidRDefault="00E32574" w:rsidP="00BA7595">
      <w:pPr>
        <w:spacing w:after="0" w:line="360" w:lineRule="auto"/>
        <w:ind w:firstLine="709"/>
        <w:jc w:val="both"/>
        <w:rPr>
          <w:lang w:eastAsia="pt-BR"/>
        </w:rPr>
      </w:pPr>
      <w:r w:rsidRPr="008D43D2">
        <w:rPr>
          <w:lang w:eastAsia="pt-BR"/>
        </w:rPr>
        <w:t>O custo da coleta, incluindo todos os segmentos operacionais até a disposição final, representa em Aimorés cerca de 50% do custo do sistema de limpeza urbana face os custos de veículos e equipamentos.</w:t>
      </w:r>
    </w:p>
    <w:p w:rsidR="00E32574" w:rsidRPr="008D43D2" w:rsidRDefault="00E32574" w:rsidP="00BA7595">
      <w:pPr>
        <w:spacing w:after="0" w:line="360" w:lineRule="auto"/>
        <w:ind w:firstLine="709"/>
        <w:jc w:val="both"/>
        <w:rPr>
          <w:lang w:eastAsia="pt-BR"/>
        </w:rPr>
      </w:pPr>
      <w:r w:rsidRPr="008D43D2">
        <w:rPr>
          <w:lang w:eastAsia="pt-BR"/>
        </w:rPr>
        <w:t xml:space="preserve">No diagnóstico dos serviços de limpeza pública efetuado pelo LOCI Planejamento e Projetos no PGIRS de Aimorés (PEREIRA et al., 2004) constatou que os custos dos serviços não são ainda apurados de forma separada dos demais encargos e serviços da Secretaria de Transporte e Limpeza Urbana. Similar situação ainda persiste pois foi apurada também em 2013, fato que denota que pode estar sendo negligencia no orçamento global dos serviços as parcelas dos custos de transferência, transporte, tratamento e destino final, assim como administração, sistemas de controle, despesas de capital, desenvolvimento tecnológico e capacitação dos recursos humanos vinculados aos serviços de limpeza pública. </w:t>
      </w:r>
    </w:p>
    <w:p w:rsidR="00E32574" w:rsidRPr="008D43D2" w:rsidRDefault="00E32574" w:rsidP="00BA7595">
      <w:pPr>
        <w:spacing w:after="0" w:line="360" w:lineRule="auto"/>
        <w:ind w:firstLine="709"/>
        <w:jc w:val="both"/>
        <w:rPr>
          <w:lang w:eastAsia="pt-BR"/>
        </w:rPr>
      </w:pPr>
      <w:r w:rsidRPr="008D43D2">
        <w:rPr>
          <w:lang w:eastAsia="pt-BR"/>
        </w:rPr>
        <w:t>Portanto, aferir tais custos de forma objetiva é fixar novas rotinas para o necessário controle dos investimentos realizados nos serviços de limpeza pública. Passa a ser tarefa prioritária da Prefeitura apropriar o universo de custos que compõe os serviços, visando informar e gradativamente repassar, de uma forma socialmente justa, esses custos aos cidadãos aimoreenses.</w:t>
      </w:r>
    </w:p>
    <w:p w:rsidR="00E32574" w:rsidRPr="0090022C" w:rsidRDefault="00BA7595" w:rsidP="00971B37">
      <w:pPr>
        <w:pStyle w:val="Titulo"/>
      </w:pPr>
      <w:bookmarkStart w:id="560" w:name="_Toc110334825"/>
      <w:bookmarkStart w:id="561" w:name="_Toc372559163"/>
      <w:bookmarkStart w:id="562" w:name="_Toc372789594"/>
      <w:r>
        <w:t xml:space="preserve">13.4 </w:t>
      </w:r>
      <w:r w:rsidR="00E32574" w:rsidRPr="0090022C">
        <w:t xml:space="preserve">Produção de Resíduos </w:t>
      </w:r>
      <w:r w:rsidR="00E32574" w:rsidRPr="00705554">
        <w:t>Sólidos</w:t>
      </w:r>
      <w:bookmarkEnd w:id="560"/>
      <w:bookmarkEnd w:id="561"/>
      <w:bookmarkEnd w:id="562"/>
    </w:p>
    <w:p w:rsidR="00E32574" w:rsidRPr="008D43D2" w:rsidRDefault="00E32574" w:rsidP="00BA7595">
      <w:pPr>
        <w:spacing w:after="0" w:line="360" w:lineRule="auto"/>
        <w:ind w:firstLine="709"/>
        <w:jc w:val="both"/>
        <w:rPr>
          <w:lang w:eastAsia="pt-BR"/>
        </w:rPr>
      </w:pPr>
      <w:r w:rsidRPr="008D43D2">
        <w:rPr>
          <w:lang w:eastAsia="pt-BR"/>
        </w:rPr>
        <w:t>De acordo com informações obtidas na Secretaria de Transporte e Limpeza Urbana de Aimorés (setembro/2013) a coleta de RSU é feita diariamente (segunda-feira a sábado) e que no ano de 2012 foi coletado média de 8,0 t</w:t>
      </w:r>
      <w:r w:rsidR="00BA7595">
        <w:rPr>
          <w:lang w:eastAsia="pt-BR"/>
        </w:rPr>
        <w:t>.</w:t>
      </w:r>
      <w:r w:rsidRPr="008D43D2">
        <w:rPr>
          <w:lang w:eastAsia="pt-BR"/>
        </w:rPr>
        <w:t>dia</w:t>
      </w:r>
      <w:r w:rsidRPr="00BA7595">
        <w:rPr>
          <w:vertAlign w:val="superscript"/>
          <w:lang w:eastAsia="pt-BR"/>
        </w:rPr>
        <w:t>-1</w:t>
      </w:r>
      <w:r w:rsidRPr="008D43D2">
        <w:rPr>
          <w:lang w:eastAsia="pt-BR"/>
        </w:rPr>
        <w:t xml:space="preserve"> de resíduos domiciliares e públicos.</w:t>
      </w:r>
    </w:p>
    <w:p w:rsidR="00E32574" w:rsidRPr="008D43D2" w:rsidRDefault="00E32574" w:rsidP="00BA7595">
      <w:pPr>
        <w:spacing w:after="0" w:line="360" w:lineRule="auto"/>
        <w:ind w:firstLine="709"/>
        <w:jc w:val="both"/>
        <w:rPr>
          <w:lang w:eastAsia="pt-BR"/>
        </w:rPr>
      </w:pPr>
      <w:r w:rsidRPr="008D43D2">
        <w:rPr>
          <w:lang w:eastAsia="pt-BR"/>
        </w:rPr>
        <w:t>No levantamento da quantidade de resíduos coletados em Aimorés no ano de 2004, feito por Pereira et al. para LOCI Planejamento e Projetos, era de 8 a 10 toneladas. Percebe-se que a quantidade de resíduos coletados no ano de 2013, em relação ao ano de 2004, não houve incremento na prestação do serviço de coleta.</w:t>
      </w:r>
    </w:p>
    <w:p w:rsidR="00BA7595" w:rsidRDefault="00E32574" w:rsidP="001F0E0C">
      <w:pPr>
        <w:spacing w:after="0" w:line="360" w:lineRule="auto"/>
        <w:ind w:firstLine="709"/>
        <w:jc w:val="both"/>
        <w:rPr>
          <w:lang w:eastAsia="pt-BR"/>
        </w:rPr>
      </w:pPr>
      <w:r w:rsidRPr="008D43D2">
        <w:rPr>
          <w:lang w:eastAsia="pt-BR"/>
        </w:rPr>
        <w:t>O destino dos resíduos, por domicílios particulares em Aimorés, está n</w:t>
      </w:r>
      <w:r w:rsidR="00BA7595">
        <w:rPr>
          <w:lang w:eastAsia="pt-BR"/>
        </w:rPr>
        <w:t>o Quadro 5</w:t>
      </w:r>
      <w:r w:rsidR="001277BE">
        <w:rPr>
          <w:lang w:eastAsia="pt-BR"/>
        </w:rPr>
        <w:t>4</w:t>
      </w:r>
      <w:r w:rsidR="00BA7595">
        <w:rPr>
          <w:lang w:eastAsia="pt-BR"/>
        </w:rPr>
        <w:t>.</w:t>
      </w:r>
      <w:bookmarkStart w:id="563" w:name="_Toc110249014"/>
      <w:bookmarkStart w:id="564" w:name="_Toc372117309"/>
    </w:p>
    <w:p w:rsidR="00466071" w:rsidRDefault="00466071" w:rsidP="001F0E0C">
      <w:pPr>
        <w:spacing w:after="0" w:line="360" w:lineRule="auto"/>
        <w:ind w:firstLine="709"/>
        <w:jc w:val="both"/>
        <w:rPr>
          <w:rFonts w:eastAsiaTheme="minorEastAsia" w:cs="Times New Roman"/>
          <w:b/>
          <w:bCs/>
          <w:szCs w:val="24"/>
          <w:lang w:eastAsia="pt-BR"/>
        </w:rPr>
      </w:pPr>
    </w:p>
    <w:p w:rsidR="00E32574" w:rsidRPr="00BA7595" w:rsidRDefault="0075744C" w:rsidP="0075744C">
      <w:pPr>
        <w:pStyle w:val="Legenda"/>
        <w:rPr>
          <w:b w:val="0"/>
        </w:rPr>
      </w:pPr>
      <w:bookmarkStart w:id="565" w:name="_Toc372740560"/>
      <w:bookmarkEnd w:id="563"/>
      <w:bookmarkEnd w:id="564"/>
      <w:r>
        <w:lastRenderedPageBreak/>
        <w:t xml:space="preserve">Quadro </w:t>
      </w:r>
      <w:fldSimple w:instr=" SEQ Quadro \* ARABIC ">
        <w:r w:rsidR="004F77E2">
          <w:rPr>
            <w:noProof/>
          </w:rPr>
          <w:t>54</w:t>
        </w:r>
      </w:fldSimple>
      <w:r>
        <w:t xml:space="preserve"> - </w:t>
      </w:r>
      <w:r w:rsidRPr="00F45E00">
        <w:rPr>
          <w:noProof/>
        </w:rPr>
        <w:t>Destino dos resíduos por domicílios particulares em Aimorés</w:t>
      </w:r>
      <w:bookmarkEnd w:id="5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0"/>
        <w:gridCol w:w="900"/>
        <w:gridCol w:w="960"/>
        <w:gridCol w:w="960"/>
        <w:gridCol w:w="960"/>
        <w:gridCol w:w="784"/>
        <w:gridCol w:w="784"/>
        <w:gridCol w:w="785"/>
        <w:gridCol w:w="784"/>
        <w:gridCol w:w="785"/>
      </w:tblGrid>
      <w:tr w:rsidR="00E32574" w:rsidRPr="00BA7595" w:rsidTr="00BA7595">
        <w:trPr>
          <w:cantSplit/>
          <w:trHeight w:val="227"/>
        </w:trPr>
        <w:tc>
          <w:tcPr>
            <w:tcW w:w="1510" w:type="dxa"/>
            <w:vMerge w:val="restart"/>
            <w:shd w:val="clear" w:color="auto" w:fill="D9D9D9" w:themeFill="background1" w:themeFillShade="D9"/>
            <w:vAlign w:val="center"/>
          </w:tcPr>
          <w:p w:rsidR="00E32574" w:rsidRPr="00BA7595" w:rsidRDefault="00E32574" w:rsidP="00BA7595">
            <w:pPr>
              <w:spacing w:before="120" w:after="120" w:line="240" w:lineRule="auto"/>
              <w:jc w:val="center"/>
              <w:rPr>
                <w:b/>
              </w:rPr>
            </w:pPr>
            <w:r w:rsidRPr="00BA7595">
              <w:rPr>
                <w:b/>
              </w:rPr>
              <w:t>Mesorregiões, Microrregiões, sede, Distritos, Subdistritos e Bairros</w:t>
            </w:r>
          </w:p>
        </w:tc>
        <w:tc>
          <w:tcPr>
            <w:tcW w:w="900" w:type="dxa"/>
            <w:vMerge w:val="restart"/>
            <w:shd w:val="clear" w:color="auto" w:fill="D9D9D9" w:themeFill="background1" w:themeFillShade="D9"/>
            <w:textDirection w:val="btLr"/>
            <w:vAlign w:val="center"/>
          </w:tcPr>
          <w:p w:rsidR="00E32574" w:rsidRPr="00BA7595" w:rsidRDefault="00E32574" w:rsidP="00BA7595">
            <w:pPr>
              <w:spacing w:before="120" w:after="120" w:line="240" w:lineRule="auto"/>
              <w:ind w:left="113" w:right="113"/>
              <w:jc w:val="center"/>
              <w:rPr>
                <w:b/>
              </w:rPr>
            </w:pPr>
            <w:r w:rsidRPr="00BA7595">
              <w:rPr>
                <w:b/>
              </w:rPr>
              <w:t>Total</w:t>
            </w:r>
          </w:p>
        </w:tc>
        <w:tc>
          <w:tcPr>
            <w:tcW w:w="6802" w:type="dxa"/>
            <w:gridSpan w:val="8"/>
            <w:shd w:val="clear" w:color="auto" w:fill="D9D9D9" w:themeFill="background1" w:themeFillShade="D9"/>
            <w:vAlign w:val="center"/>
          </w:tcPr>
          <w:p w:rsidR="00E32574" w:rsidRPr="00BA7595" w:rsidRDefault="00E32574" w:rsidP="00BA7595">
            <w:pPr>
              <w:spacing w:before="120" w:after="120" w:line="240" w:lineRule="auto"/>
              <w:jc w:val="center"/>
              <w:rPr>
                <w:b/>
              </w:rPr>
            </w:pPr>
            <w:r w:rsidRPr="00BA7595">
              <w:rPr>
                <w:b/>
              </w:rPr>
              <w:t>Destino do resíduo</w:t>
            </w:r>
          </w:p>
        </w:tc>
      </w:tr>
      <w:tr w:rsidR="00E32574" w:rsidRPr="00BA7595" w:rsidTr="00BA7595">
        <w:trPr>
          <w:cantSplit/>
          <w:trHeight w:val="227"/>
        </w:trPr>
        <w:tc>
          <w:tcPr>
            <w:tcW w:w="1510" w:type="dxa"/>
            <w:vMerge/>
            <w:shd w:val="clear" w:color="auto" w:fill="D9D9D9" w:themeFill="background1" w:themeFillShade="D9"/>
            <w:vAlign w:val="center"/>
          </w:tcPr>
          <w:p w:rsidR="00E32574" w:rsidRPr="00BA7595" w:rsidRDefault="00E32574" w:rsidP="00BA7595">
            <w:pPr>
              <w:spacing w:before="120" w:after="120" w:line="240" w:lineRule="auto"/>
              <w:jc w:val="center"/>
              <w:rPr>
                <w:b/>
              </w:rPr>
            </w:pPr>
          </w:p>
        </w:tc>
        <w:tc>
          <w:tcPr>
            <w:tcW w:w="900" w:type="dxa"/>
            <w:vMerge/>
            <w:shd w:val="clear" w:color="auto" w:fill="D9D9D9" w:themeFill="background1" w:themeFillShade="D9"/>
            <w:vAlign w:val="center"/>
          </w:tcPr>
          <w:p w:rsidR="00E32574" w:rsidRPr="00BA7595" w:rsidRDefault="00E32574" w:rsidP="00BA7595">
            <w:pPr>
              <w:spacing w:before="120" w:after="120" w:line="240" w:lineRule="auto"/>
              <w:jc w:val="center"/>
              <w:rPr>
                <w:b/>
              </w:rPr>
            </w:pPr>
          </w:p>
        </w:tc>
        <w:tc>
          <w:tcPr>
            <w:tcW w:w="2880" w:type="dxa"/>
            <w:gridSpan w:val="3"/>
            <w:shd w:val="clear" w:color="auto" w:fill="D9D9D9" w:themeFill="background1" w:themeFillShade="D9"/>
            <w:vAlign w:val="center"/>
          </w:tcPr>
          <w:p w:rsidR="00E32574" w:rsidRPr="00BA7595" w:rsidRDefault="00E32574" w:rsidP="00BA7595">
            <w:pPr>
              <w:spacing w:before="120" w:after="120" w:line="240" w:lineRule="auto"/>
              <w:jc w:val="center"/>
              <w:rPr>
                <w:b/>
              </w:rPr>
            </w:pPr>
            <w:r w:rsidRPr="00BA7595">
              <w:rPr>
                <w:b/>
              </w:rPr>
              <w:t>Coletado</w:t>
            </w:r>
          </w:p>
        </w:tc>
        <w:tc>
          <w:tcPr>
            <w:tcW w:w="784" w:type="dxa"/>
            <w:vMerge w:val="restart"/>
            <w:shd w:val="clear" w:color="auto" w:fill="D9D9D9" w:themeFill="background1" w:themeFillShade="D9"/>
            <w:textDirection w:val="btLr"/>
            <w:vAlign w:val="center"/>
          </w:tcPr>
          <w:p w:rsidR="00E32574" w:rsidRPr="00BA7595" w:rsidRDefault="00E32574" w:rsidP="00BA7595">
            <w:pPr>
              <w:spacing w:before="120" w:after="120" w:line="240" w:lineRule="auto"/>
              <w:ind w:left="113" w:right="113"/>
              <w:jc w:val="center"/>
              <w:rPr>
                <w:b/>
              </w:rPr>
            </w:pPr>
            <w:r w:rsidRPr="00BA7595">
              <w:rPr>
                <w:b/>
              </w:rPr>
              <w:t>Queimado (na propriedade)</w:t>
            </w:r>
          </w:p>
        </w:tc>
        <w:tc>
          <w:tcPr>
            <w:tcW w:w="784" w:type="dxa"/>
            <w:vMerge w:val="restart"/>
            <w:shd w:val="clear" w:color="auto" w:fill="D9D9D9" w:themeFill="background1" w:themeFillShade="D9"/>
            <w:textDirection w:val="btLr"/>
            <w:vAlign w:val="center"/>
          </w:tcPr>
          <w:p w:rsidR="00E32574" w:rsidRPr="00BA7595" w:rsidRDefault="00E32574" w:rsidP="00BA7595">
            <w:pPr>
              <w:spacing w:before="120" w:after="120" w:line="240" w:lineRule="auto"/>
              <w:ind w:left="113" w:right="113"/>
              <w:jc w:val="center"/>
              <w:rPr>
                <w:b/>
              </w:rPr>
            </w:pPr>
            <w:r w:rsidRPr="00BA7595">
              <w:rPr>
                <w:b/>
              </w:rPr>
              <w:t>Enterrado (na propriedade)</w:t>
            </w:r>
          </w:p>
        </w:tc>
        <w:tc>
          <w:tcPr>
            <w:tcW w:w="785" w:type="dxa"/>
            <w:vMerge w:val="restart"/>
            <w:shd w:val="clear" w:color="auto" w:fill="D9D9D9" w:themeFill="background1" w:themeFillShade="D9"/>
            <w:textDirection w:val="btLr"/>
            <w:vAlign w:val="center"/>
          </w:tcPr>
          <w:p w:rsidR="00E32574" w:rsidRPr="00BA7595" w:rsidRDefault="00E32574" w:rsidP="00BA7595">
            <w:pPr>
              <w:spacing w:before="120" w:after="120" w:line="240" w:lineRule="auto"/>
              <w:ind w:left="113" w:right="113"/>
              <w:jc w:val="center"/>
              <w:rPr>
                <w:b/>
              </w:rPr>
            </w:pPr>
            <w:r w:rsidRPr="00BA7595">
              <w:rPr>
                <w:b/>
              </w:rPr>
              <w:t>Jogado em terreno baldio ou logradouro</w:t>
            </w:r>
          </w:p>
        </w:tc>
        <w:tc>
          <w:tcPr>
            <w:tcW w:w="784" w:type="dxa"/>
            <w:vMerge w:val="restart"/>
            <w:shd w:val="clear" w:color="auto" w:fill="D9D9D9" w:themeFill="background1" w:themeFillShade="D9"/>
            <w:textDirection w:val="btLr"/>
            <w:vAlign w:val="center"/>
          </w:tcPr>
          <w:p w:rsidR="00E32574" w:rsidRPr="00BA7595" w:rsidRDefault="00E32574" w:rsidP="00BA7595">
            <w:pPr>
              <w:spacing w:before="120" w:after="120" w:line="240" w:lineRule="auto"/>
              <w:ind w:left="113" w:right="113"/>
              <w:jc w:val="center"/>
              <w:rPr>
                <w:b/>
              </w:rPr>
            </w:pPr>
            <w:r w:rsidRPr="00BA7595">
              <w:rPr>
                <w:b/>
              </w:rPr>
              <w:t>Jogado em curso d’água</w:t>
            </w:r>
          </w:p>
        </w:tc>
        <w:tc>
          <w:tcPr>
            <w:tcW w:w="785" w:type="dxa"/>
            <w:vMerge w:val="restart"/>
            <w:shd w:val="clear" w:color="auto" w:fill="D9D9D9" w:themeFill="background1" w:themeFillShade="D9"/>
            <w:textDirection w:val="btLr"/>
            <w:vAlign w:val="center"/>
          </w:tcPr>
          <w:p w:rsidR="00E32574" w:rsidRPr="00BA7595" w:rsidRDefault="00E32574" w:rsidP="00BA7595">
            <w:pPr>
              <w:spacing w:before="120" w:after="120" w:line="240" w:lineRule="auto"/>
              <w:ind w:left="113" w:right="113"/>
              <w:jc w:val="center"/>
              <w:rPr>
                <w:b/>
              </w:rPr>
            </w:pPr>
            <w:r w:rsidRPr="00BA7595">
              <w:rPr>
                <w:b/>
              </w:rPr>
              <w:t>Outro destino</w:t>
            </w:r>
          </w:p>
        </w:tc>
      </w:tr>
      <w:tr w:rsidR="00E32574" w:rsidRPr="00BA7595" w:rsidTr="00BA7595">
        <w:trPr>
          <w:cantSplit/>
          <w:trHeight w:val="1396"/>
        </w:trPr>
        <w:tc>
          <w:tcPr>
            <w:tcW w:w="1510" w:type="dxa"/>
            <w:vMerge/>
            <w:shd w:val="clear" w:color="auto" w:fill="D9D9D9" w:themeFill="background1" w:themeFillShade="D9"/>
            <w:vAlign w:val="center"/>
          </w:tcPr>
          <w:p w:rsidR="00E32574" w:rsidRPr="00BA7595" w:rsidRDefault="00E32574" w:rsidP="00BA7595">
            <w:pPr>
              <w:spacing w:before="120" w:after="120" w:line="240" w:lineRule="auto"/>
              <w:rPr>
                <w:b/>
              </w:rPr>
            </w:pPr>
          </w:p>
        </w:tc>
        <w:tc>
          <w:tcPr>
            <w:tcW w:w="900" w:type="dxa"/>
            <w:vMerge/>
            <w:shd w:val="clear" w:color="auto" w:fill="D9D9D9" w:themeFill="background1" w:themeFillShade="D9"/>
            <w:vAlign w:val="center"/>
          </w:tcPr>
          <w:p w:rsidR="00E32574" w:rsidRPr="00BA7595" w:rsidRDefault="00E32574" w:rsidP="00BA7595">
            <w:pPr>
              <w:spacing w:before="120" w:after="120" w:line="240" w:lineRule="auto"/>
              <w:rPr>
                <w:b/>
              </w:rPr>
            </w:pPr>
          </w:p>
        </w:tc>
        <w:tc>
          <w:tcPr>
            <w:tcW w:w="960" w:type="dxa"/>
            <w:shd w:val="clear" w:color="auto" w:fill="D9D9D9" w:themeFill="background1" w:themeFillShade="D9"/>
            <w:textDirection w:val="btLr"/>
            <w:vAlign w:val="center"/>
          </w:tcPr>
          <w:p w:rsidR="00E32574" w:rsidRPr="00BA7595" w:rsidRDefault="00E32574" w:rsidP="00BA7595">
            <w:pPr>
              <w:spacing w:before="120" w:after="120" w:line="240" w:lineRule="auto"/>
              <w:ind w:left="113" w:right="113"/>
              <w:jc w:val="center"/>
              <w:rPr>
                <w:b/>
              </w:rPr>
            </w:pPr>
            <w:r w:rsidRPr="00BA7595">
              <w:rPr>
                <w:b/>
              </w:rPr>
              <w:t>Total</w:t>
            </w:r>
          </w:p>
        </w:tc>
        <w:tc>
          <w:tcPr>
            <w:tcW w:w="960" w:type="dxa"/>
            <w:shd w:val="clear" w:color="auto" w:fill="D9D9D9" w:themeFill="background1" w:themeFillShade="D9"/>
            <w:textDirection w:val="btLr"/>
            <w:vAlign w:val="center"/>
          </w:tcPr>
          <w:p w:rsidR="00E32574" w:rsidRPr="00BA7595" w:rsidRDefault="00E32574" w:rsidP="00BA7595">
            <w:pPr>
              <w:spacing w:before="120" w:after="120" w:line="240" w:lineRule="auto"/>
              <w:ind w:left="113" w:right="113"/>
              <w:jc w:val="center"/>
              <w:rPr>
                <w:b/>
              </w:rPr>
            </w:pPr>
            <w:r w:rsidRPr="00BA7595">
              <w:rPr>
                <w:b/>
              </w:rPr>
              <w:t>Por serviço de limpeza</w:t>
            </w:r>
          </w:p>
        </w:tc>
        <w:tc>
          <w:tcPr>
            <w:tcW w:w="960" w:type="dxa"/>
            <w:shd w:val="clear" w:color="auto" w:fill="D9D9D9" w:themeFill="background1" w:themeFillShade="D9"/>
            <w:textDirection w:val="btLr"/>
            <w:vAlign w:val="center"/>
          </w:tcPr>
          <w:p w:rsidR="00E32574" w:rsidRPr="00BA7595" w:rsidRDefault="00E32574" w:rsidP="00BA7595">
            <w:pPr>
              <w:spacing w:before="120" w:after="120" w:line="240" w:lineRule="auto"/>
              <w:ind w:left="113" w:right="113"/>
              <w:jc w:val="center"/>
              <w:rPr>
                <w:b/>
              </w:rPr>
            </w:pPr>
            <w:r w:rsidRPr="00BA7595">
              <w:rPr>
                <w:b/>
              </w:rPr>
              <w:t>Caçamba</w:t>
            </w:r>
          </w:p>
          <w:p w:rsidR="00E32574" w:rsidRPr="00BA7595" w:rsidRDefault="00E32574" w:rsidP="00BA7595">
            <w:pPr>
              <w:spacing w:before="120" w:after="120" w:line="240" w:lineRule="auto"/>
              <w:ind w:left="113" w:right="113"/>
              <w:jc w:val="center"/>
              <w:rPr>
                <w:b/>
              </w:rPr>
            </w:pPr>
            <w:r w:rsidRPr="00BA7595">
              <w:rPr>
                <w:b/>
              </w:rPr>
              <w:t>de serviço</w:t>
            </w:r>
          </w:p>
          <w:p w:rsidR="00E32574" w:rsidRPr="00BA7595" w:rsidRDefault="00E32574" w:rsidP="00BA7595">
            <w:pPr>
              <w:spacing w:before="120" w:after="120" w:line="240" w:lineRule="auto"/>
              <w:ind w:left="113" w:right="113"/>
              <w:jc w:val="center"/>
              <w:rPr>
                <w:b/>
              </w:rPr>
            </w:pPr>
            <w:r w:rsidRPr="00BA7595">
              <w:rPr>
                <w:b/>
              </w:rPr>
              <w:t>de limpeza</w:t>
            </w:r>
          </w:p>
        </w:tc>
        <w:tc>
          <w:tcPr>
            <w:tcW w:w="784" w:type="dxa"/>
            <w:vMerge/>
            <w:shd w:val="clear" w:color="auto" w:fill="D9D9D9" w:themeFill="background1" w:themeFillShade="D9"/>
            <w:vAlign w:val="center"/>
          </w:tcPr>
          <w:p w:rsidR="00E32574" w:rsidRPr="00BA7595" w:rsidRDefault="00E32574" w:rsidP="00BA7595">
            <w:pPr>
              <w:spacing w:before="120" w:after="120" w:line="240" w:lineRule="auto"/>
              <w:rPr>
                <w:b/>
              </w:rPr>
            </w:pPr>
          </w:p>
        </w:tc>
        <w:tc>
          <w:tcPr>
            <w:tcW w:w="784" w:type="dxa"/>
            <w:vMerge/>
            <w:shd w:val="clear" w:color="auto" w:fill="D9D9D9" w:themeFill="background1" w:themeFillShade="D9"/>
            <w:vAlign w:val="center"/>
          </w:tcPr>
          <w:p w:rsidR="00E32574" w:rsidRPr="00BA7595" w:rsidRDefault="00E32574" w:rsidP="00BA7595">
            <w:pPr>
              <w:spacing w:before="120" w:after="120" w:line="240" w:lineRule="auto"/>
              <w:rPr>
                <w:b/>
              </w:rPr>
            </w:pPr>
          </w:p>
        </w:tc>
        <w:tc>
          <w:tcPr>
            <w:tcW w:w="785" w:type="dxa"/>
            <w:vMerge/>
            <w:shd w:val="clear" w:color="auto" w:fill="D9D9D9" w:themeFill="background1" w:themeFillShade="D9"/>
            <w:vAlign w:val="center"/>
          </w:tcPr>
          <w:p w:rsidR="00E32574" w:rsidRPr="00BA7595" w:rsidRDefault="00E32574" w:rsidP="00BA7595">
            <w:pPr>
              <w:spacing w:before="120" w:after="120" w:line="240" w:lineRule="auto"/>
              <w:rPr>
                <w:b/>
              </w:rPr>
            </w:pPr>
          </w:p>
        </w:tc>
        <w:tc>
          <w:tcPr>
            <w:tcW w:w="784" w:type="dxa"/>
            <w:vMerge/>
            <w:shd w:val="clear" w:color="auto" w:fill="D9D9D9" w:themeFill="background1" w:themeFillShade="D9"/>
            <w:vAlign w:val="center"/>
          </w:tcPr>
          <w:p w:rsidR="00E32574" w:rsidRPr="00BA7595" w:rsidRDefault="00E32574" w:rsidP="00BA7595">
            <w:pPr>
              <w:spacing w:before="120" w:after="120" w:line="240" w:lineRule="auto"/>
              <w:rPr>
                <w:b/>
              </w:rPr>
            </w:pPr>
          </w:p>
        </w:tc>
        <w:tc>
          <w:tcPr>
            <w:tcW w:w="785" w:type="dxa"/>
            <w:vMerge/>
            <w:shd w:val="clear" w:color="auto" w:fill="D9D9D9" w:themeFill="background1" w:themeFillShade="D9"/>
            <w:vAlign w:val="center"/>
          </w:tcPr>
          <w:p w:rsidR="00E32574" w:rsidRPr="00BA7595" w:rsidRDefault="00E32574" w:rsidP="00BA7595">
            <w:pPr>
              <w:spacing w:before="120" w:after="120" w:line="240" w:lineRule="auto"/>
              <w:rPr>
                <w:b/>
              </w:rPr>
            </w:pPr>
          </w:p>
        </w:tc>
      </w:tr>
      <w:tr w:rsidR="00E32574" w:rsidRPr="0090022C" w:rsidTr="00E32574">
        <w:trPr>
          <w:trHeight w:val="284"/>
        </w:trPr>
        <w:tc>
          <w:tcPr>
            <w:tcW w:w="1510" w:type="dxa"/>
            <w:vAlign w:val="center"/>
          </w:tcPr>
          <w:p w:rsidR="00E32574" w:rsidRPr="0090022C" w:rsidRDefault="00E32574" w:rsidP="00BA7595">
            <w:pPr>
              <w:spacing w:before="120" w:after="120" w:line="240" w:lineRule="auto"/>
            </w:pPr>
            <w:r w:rsidRPr="0090022C">
              <w:t>Sede</w:t>
            </w:r>
          </w:p>
        </w:tc>
        <w:tc>
          <w:tcPr>
            <w:tcW w:w="900" w:type="dxa"/>
            <w:vAlign w:val="center"/>
          </w:tcPr>
          <w:p w:rsidR="00E32574" w:rsidRPr="0090022C" w:rsidRDefault="00E32574" w:rsidP="00BA7595">
            <w:pPr>
              <w:spacing w:before="120" w:after="120" w:line="240" w:lineRule="auto"/>
              <w:jc w:val="center"/>
            </w:pPr>
            <w:r w:rsidRPr="0090022C">
              <w:t>4024</w:t>
            </w:r>
          </w:p>
        </w:tc>
        <w:tc>
          <w:tcPr>
            <w:tcW w:w="960" w:type="dxa"/>
            <w:vAlign w:val="center"/>
          </w:tcPr>
          <w:p w:rsidR="00E32574" w:rsidRPr="0090022C" w:rsidRDefault="00E32574" w:rsidP="00BA7595">
            <w:pPr>
              <w:spacing w:before="120" w:after="120" w:line="240" w:lineRule="auto"/>
              <w:jc w:val="center"/>
            </w:pPr>
            <w:r w:rsidRPr="0090022C">
              <w:t>3394</w:t>
            </w:r>
          </w:p>
        </w:tc>
        <w:tc>
          <w:tcPr>
            <w:tcW w:w="960" w:type="dxa"/>
            <w:vAlign w:val="center"/>
          </w:tcPr>
          <w:p w:rsidR="00E32574" w:rsidRPr="0090022C" w:rsidRDefault="00E32574" w:rsidP="00BA7595">
            <w:pPr>
              <w:spacing w:before="120" w:after="120" w:line="240" w:lineRule="auto"/>
              <w:jc w:val="center"/>
            </w:pPr>
            <w:r w:rsidRPr="0090022C">
              <w:t>3292</w:t>
            </w:r>
          </w:p>
        </w:tc>
        <w:tc>
          <w:tcPr>
            <w:tcW w:w="960" w:type="dxa"/>
            <w:vAlign w:val="center"/>
          </w:tcPr>
          <w:p w:rsidR="00E32574" w:rsidRPr="0090022C" w:rsidRDefault="00E32574" w:rsidP="00BA7595">
            <w:pPr>
              <w:spacing w:before="120" w:after="120" w:line="240" w:lineRule="auto"/>
              <w:jc w:val="center"/>
            </w:pPr>
            <w:r w:rsidRPr="0090022C">
              <w:t>102</w:t>
            </w:r>
          </w:p>
        </w:tc>
        <w:tc>
          <w:tcPr>
            <w:tcW w:w="784" w:type="dxa"/>
            <w:vAlign w:val="center"/>
          </w:tcPr>
          <w:p w:rsidR="00E32574" w:rsidRPr="0090022C" w:rsidRDefault="00E32574" w:rsidP="00BA7595">
            <w:pPr>
              <w:spacing w:before="120" w:after="120" w:line="240" w:lineRule="auto"/>
              <w:jc w:val="center"/>
            </w:pPr>
            <w:r w:rsidRPr="0090022C">
              <w:t>423</w:t>
            </w:r>
          </w:p>
        </w:tc>
        <w:tc>
          <w:tcPr>
            <w:tcW w:w="784" w:type="dxa"/>
            <w:vAlign w:val="center"/>
          </w:tcPr>
          <w:p w:rsidR="00E32574" w:rsidRPr="0090022C" w:rsidRDefault="00E32574" w:rsidP="00BA7595">
            <w:pPr>
              <w:spacing w:before="120" w:after="120" w:line="240" w:lineRule="auto"/>
              <w:jc w:val="center"/>
            </w:pPr>
            <w:r w:rsidRPr="0090022C">
              <w:t>11</w:t>
            </w:r>
          </w:p>
        </w:tc>
        <w:tc>
          <w:tcPr>
            <w:tcW w:w="785" w:type="dxa"/>
            <w:vAlign w:val="center"/>
          </w:tcPr>
          <w:p w:rsidR="00E32574" w:rsidRPr="0090022C" w:rsidRDefault="00E32574" w:rsidP="00BA7595">
            <w:pPr>
              <w:spacing w:before="120" w:after="120" w:line="240" w:lineRule="auto"/>
              <w:jc w:val="center"/>
            </w:pPr>
            <w:r w:rsidRPr="0090022C">
              <w:t>131</w:t>
            </w:r>
          </w:p>
        </w:tc>
        <w:tc>
          <w:tcPr>
            <w:tcW w:w="784" w:type="dxa"/>
            <w:vAlign w:val="center"/>
          </w:tcPr>
          <w:p w:rsidR="00E32574" w:rsidRPr="0090022C" w:rsidRDefault="00E32574" w:rsidP="00BA7595">
            <w:pPr>
              <w:spacing w:before="120" w:after="120" w:line="240" w:lineRule="auto"/>
              <w:jc w:val="center"/>
            </w:pPr>
            <w:r w:rsidRPr="0090022C">
              <w:t>26</w:t>
            </w:r>
          </w:p>
        </w:tc>
        <w:tc>
          <w:tcPr>
            <w:tcW w:w="785" w:type="dxa"/>
            <w:vAlign w:val="center"/>
          </w:tcPr>
          <w:p w:rsidR="00E32574" w:rsidRPr="0090022C" w:rsidRDefault="00E32574" w:rsidP="00BA7595">
            <w:pPr>
              <w:spacing w:before="120" w:after="120" w:line="240" w:lineRule="auto"/>
              <w:jc w:val="center"/>
            </w:pPr>
            <w:r w:rsidRPr="0090022C">
              <w:t>39</w:t>
            </w:r>
          </w:p>
        </w:tc>
      </w:tr>
      <w:tr w:rsidR="00E32574" w:rsidRPr="0090022C" w:rsidTr="00E32574">
        <w:trPr>
          <w:trHeight w:val="284"/>
        </w:trPr>
        <w:tc>
          <w:tcPr>
            <w:tcW w:w="1510" w:type="dxa"/>
            <w:vAlign w:val="center"/>
          </w:tcPr>
          <w:p w:rsidR="00E32574" w:rsidRPr="0090022C" w:rsidRDefault="00E32574" w:rsidP="00BA7595">
            <w:pPr>
              <w:spacing w:before="120" w:after="120" w:line="240" w:lineRule="auto"/>
            </w:pPr>
            <w:r w:rsidRPr="0090022C">
              <w:t>Alto do Capim</w:t>
            </w:r>
          </w:p>
        </w:tc>
        <w:tc>
          <w:tcPr>
            <w:tcW w:w="900" w:type="dxa"/>
            <w:vAlign w:val="center"/>
          </w:tcPr>
          <w:p w:rsidR="00E32574" w:rsidRPr="0090022C" w:rsidRDefault="00E32574" w:rsidP="00BA7595">
            <w:pPr>
              <w:spacing w:before="120" w:after="120" w:line="240" w:lineRule="auto"/>
              <w:jc w:val="center"/>
            </w:pPr>
            <w:r w:rsidRPr="0090022C">
              <w:t>355</w:t>
            </w:r>
          </w:p>
        </w:tc>
        <w:tc>
          <w:tcPr>
            <w:tcW w:w="960" w:type="dxa"/>
            <w:vAlign w:val="center"/>
          </w:tcPr>
          <w:p w:rsidR="00E32574" w:rsidRPr="0090022C" w:rsidRDefault="00E32574" w:rsidP="00BA7595">
            <w:pPr>
              <w:spacing w:before="120" w:after="120" w:line="240" w:lineRule="auto"/>
              <w:jc w:val="center"/>
            </w:pPr>
            <w:r w:rsidRPr="0090022C">
              <w:t>18</w:t>
            </w:r>
          </w:p>
        </w:tc>
        <w:tc>
          <w:tcPr>
            <w:tcW w:w="960" w:type="dxa"/>
            <w:vAlign w:val="center"/>
          </w:tcPr>
          <w:p w:rsidR="00E32574" w:rsidRPr="0090022C" w:rsidRDefault="00E32574" w:rsidP="00BA7595">
            <w:pPr>
              <w:spacing w:before="120" w:after="120" w:line="240" w:lineRule="auto"/>
              <w:jc w:val="center"/>
            </w:pPr>
            <w:r w:rsidRPr="0090022C">
              <w:t>18</w:t>
            </w:r>
          </w:p>
        </w:tc>
        <w:tc>
          <w:tcPr>
            <w:tcW w:w="960" w:type="dxa"/>
            <w:vAlign w:val="center"/>
          </w:tcPr>
          <w:p w:rsidR="00E32574" w:rsidRPr="0090022C" w:rsidRDefault="00E32574" w:rsidP="00BA7595">
            <w:pPr>
              <w:spacing w:before="120" w:after="120" w:line="240" w:lineRule="auto"/>
              <w:jc w:val="center"/>
            </w:pPr>
            <w:r w:rsidRPr="0090022C">
              <w:t>-</w:t>
            </w:r>
          </w:p>
        </w:tc>
        <w:tc>
          <w:tcPr>
            <w:tcW w:w="784" w:type="dxa"/>
            <w:vAlign w:val="center"/>
          </w:tcPr>
          <w:p w:rsidR="00E32574" w:rsidRPr="0090022C" w:rsidRDefault="00E32574" w:rsidP="00BA7595">
            <w:pPr>
              <w:spacing w:before="120" w:after="120" w:line="240" w:lineRule="auto"/>
              <w:jc w:val="center"/>
            </w:pPr>
            <w:r w:rsidRPr="0090022C">
              <w:t>156</w:t>
            </w:r>
          </w:p>
        </w:tc>
        <w:tc>
          <w:tcPr>
            <w:tcW w:w="784" w:type="dxa"/>
            <w:vAlign w:val="center"/>
          </w:tcPr>
          <w:p w:rsidR="00E32574" w:rsidRPr="0090022C" w:rsidRDefault="00E32574" w:rsidP="00BA7595">
            <w:pPr>
              <w:spacing w:before="120" w:after="120" w:line="240" w:lineRule="auto"/>
              <w:jc w:val="center"/>
            </w:pPr>
            <w:r w:rsidRPr="0090022C">
              <w:t>2</w:t>
            </w:r>
          </w:p>
        </w:tc>
        <w:tc>
          <w:tcPr>
            <w:tcW w:w="785" w:type="dxa"/>
            <w:vAlign w:val="center"/>
          </w:tcPr>
          <w:p w:rsidR="00E32574" w:rsidRPr="0090022C" w:rsidRDefault="00E32574" w:rsidP="00BA7595">
            <w:pPr>
              <w:spacing w:before="120" w:after="120" w:line="240" w:lineRule="auto"/>
              <w:jc w:val="center"/>
            </w:pPr>
            <w:r w:rsidRPr="0090022C">
              <w:t>178</w:t>
            </w:r>
          </w:p>
        </w:tc>
        <w:tc>
          <w:tcPr>
            <w:tcW w:w="784" w:type="dxa"/>
            <w:vAlign w:val="center"/>
          </w:tcPr>
          <w:p w:rsidR="00E32574" w:rsidRPr="0090022C" w:rsidRDefault="00E32574" w:rsidP="00BA7595">
            <w:pPr>
              <w:spacing w:before="120" w:after="120" w:line="240" w:lineRule="auto"/>
              <w:jc w:val="center"/>
            </w:pPr>
            <w:r w:rsidRPr="0090022C">
              <w:t>-</w:t>
            </w:r>
          </w:p>
        </w:tc>
        <w:tc>
          <w:tcPr>
            <w:tcW w:w="785" w:type="dxa"/>
            <w:vAlign w:val="center"/>
          </w:tcPr>
          <w:p w:rsidR="00E32574" w:rsidRPr="0090022C" w:rsidRDefault="00E32574" w:rsidP="00BA7595">
            <w:pPr>
              <w:spacing w:before="120" w:after="120" w:line="240" w:lineRule="auto"/>
              <w:jc w:val="center"/>
            </w:pPr>
            <w:r w:rsidRPr="0090022C">
              <w:t>1</w:t>
            </w:r>
          </w:p>
        </w:tc>
      </w:tr>
      <w:tr w:rsidR="00E32574" w:rsidRPr="0090022C" w:rsidTr="00E32574">
        <w:trPr>
          <w:trHeight w:val="284"/>
        </w:trPr>
        <w:tc>
          <w:tcPr>
            <w:tcW w:w="1510" w:type="dxa"/>
            <w:vAlign w:val="center"/>
          </w:tcPr>
          <w:p w:rsidR="00E32574" w:rsidRPr="0090022C" w:rsidRDefault="00E32574" w:rsidP="00BA7595">
            <w:pPr>
              <w:spacing w:before="120" w:after="120" w:line="240" w:lineRule="auto"/>
            </w:pPr>
            <w:r w:rsidRPr="0090022C">
              <w:t>Conceição do Capim</w:t>
            </w:r>
          </w:p>
        </w:tc>
        <w:tc>
          <w:tcPr>
            <w:tcW w:w="900" w:type="dxa"/>
            <w:vAlign w:val="center"/>
          </w:tcPr>
          <w:p w:rsidR="00E32574" w:rsidRPr="0090022C" w:rsidRDefault="00E32574" w:rsidP="00BA7595">
            <w:pPr>
              <w:spacing w:before="120" w:after="120" w:line="240" w:lineRule="auto"/>
              <w:jc w:val="center"/>
            </w:pPr>
            <w:r w:rsidRPr="0090022C">
              <w:t>415</w:t>
            </w:r>
          </w:p>
        </w:tc>
        <w:tc>
          <w:tcPr>
            <w:tcW w:w="960" w:type="dxa"/>
            <w:vAlign w:val="center"/>
          </w:tcPr>
          <w:p w:rsidR="00E32574" w:rsidRPr="0090022C" w:rsidRDefault="00E32574" w:rsidP="00BA7595">
            <w:pPr>
              <w:spacing w:before="120" w:after="120" w:line="240" w:lineRule="auto"/>
              <w:jc w:val="center"/>
            </w:pPr>
            <w:r w:rsidRPr="0090022C">
              <w:t>195</w:t>
            </w:r>
          </w:p>
        </w:tc>
        <w:tc>
          <w:tcPr>
            <w:tcW w:w="960" w:type="dxa"/>
            <w:vAlign w:val="center"/>
          </w:tcPr>
          <w:p w:rsidR="00E32574" w:rsidRPr="0090022C" w:rsidRDefault="00E32574" w:rsidP="00BA7595">
            <w:pPr>
              <w:spacing w:before="120" w:after="120" w:line="240" w:lineRule="auto"/>
              <w:jc w:val="center"/>
            </w:pPr>
            <w:r w:rsidRPr="0090022C">
              <w:t>195</w:t>
            </w:r>
          </w:p>
        </w:tc>
        <w:tc>
          <w:tcPr>
            <w:tcW w:w="960" w:type="dxa"/>
            <w:vAlign w:val="center"/>
          </w:tcPr>
          <w:p w:rsidR="00E32574" w:rsidRPr="0090022C" w:rsidRDefault="00E32574" w:rsidP="00BA7595">
            <w:pPr>
              <w:spacing w:before="120" w:after="120" w:line="240" w:lineRule="auto"/>
              <w:jc w:val="center"/>
            </w:pPr>
            <w:r w:rsidRPr="0090022C">
              <w:t>-</w:t>
            </w:r>
          </w:p>
        </w:tc>
        <w:tc>
          <w:tcPr>
            <w:tcW w:w="784" w:type="dxa"/>
            <w:vAlign w:val="center"/>
          </w:tcPr>
          <w:p w:rsidR="00E32574" w:rsidRPr="0090022C" w:rsidRDefault="00E32574" w:rsidP="00BA7595">
            <w:pPr>
              <w:spacing w:before="120" w:after="120" w:line="240" w:lineRule="auto"/>
              <w:jc w:val="center"/>
            </w:pPr>
            <w:r w:rsidRPr="0090022C">
              <w:t>193</w:t>
            </w:r>
          </w:p>
        </w:tc>
        <w:tc>
          <w:tcPr>
            <w:tcW w:w="784" w:type="dxa"/>
            <w:vAlign w:val="center"/>
          </w:tcPr>
          <w:p w:rsidR="00E32574" w:rsidRPr="0090022C" w:rsidRDefault="00E32574" w:rsidP="00BA7595">
            <w:pPr>
              <w:spacing w:before="120" w:after="120" w:line="240" w:lineRule="auto"/>
              <w:jc w:val="center"/>
            </w:pPr>
            <w:r w:rsidRPr="0090022C">
              <w:t>-</w:t>
            </w:r>
          </w:p>
        </w:tc>
        <w:tc>
          <w:tcPr>
            <w:tcW w:w="785" w:type="dxa"/>
            <w:vAlign w:val="center"/>
          </w:tcPr>
          <w:p w:rsidR="00E32574" w:rsidRPr="0090022C" w:rsidRDefault="00E32574" w:rsidP="00BA7595">
            <w:pPr>
              <w:spacing w:before="120" w:after="120" w:line="240" w:lineRule="auto"/>
              <w:jc w:val="center"/>
            </w:pPr>
            <w:r w:rsidRPr="0090022C">
              <w:t>19</w:t>
            </w:r>
          </w:p>
        </w:tc>
        <w:tc>
          <w:tcPr>
            <w:tcW w:w="784" w:type="dxa"/>
            <w:vAlign w:val="center"/>
          </w:tcPr>
          <w:p w:rsidR="00E32574" w:rsidRPr="0090022C" w:rsidRDefault="00E32574" w:rsidP="00BA7595">
            <w:pPr>
              <w:spacing w:before="120" w:after="120" w:line="240" w:lineRule="auto"/>
              <w:jc w:val="center"/>
            </w:pPr>
            <w:r w:rsidRPr="0090022C">
              <w:t>4</w:t>
            </w:r>
          </w:p>
        </w:tc>
        <w:tc>
          <w:tcPr>
            <w:tcW w:w="785" w:type="dxa"/>
            <w:vAlign w:val="center"/>
          </w:tcPr>
          <w:p w:rsidR="00E32574" w:rsidRPr="0090022C" w:rsidRDefault="00E32574" w:rsidP="00BA7595">
            <w:pPr>
              <w:spacing w:before="120" w:after="120" w:line="240" w:lineRule="auto"/>
              <w:jc w:val="center"/>
            </w:pPr>
            <w:r w:rsidRPr="0090022C">
              <w:t>4</w:t>
            </w:r>
          </w:p>
        </w:tc>
      </w:tr>
      <w:tr w:rsidR="00E32574" w:rsidRPr="0090022C" w:rsidTr="00E32574">
        <w:trPr>
          <w:trHeight w:val="284"/>
        </w:trPr>
        <w:tc>
          <w:tcPr>
            <w:tcW w:w="1510" w:type="dxa"/>
            <w:vAlign w:val="center"/>
          </w:tcPr>
          <w:p w:rsidR="00E32574" w:rsidRPr="0090022C" w:rsidRDefault="00E32574" w:rsidP="00BA7595">
            <w:pPr>
              <w:spacing w:before="120" w:after="120" w:line="240" w:lineRule="auto"/>
            </w:pPr>
            <w:r w:rsidRPr="0090022C">
              <w:t>Expedicionário Alicio</w:t>
            </w:r>
          </w:p>
        </w:tc>
        <w:tc>
          <w:tcPr>
            <w:tcW w:w="900" w:type="dxa"/>
            <w:vAlign w:val="center"/>
          </w:tcPr>
          <w:p w:rsidR="00E32574" w:rsidRPr="0090022C" w:rsidRDefault="00E32574" w:rsidP="00BA7595">
            <w:pPr>
              <w:spacing w:before="120" w:after="120" w:line="240" w:lineRule="auto"/>
              <w:jc w:val="center"/>
            </w:pPr>
            <w:r w:rsidRPr="0090022C">
              <w:t>261</w:t>
            </w:r>
          </w:p>
        </w:tc>
        <w:tc>
          <w:tcPr>
            <w:tcW w:w="960" w:type="dxa"/>
            <w:vAlign w:val="center"/>
          </w:tcPr>
          <w:p w:rsidR="00E32574" w:rsidRPr="0090022C" w:rsidRDefault="00E32574" w:rsidP="00BA7595">
            <w:pPr>
              <w:spacing w:before="120" w:after="120" w:line="240" w:lineRule="auto"/>
              <w:jc w:val="center"/>
            </w:pPr>
            <w:r w:rsidRPr="0090022C">
              <w:t>25</w:t>
            </w:r>
          </w:p>
        </w:tc>
        <w:tc>
          <w:tcPr>
            <w:tcW w:w="960" w:type="dxa"/>
            <w:vAlign w:val="center"/>
          </w:tcPr>
          <w:p w:rsidR="00E32574" w:rsidRPr="0090022C" w:rsidRDefault="00E32574" w:rsidP="00BA7595">
            <w:pPr>
              <w:spacing w:before="120" w:after="120" w:line="240" w:lineRule="auto"/>
              <w:jc w:val="center"/>
            </w:pPr>
            <w:r w:rsidRPr="0090022C">
              <w:t>25</w:t>
            </w:r>
          </w:p>
        </w:tc>
        <w:tc>
          <w:tcPr>
            <w:tcW w:w="960" w:type="dxa"/>
            <w:vAlign w:val="center"/>
          </w:tcPr>
          <w:p w:rsidR="00E32574" w:rsidRPr="0090022C" w:rsidRDefault="00E32574" w:rsidP="00BA7595">
            <w:pPr>
              <w:spacing w:before="120" w:after="120" w:line="240" w:lineRule="auto"/>
              <w:jc w:val="center"/>
            </w:pPr>
            <w:r w:rsidRPr="0090022C">
              <w:t>-</w:t>
            </w:r>
          </w:p>
        </w:tc>
        <w:tc>
          <w:tcPr>
            <w:tcW w:w="784" w:type="dxa"/>
            <w:vAlign w:val="center"/>
          </w:tcPr>
          <w:p w:rsidR="00E32574" w:rsidRPr="0090022C" w:rsidRDefault="00E32574" w:rsidP="00BA7595">
            <w:pPr>
              <w:spacing w:before="120" w:after="120" w:line="240" w:lineRule="auto"/>
              <w:jc w:val="center"/>
            </w:pPr>
            <w:r w:rsidRPr="0090022C">
              <w:t>200</w:t>
            </w:r>
          </w:p>
        </w:tc>
        <w:tc>
          <w:tcPr>
            <w:tcW w:w="784" w:type="dxa"/>
            <w:vAlign w:val="center"/>
          </w:tcPr>
          <w:p w:rsidR="00E32574" w:rsidRPr="0090022C" w:rsidRDefault="00E32574" w:rsidP="00BA7595">
            <w:pPr>
              <w:spacing w:before="120" w:after="120" w:line="240" w:lineRule="auto"/>
              <w:jc w:val="center"/>
            </w:pPr>
            <w:r w:rsidRPr="0090022C">
              <w:t>2</w:t>
            </w:r>
          </w:p>
        </w:tc>
        <w:tc>
          <w:tcPr>
            <w:tcW w:w="785" w:type="dxa"/>
            <w:vAlign w:val="center"/>
          </w:tcPr>
          <w:p w:rsidR="00E32574" w:rsidRPr="0090022C" w:rsidRDefault="00E32574" w:rsidP="00BA7595">
            <w:pPr>
              <w:spacing w:before="120" w:after="120" w:line="240" w:lineRule="auto"/>
              <w:jc w:val="center"/>
            </w:pPr>
            <w:r w:rsidRPr="0090022C">
              <w:t>31</w:t>
            </w:r>
          </w:p>
        </w:tc>
        <w:tc>
          <w:tcPr>
            <w:tcW w:w="784" w:type="dxa"/>
            <w:vAlign w:val="center"/>
          </w:tcPr>
          <w:p w:rsidR="00E32574" w:rsidRPr="0090022C" w:rsidRDefault="00E32574" w:rsidP="00BA7595">
            <w:pPr>
              <w:spacing w:before="120" w:after="120" w:line="240" w:lineRule="auto"/>
              <w:jc w:val="center"/>
            </w:pPr>
            <w:r w:rsidRPr="0090022C">
              <w:t>3</w:t>
            </w:r>
          </w:p>
        </w:tc>
        <w:tc>
          <w:tcPr>
            <w:tcW w:w="785" w:type="dxa"/>
            <w:vAlign w:val="center"/>
          </w:tcPr>
          <w:p w:rsidR="00E32574" w:rsidRPr="0090022C" w:rsidRDefault="00E32574" w:rsidP="00BA7595">
            <w:pPr>
              <w:spacing w:before="120" w:after="120" w:line="240" w:lineRule="auto"/>
              <w:jc w:val="center"/>
            </w:pPr>
            <w:r w:rsidRPr="0090022C">
              <w:t>-</w:t>
            </w:r>
          </w:p>
        </w:tc>
      </w:tr>
      <w:tr w:rsidR="00E32574" w:rsidRPr="0090022C" w:rsidTr="00E32574">
        <w:trPr>
          <w:trHeight w:val="284"/>
        </w:trPr>
        <w:tc>
          <w:tcPr>
            <w:tcW w:w="1510" w:type="dxa"/>
            <w:vAlign w:val="center"/>
          </w:tcPr>
          <w:p w:rsidR="00E32574" w:rsidRPr="0090022C" w:rsidRDefault="00E32574" w:rsidP="00BA7595">
            <w:pPr>
              <w:spacing w:before="120" w:after="120" w:line="240" w:lineRule="auto"/>
            </w:pPr>
            <w:r w:rsidRPr="0090022C">
              <w:t>Mundo Novo</w:t>
            </w:r>
          </w:p>
        </w:tc>
        <w:tc>
          <w:tcPr>
            <w:tcW w:w="900" w:type="dxa"/>
            <w:vAlign w:val="center"/>
          </w:tcPr>
          <w:p w:rsidR="00E32574" w:rsidRPr="0090022C" w:rsidRDefault="00E32574" w:rsidP="00BA7595">
            <w:pPr>
              <w:spacing w:before="120" w:after="120" w:line="240" w:lineRule="auto"/>
              <w:jc w:val="center"/>
            </w:pPr>
            <w:r w:rsidRPr="0090022C">
              <w:t>279</w:t>
            </w:r>
          </w:p>
        </w:tc>
        <w:tc>
          <w:tcPr>
            <w:tcW w:w="960" w:type="dxa"/>
            <w:vAlign w:val="center"/>
          </w:tcPr>
          <w:p w:rsidR="00E32574" w:rsidRPr="0090022C" w:rsidRDefault="00E32574" w:rsidP="00BA7595">
            <w:pPr>
              <w:spacing w:before="120" w:after="120" w:line="240" w:lineRule="auto"/>
              <w:jc w:val="center"/>
            </w:pPr>
            <w:r w:rsidRPr="0090022C">
              <w:t>43</w:t>
            </w:r>
          </w:p>
        </w:tc>
        <w:tc>
          <w:tcPr>
            <w:tcW w:w="960" w:type="dxa"/>
            <w:vAlign w:val="center"/>
          </w:tcPr>
          <w:p w:rsidR="00E32574" w:rsidRPr="0090022C" w:rsidRDefault="00E32574" w:rsidP="00BA7595">
            <w:pPr>
              <w:spacing w:before="120" w:after="120" w:line="240" w:lineRule="auto"/>
              <w:jc w:val="center"/>
            </w:pPr>
            <w:r w:rsidRPr="0090022C">
              <w:t>43</w:t>
            </w:r>
          </w:p>
        </w:tc>
        <w:tc>
          <w:tcPr>
            <w:tcW w:w="960" w:type="dxa"/>
            <w:vAlign w:val="center"/>
          </w:tcPr>
          <w:p w:rsidR="00E32574" w:rsidRPr="0090022C" w:rsidRDefault="00E32574" w:rsidP="00BA7595">
            <w:pPr>
              <w:spacing w:before="120" w:after="120" w:line="240" w:lineRule="auto"/>
              <w:jc w:val="center"/>
            </w:pPr>
            <w:r w:rsidRPr="0090022C">
              <w:t>-</w:t>
            </w:r>
          </w:p>
        </w:tc>
        <w:tc>
          <w:tcPr>
            <w:tcW w:w="784" w:type="dxa"/>
            <w:vAlign w:val="center"/>
          </w:tcPr>
          <w:p w:rsidR="00E32574" w:rsidRPr="0090022C" w:rsidRDefault="00E32574" w:rsidP="00BA7595">
            <w:pPr>
              <w:spacing w:before="120" w:after="120" w:line="240" w:lineRule="auto"/>
              <w:jc w:val="center"/>
            </w:pPr>
            <w:r w:rsidRPr="0090022C">
              <w:t>197</w:t>
            </w:r>
          </w:p>
        </w:tc>
        <w:tc>
          <w:tcPr>
            <w:tcW w:w="784" w:type="dxa"/>
            <w:vAlign w:val="center"/>
          </w:tcPr>
          <w:p w:rsidR="00E32574" w:rsidRPr="0090022C" w:rsidRDefault="00E32574" w:rsidP="00BA7595">
            <w:pPr>
              <w:spacing w:before="120" w:after="120" w:line="240" w:lineRule="auto"/>
              <w:jc w:val="center"/>
            </w:pPr>
            <w:r w:rsidRPr="0090022C">
              <w:t>2</w:t>
            </w:r>
          </w:p>
        </w:tc>
        <w:tc>
          <w:tcPr>
            <w:tcW w:w="785" w:type="dxa"/>
            <w:vAlign w:val="center"/>
          </w:tcPr>
          <w:p w:rsidR="00E32574" w:rsidRPr="0090022C" w:rsidRDefault="00E32574" w:rsidP="00BA7595">
            <w:pPr>
              <w:spacing w:before="120" w:after="120" w:line="240" w:lineRule="auto"/>
              <w:jc w:val="center"/>
            </w:pPr>
            <w:r w:rsidRPr="0090022C">
              <w:t>36</w:t>
            </w:r>
          </w:p>
        </w:tc>
        <w:tc>
          <w:tcPr>
            <w:tcW w:w="784" w:type="dxa"/>
            <w:vAlign w:val="center"/>
          </w:tcPr>
          <w:p w:rsidR="00E32574" w:rsidRPr="0090022C" w:rsidRDefault="00E32574" w:rsidP="00BA7595">
            <w:pPr>
              <w:spacing w:before="120" w:after="120" w:line="240" w:lineRule="auto"/>
              <w:jc w:val="center"/>
            </w:pPr>
            <w:r w:rsidRPr="0090022C">
              <w:t>-</w:t>
            </w:r>
          </w:p>
        </w:tc>
        <w:tc>
          <w:tcPr>
            <w:tcW w:w="785" w:type="dxa"/>
            <w:vAlign w:val="center"/>
          </w:tcPr>
          <w:p w:rsidR="00E32574" w:rsidRPr="0090022C" w:rsidRDefault="00E32574" w:rsidP="00BA7595">
            <w:pPr>
              <w:spacing w:before="120" w:after="120" w:line="240" w:lineRule="auto"/>
              <w:jc w:val="center"/>
            </w:pPr>
            <w:r w:rsidRPr="0090022C">
              <w:t>1</w:t>
            </w:r>
          </w:p>
        </w:tc>
      </w:tr>
      <w:tr w:rsidR="00E32574" w:rsidRPr="0090022C" w:rsidTr="00E32574">
        <w:trPr>
          <w:trHeight w:val="284"/>
        </w:trPr>
        <w:tc>
          <w:tcPr>
            <w:tcW w:w="1510" w:type="dxa"/>
            <w:vAlign w:val="center"/>
          </w:tcPr>
          <w:p w:rsidR="00E32574" w:rsidRPr="0090022C" w:rsidRDefault="00E32574" w:rsidP="00BA7595">
            <w:pPr>
              <w:spacing w:before="120" w:after="120" w:line="240" w:lineRule="auto"/>
            </w:pPr>
            <w:r w:rsidRPr="0090022C">
              <w:t>Penha do Capim</w:t>
            </w:r>
          </w:p>
        </w:tc>
        <w:tc>
          <w:tcPr>
            <w:tcW w:w="900" w:type="dxa"/>
            <w:vAlign w:val="center"/>
          </w:tcPr>
          <w:p w:rsidR="00E32574" w:rsidRPr="0090022C" w:rsidRDefault="00E32574" w:rsidP="00BA7595">
            <w:pPr>
              <w:spacing w:before="120" w:after="120" w:line="240" w:lineRule="auto"/>
              <w:jc w:val="center"/>
            </w:pPr>
            <w:r w:rsidRPr="0090022C">
              <w:t>417</w:t>
            </w:r>
          </w:p>
        </w:tc>
        <w:tc>
          <w:tcPr>
            <w:tcW w:w="960" w:type="dxa"/>
            <w:vAlign w:val="center"/>
          </w:tcPr>
          <w:p w:rsidR="00E32574" w:rsidRPr="0090022C" w:rsidRDefault="00E32574" w:rsidP="00BA7595">
            <w:pPr>
              <w:spacing w:before="120" w:after="120" w:line="240" w:lineRule="auto"/>
              <w:jc w:val="center"/>
            </w:pPr>
            <w:r w:rsidRPr="0090022C">
              <w:t>157</w:t>
            </w:r>
          </w:p>
        </w:tc>
        <w:tc>
          <w:tcPr>
            <w:tcW w:w="960" w:type="dxa"/>
            <w:vAlign w:val="center"/>
          </w:tcPr>
          <w:p w:rsidR="00E32574" w:rsidRPr="0090022C" w:rsidRDefault="00E32574" w:rsidP="00BA7595">
            <w:pPr>
              <w:spacing w:before="120" w:after="120" w:line="240" w:lineRule="auto"/>
              <w:jc w:val="center"/>
            </w:pPr>
            <w:r w:rsidRPr="0090022C">
              <w:t>157</w:t>
            </w:r>
          </w:p>
        </w:tc>
        <w:tc>
          <w:tcPr>
            <w:tcW w:w="960" w:type="dxa"/>
            <w:vAlign w:val="center"/>
          </w:tcPr>
          <w:p w:rsidR="00E32574" w:rsidRPr="0090022C" w:rsidRDefault="00E32574" w:rsidP="00BA7595">
            <w:pPr>
              <w:spacing w:before="120" w:after="120" w:line="240" w:lineRule="auto"/>
              <w:jc w:val="center"/>
            </w:pPr>
            <w:r w:rsidRPr="0090022C">
              <w:t>-</w:t>
            </w:r>
          </w:p>
        </w:tc>
        <w:tc>
          <w:tcPr>
            <w:tcW w:w="784" w:type="dxa"/>
            <w:vAlign w:val="center"/>
          </w:tcPr>
          <w:p w:rsidR="00E32574" w:rsidRPr="0090022C" w:rsidRDefault="00E32574" w:rsidP="00BA7595">
            <w:pPr>
              <w:spacing w:before="120" w:after="120" w:line="240" w:lineRule="auto"/>
              <w:jc w:val="center"/>
            </w:pPr>
            <w:r w:rsidRPr="0090022C">
              <w:t>90</w:t>
            </w:r>
          </w:p>
        </w:tc>
        <w:tc>
          <w:tcPr>
            <w:tcW w:w="784" w:type="dxa"/>
            <w:vAlign w:val="center"/>
          </w:tcPr>
          <w:p w:rsidR="00E32574" w:rsidRPr="0090022C" w:rsidRDefault="00E32574" w:rsidP="00BA7595">
            <w:pPr>
              <w:spacing w:before="120" w:after="120" w:line="240" w:lineRule="auto"/>
              <w:jc w:val="center"/>
            </w:pPr>
            <w:r w:rsidRPr="0090022C">
              <w:t>7</w:t>
            </w:r>
          </w:p>
        </w:tc>
        <w:tc>
          <w:tcPr>
            <w:tcW w:w="785" w:type="dxa"/>
            <w:vAlign w:val="center"/>
          </w:tcPr>
          <w:p w:rsidR="00E32574" w:rsidRPr="0090022C" w:rsidRDefault="00E32574" w:rsidP="00BA7595">
            <w:pPr>
              <w:spacing w:before="120" w:after="120" w:line="240" w:lineRule="auto"/>
              <w:jc w:val="center"/>
            </w:pPr>
            <w:r w:rsidRPr="0090022C">
              <w:t>7</w:t>
            </w:r>
          </w:p>
        </w:tc>
        <w:tc>
          <w:tcPr>
            <w:tcW w:w="784" w:type="dxa"/>
            <w:vAlign w:val="center"/>
          </w:tcPr>
          <w:p w:rsidR="00E32574" w:rsidRPr="0090022C" w:rsidRDefault="00E32574" w:rsidP="00BA7595">
            <w:pPr>
              <w:spacing w:before="120" w:after="120" w:line="240" w:lineRule="auto"/>
              <w:jc w:val="center"/>
            </w:pPr>
            <w:r w:rsidRPr="0090022C">
              <w:t>13</w:t>
            </w:r>
          </w:p>
        </w:tc>
        <w:tc>
          <w:tcPr>
            <w:tcW w:w="785" w:type="dxa"/>
            <w:vAlign w:val="center"/>
          </w:tcPr>
          <w:p w:rsidR="00E32574" w:rsidRPr="0090022C" w:rsidRDefault="00E32574" w:rsidP="00BA7595">
            <w:pPr>
              <w:spacing w:before="120" w:after="120" w:line="240" w:lineRule="auto"/>
              <w:jc w:val="center"/>
            </w:pPr>
            <w:r w:rsidRPr="0090022C">
              <w:t>143</w:t>
            </w:r>
          </w:p>
        </w:tc>
      </w:tr>
      <w:tr w:rsidR="00E32574" w:rsidRPr="0090022C" w:rsidTr="00E32574">
        <w:trPr>
          <w:trHeight w:val="284"/>
        </w:trPr>
        <w:tc>
          <w:tcPr>
            <w:tcW w:w="1510" w:type="dxa"/>
            <w:vAlign w:val="center"/>
          </w:tcPr>
          <w:p w:rsidR="00E32574" w:rsidRPr="0090022C" w:rsidRDefault="00E32574" w:rsidP="00BA7595">
            <w:pPr>
              <w:spacing w:before="120" w:after="120" w:line="240" w:lineRule="auto"/>
            </w:pPr>
            <w:r w:rsidRPr="0090022C">
              <w:t>Sto. Antônio do Rio Doce</w:t>
            </w:r>
          </w:p>
        </w:tc>
        <w:tc>
          <w:tcPr>
            <w:tcW w:w="900" w:type="dxa"/>
            <w:vAlign w:val="center"/>
          </w:tcPr>
          <w:p w:rsidR="00E32574" w:rsidRPr="0090022C" w:rsidRDefault="00E32574" w:rsidP="00BA7595">
            <w:pPr>
              <w:spacing w:before="120" w:after="120" w:line="240" w:lineRule="auto"/>
              <w:jc w:val="center"/>
            </w:pPr>
            <w:r w:rsidRPr="0090022C">
              <w:t>451</w:t>
            </w:r>
          </w:p>
        </w:tc>
        <w:tc>
          <w:tcPr>
            <w:tcW w:w="960" w:type="dxa"/>
            <w:vAlign w:val="center"/>
          </w:tcPr>
          <w:p w:rsidR="00E32574" w:rsidRPr="0090022C" w:rsidRDefault="00E32574" w:rsidP="00BA7595">
            <w:pPr>
              <w:spacing w:before="120" w:after="120" w:line="240" w:lineRule="auto"/>
              <w:jc w:val="center"/>
            </w:pPr>
            <w:r w:rsidRPr="0090022C">
              <w:t>294</w:t>
            </w:r>
          </w:p>
        </w:tc>
        <w:tc>
          <w:tcPr>
            <w:tcW w:w="960" w:type="dxa"/>
            <w:vAlign w:val="center"/>
          </w:tcPr>
          <w:p w:rsidR="00E32574" w:rsidRPr="0090022C" w:rsidRDefault="00E32574" w:rsidP="00BA7595">
            <w:pPr>
              <w:spacing w:before="120" w:after="120" w:line="240" w:lineRule="auto"/>
              <w:jc w:val="center"/>
            </w:pPr>
            <w:r w:rsidRPr="0090022C">
              <w:t>293</w:t>
            </w:r>
          </w:p>
        </w:tc>
        <w:tc>
          <w:tcPr>
            <w:tcW w:w="960" w:type="dxa"/>
            <w:vAlign w:val="center"/>
          </w:tcPr>
          <w:p w:rsidR="00E32574" w:rsidRPr="0090022C" w:rsidRDefault="00E32574" w:rsidP="00BA7595">
            <w:pPr>
              <w:spacing w:before="120" w:after="120" w:line="240" w:lineRule="auto"/>
              <w:jc w:val="center"/>
            </w:pPr>
            <w:r w:rsidRPr="0090022C">
              <w:t>1</w:t>
            </w:r>
          </w:p>
        </w:tc>
        <w:tc>
          <w:tcPr>
            <w:tcW w:w="784" w:type="dxa"/>
            <w:vAlign w:val="center"/>
          </w:tcPr>
          <w:p w:rsidR="00E32574" w:rsidRPr="0090022C" w:rsidRDefault="00E32574" w:rsidP="00BA7595">
            <w:pPr>
              <w:spacing w:before="120" w:after="120" w:line="240" w:lineRule="auto"/>
              <w:jc w:val="center"/>
            </w:pPr>
            <w:r w:rsidRPr="0090022C">
              <w:t>121</w:t>
            </w:r>
          </w:p>
        </w:tc>
        <w:tc>
          <w:tcPr>
            <w:tcW w:w="784" w:type="dxa"/>
            <w:vAlign w:val="center"/>
          </w:tcPr>
          <w:p w:rsidR="00E32574" w:rsidRPr="0090022C" w:rsidRDefault="00E32574" w:rsidP="00BA7595">
            <w:pPr>
              <w:spacing w:before="120" w:after="120" w:line="240" w:lineRule="auto"/>
              <w:jc w:val="center"/>
            </w:pPr>
            <w:r w:rsidRPr="0090022C">
              <w:t>3</w:t>
            </w:r>
          </w:p>
        </w:tc>
        <w:tc>
          <w:tcPr>
            <w:tcW w:w="785" w:type="dxa"/>
            <w:vAlign w:val="center"/>
          </w:tcPr>
          <w:p w:rsidR="00E32574" w:rsidRPr="0090022C" w:rsidRDefault="00E32574" w:rsidP="00BA7595">
            <w:pPr>
              <w:spacing w:before="120" w:after="120" w:line="240" w:lineRule="auto"/>
              <w:jc w:val="center"/>
            </w:pPr>
            <w:r w:rsidRPr="0090022C">
              <w:t>12</w:t>
            </w:r>
          </w:p>
        </w:tc>
        <w:tc>
          <w:tcPr>
            <w:tcW w:w="784" w:type="dxa"/>
            <w:vAlign w:val="center"/>
          </w:tcPr>
          <w:p w:rsidR="00E32574" w:rsidRPr="0090022C" w:rsidRDefault="00E32574" w:rsidP="00BA7595">
            <w:pPr>
              <w:spacing w:before="120" w:after="120" w:line="240" w:lineRule="auto"/>
              <w:jc w:val="center"/>
            </w:pPr>
            <w:r w:rsidRPr="0090022C">
              <w:t>5</w:t>
            </w:r>
          </w:p>
        </w:tc>
        <w:tc>
          <w:tcPr>
            <w:tcW w:w="785" w:type="dxa"/>
            <w:vAlign w:val="center"/>
          </w:tcPr>
          <w:p w:rsidR="00E32574" w:rsidRPr="0090022C" w:rsidRDefault="00E32574" w:rsidP="00BA7595">
            <w:pPr>
              <w:spacing w:before="120" w:after="120" w:line="240" w:lineRule="auto"/>
              <w:jc w:val="center"/>
            </w:pPr>
            <w:r w:rsidRPr="0090022C">
              <w:t>16</w:t>
            </w:r>
          </w:p>
        </w:tc>
      </w:tr>
      <w:tr w:rsidR="00E32574" w:rsidRPr="0090022C" w:rsidTr="00E32574">
        <w:trPr>
          <w:trHeight w:val="284"/>
        </w:trPr>
        <w:tc>
          <w:tcPr>
            <w:tcW w:w="1510" w:type="dxa"/>
            <w:vAlign w:val="center"/>
          </w:tcPr>
          <w:p w:rsidR="00E32574" w:rsidRPr="0090022C" w:rsidRDefault="00E32574" w:rsidP="00BA7595">
            <w:pPr>
              <w:spacing w:before="120" w:after="120" w:line="240" w:lineRule="auto"/>
            </w:pPr>
            <w:r w:rsidRPr="0090022C">
              <w:t>São Sebastião da Vala</w:t>
            </w:r>
          </w:p>
        </w:tc>
        <w:tc>
          <w:tcPr>
            <w:tcW w:w="900" w:type="dxa"/>
            <w:vAlign w:val="center"/>
          </w:tcPr>
          <w:p w:rsidR="00E32574" w:rsidRPr="0090022C" w:rsidRDefault="00E32574" w:rsidP="00BA7595">
            <w:pPr>
              <w:spacing w:before="120" w:after="120" w:line="240" w:lineRule="auto"/>
              <w:jc w:val="center"/>
            </w:pPr>
            <w:r w:rsidRPr="0090022C">
              <w:t>527</w:t>
            </w:r>
          </w:p>
        </w:tc>
        <w:tc>
          <w:tcPr>
            <w:tcW w:w="960" w:type="dxa"/>
            <w:vAlign w:val="center"/>
          </w:tcPr>
          <w:p w:rsidR="00E32574" w:rsidRPr="0090022C" w:rsidRDefault="00E32574" w:rsidP="00BA7595">
            <w:pPr>
              <w:spacing w:before="120" w:after="120" w:line="240" w:lineRule="auto"/>
              <w:jc w:val="center"/>
            </w:pPr>
            <w:r w:rsidRPr="0090022C">
              <w:t>222</w:t>
            </w:r>
          </w:p>
        </w:tc>
        <w:tc>
          <w:tcPr>
            <w:tcW w:w="960" w:type="dxa"/>
            <w:vAlign w:val="center"/>
          </w:tcPr>
          <w:p w:rsidR="00E32574" w:rsidRPr="0090022C" w:rsidRDefault="00E32574" w:rsidP="00BA7595">
            <w:pPr>
              <w:spacing w:before="120" w:after="120" w:line="240" w:lineRule="auto"/>
              <w:jc w:val="center"/>
            </w:pPr>
            <w:r w:rsidRPr="0090022C">
              <w:t>220</w:t>
            </w:r>
          </w:p>
        </w:tc>
        <w:tc>
          <w:tcPr>
            <w:tcW w:w="960" w:type="dxa"/>
            <w:vAlign w:val="center"/>
          </w:tcPr>
          <w:p w:rsidR="00E32574" w:rsidRPr="0090022C" w:rsidRDefault="00E32574" w:rsidP="00BA7595">
            <w:pPr>
              <w:spacing w:before="120" w:after="120" w:line="240" w:lineRule="auto"/>
              <w:jc w:val="center"/>
            </w:pPr>
            <w:r w:rsidRPr="0090022C">
              <w:t>2</w:t>
            </w:r>
          </w:p>
        </w:tc>
        <w:tc>
          <w:tcPr>
            <w:tcW w:w="784" w:type="dxa"/>
            <w:vAlign w:val="center"/>
          </w:tcPr>
          <w:p w:rsidR="00E32574" w:rsidRPr="0090022C" w:rsidRDefault="00E32574" w:rsidP="00BA7595">
            <w:pPr>
              <w:spacing w:before="120" w:after="120" w:line="240" w:lineRule="auto"/>
              <w:jc w:val="center"/>
            </w:pPr>
            <w:r w:rsidRPr="0090022C">
              <w:t>221</w:t>
            </w:r>
          </w:p>
        </w:tc>
        <w:tc>
          <w:tcPr>
            <w:tcW w:w="784" w:type="dxa"/>
            <w:vAlign w:val="center"/>
          </w:tcPr>
          <w:p w:rsidR="00E32574" w:rsidRPr="0090022C" w:rsidRDefault="00E32574" w:rsidP="00BA7595">
            <w:pPr>
              <w:spacing w:before="120" w:after="120" w:line="240" w:lineRule="auto"/>
              <w:jc w:val="center"/>
            </w:pPr>
            <w:r w:rsidRPr="0090022C">
              <w:t>4</w:t>
            </w:r>
          </w:p>
        </w:tc>
        <w:tc>
          <w:tcPr>
            <w:tcW w:w="785" w:type="dxa"/>
            <w:vAlign w:val="center"/>
          </w:tcPr>
          <w:p w:rsidR="00E32574" w:rsidRPr="0090022C" w:rsidRDefault="00E32574" w:rsidP="00BA7595">
            <w:pPr>
              <w:spacing w:before="120" w:after="120" w:line="240" w:lineRule="auto"/>
              <w:jc w:val="center"/>
            </w:pPr>
            <w:r w:rsidRPr="0090022C">
              <w:t>67</w:t>
            </w:r>
          </w:p>
        </w:tc>
        <w:tc>
          <w:tcPr>
            <w:tcW w:w="784" w:type="dxa"/>
            <w:vAlign w:val="center"/>
          </w:tcPr>
          <w:p w:rsidR="00E32574" w:rsidRPr="0090022C" w:rsidRDefault="00E32574" w:rsidP="00BA7595">
            <w:pPr>
              <w:spacing w:before="120" w:after="120" w:line="240" w:lineRule="auto"/>
              <w:jc w:val="center"/>
            </w:pPr>
            <w:r w:rsidRPr="0090022C">
              <w:t>2</w:t>
            </w:r>
          </w:p>
        </w:tc>
        <w:tc>
          <w:tcPr>
            <w:tcW w:w="785" w:type="dxa"/>
            <w:vAlign w:val="center"/>
          </w:tcPr>
          <w:p w:rsidR="00E32574" w:rsidRPr="0090022C" w:rsidRDefault="00E32574" w:rsidP="00BA7595">
            <w:pPr>
              <w:spacing w:before="120" w:after="120" w:line="240" w:lineRule="auto"/>
              <w:jc w:val="center"/>
            </w:pPr>
            <w:r w:rsidRPr="0090022C">
              <w:t>11</w:t>
            </w:r>
          </w:p>
        </w:tc>
      </w:tr>
      <w:tr w:rsidR="00E32574" w:rsidRPr="0090022C" w:rsidTr="00E32574">
        <w:trPr>
          <w:trHeight w:val="284"/>
        </w:trPr>
        <w:tc>
          <w:tcPr>
            <w:tcW w:w="1510" w:type="dxa"/>
            <w:vAlign w:val="center"/>
          </w:tcPr>
          <w:p w:rsidR="00E32574" w:rsidRPr="0090022C" w:rsidRDefault="00E32574" w:rsidP="00BA7595">
            <w:pPr>
              <w:spacing w:before="120" w:after="120" w:line="240" w:lineRule="auto"/>
            </w:pPr>
            <w:r w:rsidRPr="0090022C">
              <w:t>Tabaúna</w:t>
            </w:r>
          </w:p>
        </w:tc>
        <w:tc>
          <w:tcPr>
            <w:tcW w:w="900" w:type="dxa"/>
            <w:vAlign w:val="center"/>
          </w:tcPr>
          <w:p w:rsidR="00E32574" w:rsidRPr="0090022C" w:rsidRDefault="00E32574" w:rsidP="00BA7595">
            <w:pPr>
              <w:spacing w:before="120" w:after="120" w:line="240" w:lineRule="auto"/>
              <w:jc w:val="center"/>
            </w:pPr>
            <w:r w:rsidRPr="0090022C">
              <w:t>409</w:t>
            </w:r>
          </w:p>
        </w:tc>
        <w:tc>
          <w:tcPr>
            <w:tcW w:w="960" w:type="dxa"/>
            <w:vAlign w:val="center"/>
          </w:tcPr>
          <w:p w:rsidR="00E32574" w:rsidRPr="0090022C" w:rsidRDefault="00E32574" w:rsidP="00BA7595">
            <w:pPr>
              <w:spacing w:before="120" w:after="120" w:line="240" w:lineRule="auto"/>
              <w:jc w:val="center"/>
            </w:pPr>
            <w:r w:rsidRPr="0090022C">
              <w:t>12</w:t>
            </w:r>
          </w:p>
        </w:tc>
        <w:tc>
          <w:tcPr>
            <w:tcW w:w="960" w:type="dxa"/>
            <w:vAlign w:val="center"/>
          </w:tcPr>
          <w:p w:rsidR="00E32574" w:rsidRPr="0090022C" w:rsidRDefault="00E32574" w:rsidP="00BA7595">
            <w:pPr>
              <w:spacing w:before="120" w:after="120" w:line="240" w:lineRule="auto"/>
              <w:jc w:val="center"/>
            </w:pPr>
            <w:r w:rsidRPr="0090022C">
              <w:t>10</w:t>
            </w:r>
          </w:p>
        </w:tc>
        <w:tc>
          <w:tcPr>
            <w:tcW w:w="960" w:type="dxa"/>
            <w:vAlign w:val="center"/>
          </w:tcPr>
          <w:p w:rsidR="00E32574" w:rsidRPr="0090022C" w:rsidRDefault="00E32574" w:rsidP="00BA7595">
            <w:pPr>
              <w:spacing w:before="120" w:after="120" w:line="240" w:lineRule="auto"/>
              <w:jc w:val="center"/>
            </w:pPr>
            <w:r w:rsidRPr="0090022C">
              <w:t>2</w:t>
            </w:r>
          </w:p>
        </w:tc>
        <w:tc>
          <w:tcPr>
            <w:tcW w:w="784" w:type="dxa"/>
            <w:vAlign w:val="center"/>
          </w:tcPr>
          <w:p w:rsidR="00E32574" w:rsidRPr="0090022C" w:rsidRDefault="00E32574" w:rsidP="00BA7595">
            <w:pPr>
              <w:spacing w:before="120" w:after="120" w:line="240" w:lineRule="auto"/>
              <w:jc w:val="center"/>
            </w:pPr>
            <w:r w:rsidRPr="0090022C">
              <w:t>337</w:t>
            </w:r>
          </w:p>
        </w:tc>
        <w:tc>
          <w:tcPr>
            <w:tcW w:w="784" w:type="dxa"/>
            <w:vAlign w:val="center"/>
          </w:tcPr>
          <w:p w:rsidR="00E32574" w:rsidRPr="0090022C" w:rsidRDefault="00E32574" w:rsidP="00BA7595">
            <w:pPr>
              <w:spacing w:before="120" w:after="120" w:line="240" w:lineRule="auto"/>
              <w:jc w:val="center"/>
            </w:pPr>
            <w:r w:rsidRPr="0090022C">
              <w:t>8</w:t>
            </w:r>
          </w:p>
        </w:tc>
        <w:tc>
          <w:tcPr>
            <w:tcW w:w="785" w:type="dxa"/>
            <w:vAlign w:val="center"/>
          </w:tcPr>
          <w:p w:rsidR="00E32574" w:rsidRPr="0090022C" w:rsidRDefault="00E32574" w:rsidP="00BA7595">
            <w:pPr>
              <w:spacing w:before="120" w:after="120" w:line="240" w:lineRule="auto"/>
              <w:jc w:val="center"/>
            </w:pPr>
            <w:r w:rsidRPr="0090022C">
              <w:t>36</w:t>
            </w:r>
          </w:p>
        </w:tc>
        <w:tc>
          <w:tcPr>
            <w:tcW w:w="784" w:type="dxa"/>
            <w:vAlign w:val="center"/>
          </w:tcPr>
          <w:p w:rsidR="00E32574" w:rsidRPr="0090022C" w:rsidRDefault="00E32574" w:rsidP="00BA7595">
            <w:pPr>
              <w:spacing w:before="120" w:after="120" w:line="240" w:lineRule="auto"/>
              <w:jc w:val="center"/>
            </w:pPr>
            <w:r w:rsidRPr="0090022C">
              <w:t>13</w:t>
            </w:r>
          </w:p>
        </w:tc>
        <w:tc>
          <w:tcPr>
            <w:tcW w:w="785" w:type="dxa"/>
            <w:vAlign w:val="center"/>
          </w:tcPr>
          <w:p w:rsidR="00E32574" w:rsidRPr="0090022C" w:rsidRDefault="00E32574" w:rsidP="00BA7595">
            <w:pPr>
              <w:spacing w:before="120" w:after="120" w:line="240" w:lineRule="auto"/>
              <w:jc w:val="center"/>
            </w:pPr>
            <w:r w:rsidRPr="0090022C">
              <w:t>3</w:t>
            </w:r>
          </w:p>
        </w:tc>
      </w:tr>
      <w:tr w:rsidR="00E32574" w:rsidRPr="0090022C" w:rsidTr="00E32574">
        <w:trPr>
          <w:trHeight w:val="284"/>
        </w:trPr>
        <w:tc>
          <w:tcPr>
            <w:tcW w:w="1510" w:type="dxa"/>
            <w:vAlign w:val="center"/>
          </w:tcPr>
          <w:p w:rsidR="00E32574" w:rsidRPr="0090022C" w:rsidRDefault="00E32574" w:rsidP="00BA7595">
            <w:pPr>
              <w:spacing w:before="120" w:after="120" w:line="240" w:lineRule="auto"/>
              <w:rPr>
                <w:bCs/>
              </w:rPr>
            </w:pPr>
            <w:r w:rsidRPr="0090022C">
              <w:rPr>
                <w:bCs/>
              </w:rPr>
              <w:t>Total</w:t>
            </w:r>
          </w:p>
        </w:tc>
        <w:tc>
          <w:tcPr>
            <w:tcW w:w="900" w:type="dxa"/>
            <w:vAlign w:val="center"/>
          </w:tcPr>
          <w:p w:rsidR="00E32574" w:rsidRPr="0090022C" w:rsidRDefault="00E32574" w:rsidP="00BA7595">
            <w:pPr>
              <w:spacing w:before="120" w:after="120" w:line="240" w:lineRule="auto"/>
              <w:jc w:val="center"/>
              <w:rPr>
                <w:bCs/>
              </w:rPr>
            </w:pPr>
            <w:r w:rsidRPr="0090022C">
              <w:rPr>
                <w:bCs/>
              </w:rPr>
              <w:t>7138</w:t>
            </w:r>
          </w:p>
        </w:tc>
        <w:tc>
          <w:tcPr>
            <w:tcW w:w="960" w:type="dxa"/>
            <w:vAlign w:val="center"/>
          </w:tcPr>
          <w:p w:rsidR="00E32574" w:rsidRPr="0090022C" w:rsidRDefault="00E32574" w:rsidP="00BA7595">
            <w:pPr>
              <w:spacing w:before="120" w:after="120" w:line="240" w:lineRule="auto"/>
              <w:jc w:val="center"/>
              <w:rPr>
                <w:bCs/>
              </w:rPr>
            </w:pPr>
            <w:r w:rsidRPr="0090022C">
              <w:rPr>
                <w:bCs/>
              </w:rPr>
              <w:t>4360</w:t>
            </w:r>
          </w:p>
        </w:tc>
        <w:tc>
          <w:tcPr>
            <w:tcW w:w="960" w:type="dxa"/>
            <w:vAlign w:val="center"/>
          </w:tcPr>
          <w:p w:rsidR="00E32574" w:rsidRPr="0090022C" w:rsidRDefault="00E32574" w:rsidP="00BA7595">
            <w:pPr>
              <w:spacing w:before="120" w:after="120" w:line="240" w:lineRule="auto"/>
              <w:jc w:val="center"/>
              <w:rPr>
                <w:bCs/>
              </w:rPr>
            </w:pPr>
            <w:r w:rsidRPr="0090022C">
              <w:rPr>
                <w:bCs/>
              </w:rPr>
              <w:t>4253</w:t>
            </w:r>
          </w:p>
        </w:tc>
        <w:tc>
          <w:tcPr>
            <w:tcW w:w="960" w:type="dxa"/>
            <w:vAlign w:val="center"/>
          </w:tcPr>
          <w:p w:rsidR="00E32574" w:rsidRPr="0090022C" w:rsidRDefault="00E32574" w:rsidP="00BA7595">
            <w:pPr>
              <w:spacing w:before="120" w:after="120" w:line="240" w:lineRule="auto"/>
              <w:jc w:val="center"/>
              <w:rPr>
                <w:bCs/>
              </w:rPr>
            </w:pPr>
            <w:r w:rsidRPr="0090022C">
              <w:rPr>
                <w:bCs/>
              </w:rPr>
              <w:t>107</w:t>
            </w:r>
          </w:p>
        </w:tc>
        <w:tc>
          <w:tcPr>
            <w:tcW w:w="784" w:type="dxa"/>
            <w:vAlign w:val="center"/>
          </w:tcPr>
          <w:p w:rsidR="00E32574" w:rsidRPr="0090022C" w:rsidRDefault="00E32574" w:rsidP="00BA7595">
            <w:pPr>
              <w:spacing w:before="120" w:after="120" w:line="240" w:lineRule="auto"/>
              <w:jc w:val="center"/>
              <w:rPr>
                <w:bCs/>
              </w:rPr>
            </w:pPr>
            <w:r w:rsidRPr="0090022C">
              <w:rPr>
                <w:bCs/>
              </w:rPr>
              <w:t>1938</w:t>
            </w:r>
          </w:p>
        </w:tc>
        <w:tc>
          <w:tcPr>
            <w:tcW w:w="784" w:type="dxa"/>
            <w:vAlign w:val="center"/>
          </w:tcPr>
          <w:p w:rsidR="00E32574" w:rsidRPr="0090022C" w:rsidRDefault="00E32574" w:rsidP="00BA7595">
            <w:pPr>
              <w:spacing w:before="120" w:after="120" w:line="240" w:lineRule="auto"/>
              <w:jc w:val="center"/>
              <w:rPr>
                <w:bCs/>
              </w:rPr>
            </w:pPr>
            <w:r w:rsidRPr="0090022C">
              <w:rPr>
                <w:bCs/>
              </w:rPr>
              <w:t>39</w:t>
            </w:r>
          </w:p>
        </w:tc>
        <w:tc>
          <w:tcPr>
            <w:tcW w:w="785" w:type="dxa"/>
            <w:vAlign w:val="center"/>
          </w:tcPr>
          <w:p w:rsidR="00E32574" w:rsidRPr="0090022C" w:rsidRDefault="00E32574" w:rsidP="00BA7595">
            <w:pPr>
              <w:spacing w:before="120" w:after="120" w:line="240" w:lineRule="auto"/>
              <w:jc w:val="center"/>
              <w:rPr>
                <w:bCs/>
              </w:rPr>
            </w:pPr>
            <w:r w:rsidRPr="0090022C">
              <w:rPr>
                <w:bCs/>
              </w:rPr>
              <w:t>517</w:t>
            </w:r>
          </w:p>
        </w:tc>
        <w:tc>
          <w:tcPr>
            <w:tcW w:w="784" w:type="dxa"/>
            <w:vAlign w:val="center"/>
          </w:tcPr>
          <w:p w:rsidR="00E32574" w:rsidRPr="0090022C" w:rsidRDefault="00E32574" w:rsidP="00BA7595">
            <w:pPr>
              <w:spacing w:before="120" w:after="120" w:line="240" w:lineRule="auto"/>
              <w:jc w:val="center"/>
              <w:rPr>
                <w:bCs/>
              </w:rPr>
            </w:pPr>
            <w:r w:rsidRPr="0090022C">
              <w:rPr>
                <w:bCs/>
              </w:rPr>
              <w:t>66</w:t>
            </w:r>
          </w:p>
        </w:tc>
        <w:tc>
          <w:tcPr>
            <w:tcW w:w="785" w:type="dxa"/>
            <w:vAlign w:val="center"/>
          </w:tcPr>
          <w:p w:rsidR="00E32574" w:rsidRPr="0090022C" w:rsidRDefault="00E32574" w:rsidP="00BA7595">
            <w:pPr>
              <w:spacing w:before="120" w:after="120" w:line="240" w:lineRule="auto"/>
              <w:jc w:val="center"/>
              <w:rPr>
                <w:bCs/>
              </w:rPr>
            </w:pPr>
            <w:r w:rsidRPr="0090022C">
              <w:rPr>
                <w:bCs/>
              </w:rPr>
              <w:t>218</w:t>
            </w:r>
          </w:p>
        </w:tc>
      </w:tr>
    </w:tbl>
    <w:p w:rsidR="00E32574" w:rsidRPr="0090022C" w:rsidRDefault="00E32574" w:rsidP="00B67892">
      <w:pPr>
        <w:pStyle w:val="Fonte"/>
        <w:rPr>
          <w:b/>
        </w:rPr>
      </w:pPr>
      <w:r w:rsidRPr="0090022C">
        <w:t>Fonte: PEREIRA et al., 2004</w:t>
      </w:r>
    </w:p>
    <w:p w:rsidR="00E32574" w:rsidRPr="008D43D2" w:rsidRDefault="00E32574" w:rsidP="00BA7595">
      <w:pPr>
        <w:spacing w:after="0" w:line="360" w:lineRule="auto"/>
        <w:ind w:firstLine="709"/>
        <w:jc w:val="both"/>
        <w:rPr>
          <w:lang w:eastAsia="pt-BR"/>
        </w:rPr>
      </w:pPr>
      <w:r w:rsidRPr="008D43D2">
        <w:rPr>
          <w:lang w:eastAsia="pt-BR"/>
        </w:rPr>
        <w:t xml:space="preserve">Além do levantamento quantitativo também foi levantada a composição gravimétrica (percentual de presença de cada componente em relação ao peso total do resíduo) (Tabela </w:t>
      </w:r>
      <w:r w:rsidR="00BA7595">
        <w:rPr>
          <w:lang w:eastAsia="pt-BR"/>
        </w:rPr>
        <w:t>1</w:t>
      </w:r>
      <w:r w:rsidR="00B02273">
        <w:rPr>
          <w:lang w:eastAsia="pt-BR"/>
        </w:rPr>
        <w:t>5</w:t>
      </w:r>
      <w:r w:rsidRPr="008D43D2">
        <w:rPr>
          <w:lang w:eastAsia="pt-BR"/>
        </w:rPr>
        <w:t>).</w:t>
      </w:r>
    </w:p>
    <w:p w:rsidR="00E32574" w:rsidRPr="008D43D2" w:rsidRDefault="00E32574" w:rsidP="008D43D2">
      <w:pPr>
        <w:spacing w:line="360" w:lineRule="auto"/>
        <w:ind w:firstLine="708"/>
        <w:jc w:val="both"/>
        <w:rPr>
          <w:lang w:eastAsia="pt-BR"/>
        </w:rPr>
      </w:pPr>
    </w:p>
    <w:p w:rsidR="00E32574" w:rsidRPr="0090022C" w:rsidRDefault="00E32574" w:rsidP="00E32574"/>
    <w:p w:rsidR="00B67892" w:rsidRPr="00BA7595" w:rsidRDefault="00B02273" w:rsidP="00B02273">
      <w:pPr>
        <w:pStyle w:val="Legenda"/>
        <w:rPr>
          <w:b w:val="0"/>
        </w:rPr>
      </w:pPr>
      <w:bookmarkStart w:id="566" w:name="_Toc372740363"/>
      <w:r>
        <w:lastRenderedPageBreak/>
        <w:t xml:space="preserve">Tabela </w:t>
      </w:r>
      <w:fldSimple w:instr=" SEQ Tabela \* ARABIC ">
        <w:r w:rsidR="004F77E2">
          <w:rPr>
            <w:noProof/>
          </w:rPr>
          <w:t>15</w:t>
        </w:r>
      </w:fldSimple>
      <w:r>
        <w:t xml:space="preserve"> - </w:t>
      </w:r>
      <w:r w:rsidRPr="00FB3347">
        <w:rPr>
          <w:noProof/>
        </w:rPr>
        <w:t>Composição Gravimétrica dos RSU gerados no município de Aimorés.</w:t>
      </w:r>
      <w:bookmarkEnd w:id="566"/>
    </w:p>
    <w:tbl>
      <w:tblPr>
        <w:tblW w:w="8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701"/>
        <w:gridCol w:w="1448"/>
        <w:gridCol w:w="3196"/>
      </w:tblGrid>
      <w:tr w:rsidR="00E32574" w:rsidRPr="00BA7595" w:rsidTr="00BA7595">
        <w:trPr>
          <w:cantSplit/>
          <w:trHeight w:val="366"/>
          <w:jc w:val="center"/>
        </w:trPr>
        <w:tc>
          <w:tcPr>
            <w:tcW w:w="3701" w:type="dxa"/>
            <w:shd w:val="clear" w:color="auto" w:fill="D9D9D9" w:themeFill="background1" w:themeFillShade="D9"/>
            <w:noWrap/>
            <w:tcMar>
              <w:top w:w="60" w:type="dxa"/>
              <w:left w:w="60" w:type="dxa"/>
              <w:bottom w:w="0" w:type="dxa"/>
              <w:right w:w="60" w:type="dxa"/>
            </w:tcMar>
            <w:vAlign w:val="center"/>
          </w:tcPr>
          <w:p w:rsidR="00E32574" w:rsidRPr="00BA7595" w:rsidRDefault="00E32574" w:rsidP="00BA7595">
            <w:pPr>
              <w:spacing w:before="120" w:after="120" w:line="240" w:lineRule="auto"/>
              <w:rPr>
                <w:b/>
                <w:bCs/>
              </w:rPr>
            </w:pPr>
            <w:r w:rsidRPr="00BA7595">
              <w:rPr>
                <w:b/>
                <w:bCs/>
              </w:rPr>
              <w:t>Resíduos</w:t>
            </w:r>
          </w:p>
        </w:tc>
        <w:tc>
          <w:tcPr>
            <w:tcW w:w="1448" w:type="dxa"/>
            <w:shd w:val="clear" w:color="auto" w:fill="D9D9D9" w:themeFill="background1" w:themeFillShade="D9"/>
            <w:noWrap/>
            <w:tcMar>
              <w:top w:w="60" w:type="dxa"/>
              <w:left w:w="60" w:type="dxa"/>
              <w:bottom w:w="0" w:type="dxa"/>
              <w:right w:w="60" w:type="dxa"/>
            </w:tcMar>
            <w:vAlign w:val="center"/>
          </w:tcPr>
          <w:p w:rsidR="00E32574" w:rsidRPr="00BA7595" w:rsidRDefault="00E32574" w:rsidP="00BA7595">
            <w:pPr>
              <w:spacing w:before="120" w:after="120" w:line="240" w:lineRule="auto"/>
              <w:jc w:val="center"/>
              <w:rPr>
                <w:b/>
                <w:bCs/>
              </w:rPr>
            </w:pPr>
            <w:r w:rsidRPr="00BA7595">
              <w:rPr>
                <w:b/>
                <w:bCs/>
              </w:rPr>
              <w:t>%</w:t>
            </w:r>
          </w:p>
        </w:tc>
        <w:tc>
          <w:tcPr>
            <w:tcW w:w="3196" w:type="dxa"/>
            <w:shd w:val="clear" w:color="auto" w:fill="D9D9D9" w:themeFill="background1" w:themeFillShade="D9"/>
            <w:vAlign w:val="center"/>
          </w:tcPr>
          <w:p w:rsidR="00E32574" w:rsidRPr="00BA7595" w:rsidRDefault="00E32574" w:rsidP="00BA7595">
            <w:pPr>
              <w:spacing w:before="120" w:after="120" w:line="240" w:lineRule="auto"/>
              <w:jc w:val="center"/>
              <w:rPr>
                <w:b/>
                <w:bCs/>
              </w:rPr>
            </w:pPr>
            <w:r w:rsidRPr="00BA7595">
              <w:rPr>
                <w:b/>
                <w:bCs/>
              </w:rPr>
              <w:t>%</w:t>
            </w:r>
          </w:p>
        </w:tc>
      </w:tr>
      <w:tr w:rsidR="00E32574" w:rsidRPr="0090022C" w:rsidTr="00BA7595">
        <w:trPr>
          <w:trHeight w:val="167"/>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pPr>
            <w:r w:rsidRPr="0090022C">
              <w:t>Papelão</w:t>
            </w:r>
          </w:p>
        </w:tc>
        <w:tc>
          <w:tcPr>
            <w:tcW w:w="1448" w:type="dxa"/>
            <w:noWrap/>
            <w:tcMar>
              <w:top w:w="60" w:type="dxa"/>
              <w:left w:w="60" w:type="dxa"/>
              <w:bottom w:w="0" w:type="dxa"/>
              <w:right w:w="60" w:type="dxa"/>
            </w:tcMar>
            <w:vAlign w:val="center"/>
          </w:tcPr>
          <w:p w:rsidR="00E32574" w:rsidRPr="0090022C" w:rsidRDefault="00E32574" w:rsidP="007E7683">
            <w:pPr>
              <w:spacing w:before="120" w:after="120" w:line="240" w:lineRule="auto"/>
              <w:jc w:val="right"/>
              <w:rPr>
                <w:lang w:val="es-ES_tradnl"/>
              </w:rPr>
            </w:pPr>
            <w:r w:rsidRPr="0090022C">
              <w:rPr>
                <w:lang w:val="es-ES_tradnl"/>
              </w:rPr>
              <w:t>3,87</w:t>
            </w:r>
          </w:p>
        </w:tc>
        <w:tc>
          <w:tcPr>
            <w:tcW w:w="3196" w:type="dxa"/>
            <w:vMerge w:val="restart"/>
            <w:vAlign w:val="center"/>
          </w:tcPr>
          <w:p w:rsidR="00E32574" w:rsidRPr="0090022C" w:rsidRDefault="00E32574" w:rsidP="00BA7595">
            <w:pPr>
              <w:spacing w:before="120" w:after="120" w:line="240" w:lineRule="auto"/>
              <w:jc w:val="center"/>
            </w:pPr>
            <w:r w:rsidRPr="0090022C">
              <w:t>Resíduos</w:t>
            </w:r>
            <w:r w:rsidRPr="0090022C">
              <w:rPr>
                <w:lang w:val="es-ES_tradnl"/>
              </w:rPr>
              <w:t xml:space="preserve"> </w:t>
            </w:r>
            <w:r w:rsidRPr="0090022C">
              <w:t>recicláveis</w:t>
            </w:r>
          </w:p>
          <w:p w:rsidR="00E32574" w:rsidRPr="0090022C" w:rsidRDefault="00E32574" w:rsidP="00BA7595">
            <w:pPr>
              <w:spacing w:before="120" w:after="120" w:line="240" w:lineRule="auto"/>
              <w:jc w:val="center"/>
              <w:rPr>
                <w:lang w:val="es-ES_tradnl"/>
              </w:rPr>
            </w:pPr>
            <w:r w:rsidRPr="0090022C">
              <w:t>38,67</w:t>
            </w:r>
          </w:p>
        </w:tc>
      </w:tr>
      <w:tr w:rsidR="00E32574" w:rsidRPr="0090022C" w:rsidTr="00BA7595">
        <w:trPr>
          <w:trHeight w:val="254"/>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rPr>
                <w:lang w:val="es-ES_tradnl"/>
              </w:rPr>
            </w:pPr>
            <w:r w:rsidRPr="0090022C">
              <w:rPr>
                <w:lang w:val="es-ES_tradnl"/>
              </w:rPr>
              <w:t>Papel</w:t>
            </w:r>
          </w:p>
        </w:tc>
        <w:tc>
          <w:tcPr>
            <w:tcW w:w="1448" w:type="dxa"/>
            <w:noWrap/>
            <w:tcMar>
              <w:top w:w="60" w:type="dxa"/>
              <w:left w:w="60" w:type="dxa"/>
              <w:bottom w:w="0" w:type="dxa"/>
              <w:right w:w="60" w:type="dxa"/>
            </w:tcMar>
            <w:vAlign w:val="center"/>
          </w:tcPr>
          <w:p w:rsidR="00E32574" w:rsidRPr="0090022C" w:rsidRDefault="00E32574" w:rsidP="007E7683">
            <w:pPr>
              <w:tabs>
                <w:tab w:val="left" w:pos="770"/>
              </w:tabs>
              <w:spacing w:before="120" w:after="120" w:line="240" w:lineRule="auto"/>
              <w:jc w:val="center"/>
              <w:rPr>
                <w:lang w:val="es-ES_tradnl"/>
              </w:rPr>
            </w:pPr>
            <w:r w:rsidRPr="0090022C">
              <w:rPr>
                <w:lang w:val="es-ES_tradnl"/>
              </w:rPr>
              <w:t>7,26</w:t>
            </w:r>
          </w:p>
        </w:tc>
        <w:tc>
          <w:tcPr>
            <w:tcW w:w="3196" w:type="dxa"/>
            <w:vMerge/>
          </w:tcPr>
          <w:p w:rsidR="00E32574" w:rsidRPr="0090022C" w:rsidRDefault="00E32574" w:rsidP="00BA7595">
            <w:pPr>
              <w:spacing w:before="120" w:after="120" w:line="240" w:lineRule="auto"/>
              <w:jc w:val="center"/>
              <w:rPr>
                <w:lang w:val="es-ES_tradnl"/>
              </w:rPr>
            </w:pPr>
          </w:p>
        </w:tc>
      </w:tr>
      <w:tr w:rsidR="00E32574" w:rsidRPr="0090022C" w:rsidTr="00BA7595">
        <w:trPr>
          <w:trHeight w:val="215"/>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rPr>
                <w:lang w:val="es-ES_tradnl"/>
              </w:rPr>
            </w:pPr>
            <w:r w:rsidRPr="0090022C">
              <w:rPr>
                <w:lang w:val="es-ES_tradnl"/>
              </w:rPr>
              <w:t>Vidro</w:t>
            </w:r>
          </w:p>
        </w:tc>
        <w:tc>
          <w:tcPr>
            <w:tcW w:w="1448" w:type="dxa"/>
            <w:noWrap/>
            <w:tcMar>
              <w:top w:w="60" w:type="dxa"/>
              <w:left w:w="60" w:type="dxa"/>
              <w:bottom w:w="0" w:type="dxa"/>
              <w:right w:w="60" w:type="dxa"/>
            </w:tcMar>
            <w:vAlign w:val="center"/>
          </w:tcPr>
          <w:p w:rsidR="00E32574" w:rsidRPr="0090022C" w:rsidRDefault="00E32574" w:rsidP="007E7683">
            <w:pPr>
              <w:tabs>
                <w:tab w:val="left" w:pos="770"/>
              </w:tabs>
              <w:spacing w:before="120" w:after="120" w:line="240" w:lineRule="auto"/>
              <w:jc w:val="center"/>
              <w:rPr>
                <w:lang w:val="es-ES_tradnl"/>
              </w:rPr>
            </w:pPr>
            <w:r w:rsidRPr="0090022C">
              <w:rPr>
                <w:lang w:val="es-ES_tradnl"/>
              </w:rPr>
              <w:t>2,76</w:t>
            </w:r>
          </w:p>
        </w:tc>
        <w:tc>
          <w:tcPr>
            <w:tcW w:w="3196" w:type="dxa"/>
            <w:vMerge/>
          </w:tcPr>
          <w:p w:rsidR="00E32574" w:rsidRPr="0090022C" w:rsidRDefault="00E32574" w:rsidP="00BA7595">
            <w:pPr>
              <w:spacing w:before="120" w:after="120" w:line="240" w:lineRule="auto"/>
              <w:jc w:val="center"/>
              <w:rPr>
                <w:lang w:val="es-ES_tradnl"/>
              </w:rPr>
            </w:pPr>
          </w:p>
        </w:tc>
      </w:tr>
      <w:tr w:rsidR="00E32574" w:rsidRPr="0090022C" w:rsidTr="00BA7595">
        <w:trPr>
          <w:trHeight w:val="337"/>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rPr>
                <w:lang w:val="es-ES_tradnl"/>
              </w:rPr>
            </w:pPr>
            <w:r>
              <w:rPr>
                <w:lang w:val="es-ES_tradnl"/>
              </w:rPr>
              <w:t xml:space="preserve">Plástico </w:t>
            </w:r>
            <w:r w:rsidRPr="0090022C">
              <w:rPr>
                <w:lang w:val="es-ES_tradnl"/>
              </w:rPr>
              <w:t>filme</w:t>
            </w:r>
          </w:p>
        </w:tc>
        <w:tc>
          <w:tcPr>
            <w:tcW w:w="1448" w:type="dxa"/>
            <w:noWrap/>
            <w:tcMar>
              <w:top w:w="60" w:type="dxa"/>
              <w:left w:w="60" w:type="dxa"/>
              <w:bottom w:w="0" w:type="dxa"/>
              <w:right w:w="60" w:type="dxa"/>
            </w:tcMar>
            <w:vAlign w:val="center"/>
          </w:tcPr>
          <w:p w:rsidR="00E32574" w:rsidRPr="0090022C" w:rsidRDefault="00E32574" w:rsidP="007E7683">
            <w:pPr>
              <w:tabs>
                <w:tab w:val="left" w:pos="770"/>
              </w:tabs>
              <w:spacing w:before="120" w:after="120" w:line="240" w:lineRule="auto"/>
              <w:jc w:val="center"/>
              <w:rPr>
                <w:lang w:val="es-ES_tradnl"/>
              </w:rPr>
            </w:pPr>
            <w:r w:rsidRPr="0090022C">
              <w:rPr>
                <w:lang w:val="es-ES_tradnl"/>
              </w:rPr>
              <w:t>15,68</w:t>
            </w:r>
          </w:p>
        </w:tc>
        <w:tc>
          <w:tcPr>
            <w:tcW w:w="3196" w:type="dxa"/>
            <w:vMerge/>
          </w:tcPr>
          <w:p w:rsidR="00E32574" w:rsidRPr="0090022C" w:rsidRDefault="00E32574" w:rsidP="00BA7595">
            <w:pPr>
              <w:spacing w:before="120" w:after="120" w:line="240" w:lineRule="auto"/>
              <w:jc w:val="center"/>
              <w:rPr>
                <w:lang w:val="es-ES_tradnl"/>
              </w:rPr>
            </w:pPr>
          </w:p>
        </w:tc>
      </w:tr>
      <w:tr w:rsidR="00E32574" w:rsidRPr="0090022C" w:rsidTr="00BA7595">
        <w:trPr>
          <w:trHeight w:val="337"/>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rPr>
                <w:lang w:val="es-ES_tradnl"/>
              </w:rPr>
            </w:pPr>
            <w:r w:rsidRPr="0090022C">
              <w:rPr>
                <w:lang w:val="es-ES_tradnl"/>
              </w:rPr>
              <w:t>Plástico rígido</w:t>
            </w:r>
          </w:p>
        </w:tc>
        <w:tc>
          <w:tcPr>
            <w:tcW w:w="1448" w:type="dxa"/>
            <w:noWrap/>
            <w:tcMar>
              <w:top w:w="60" w:type="dxa"/>
              <w:left w:w="60" w:type="dxa"/>
              <w:bottom w:w="0" w:type="dxa"/>
              <w:right w:w="60" w:type="dxa"/>
            </w:tcMar>
            <w:vAlign w:val="center"/>
          </w:tcPr>
          <w:p w:rsidR="00E32574" w:rsidRPr="0090022C" w:rsidRDefault="00E32574" w:rsidP="007E7683">
            <w:pPr>
              <w:tabs>
                <w:tab w:val="left" w:pos="770"/>
              </w:tabs>
              <w:spacing w:before="120" w:after="120" w:line="240" w:lineRule="auto"/>
              <w:jc w:val="center"/>
            </w:pPr>
            <w:r w:rsidRPr="0090022C">
              <w:t>3,19</w:t>
            </w:r>
          </w:p>
        </w:tc>
        <w:tc>
          <w:tcPr>
            <w:tcW w:w="3196" w:type="dxa"/>
            <w:vMerge/>
          </w:tcPr>
          <w:p w:rsidR="00E32574" w:rsidRPr="0090022C" w:rsidRDefault="00E32574" w:rsidP="00BA7595">
            <w:pPr>
              <w:spacing w:before="120" w:after="120" w:line="240" w:lineRule="auto"/>
              <w:jc w:val="center"/>
            </w:pPr>
          </w:p>
        </w:tc>
      </w:tr>
      <w:tr w:rsidR="00E32574" w:rsidRPr="0090022C" w:rsidTr="00BA7595">
        <w:trPr>
          <w:trHeight w:val="337"/>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pPr>
            <w:r w:rsidRPr="0090022C">
              <w:rPr>
                <w:lang w:val="es-ES_tradnl"/>
              </w:rPr>
              <w:t>Plástico PET</w:t>
            </w:r>
          </w:p>
        </w:tc>
        <w:tc>
          <w:tcPr>
            <w:tcW w:w="1448" w:type="dxa"/>
            <w:noWrap/>
            <w:tcMar>
              <w:top w:w="60" w:type="dxa"/>
              <w:left w:w="60" w:type="dxa"/>
              <w:bottom w:w="0" w:type="dxa"/>
              <w:right w:w="60" w:type="dxa"/>
            </w:tcMar>
            <w:vAlign w:val="center"/>
          </w:tcPr>
          <w:p w:rsidR="00E32574" w:rsidRPr="0090022C" w:rsidRDefault="00E32574" w:rsidP="007E7683">
            <w:pPr>
              <w:tabs>
                <w:tab w:val="left" w:pos="770"/>
              </w:tabs>
              <w:spacing w:before="120" w:after="120" w:line="240" w:lineRule="auto"/>
              <w:jc w:val="center"/>
            </w:pPr>
            <w:r w:rsidRPr="0090022C">
              <w:t>3,00</w:t>
            </w:r>
          </w:p>
        </w:tc>
        <w:tc>
          <w:tcPr>
            <w:tcW w:w="3196" w:type="dxa"/>
            <w:vMerge/>
          </w:tcPr>
          <w:p w:rsidR="00E32574" w:rsidRPr="0090022C" w:rsidRDefault="00E32574" w:rsidP="00BA7595">
            <w:pPr>
              <w:spacing w:before="120" w:after="120" w:line="240" w:lineRule="auto"/>
              <w:jc w:val="center"/>
            </w:pPr>
          </w:p>
        </w:tc>
      </w:tr>
      <w:tr w:rsidR="00E32574" w:rsidRPr="0090022C" w:rsidTr="00BA7595">
        <w:trPr>
          <w:trHeight w:val="337"/>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pPr>
            <w:r w:rsidRPr="0090022C">
              <w:t>Metal ferroso</w:t>
            </w:r>
          </w:p>
        </w:tc>
        <w:tc>
          <w:tcPr>
            <w:tcW w:w="1448" w:type="dxa"/>
            <w:noWrap/>
            <w:tcMar>
              <w:top w:w="60" w:type="dxa"/>
              <w:left w:w="60" w:type="dxa"/>
              <w:bottom w:w="0" w:type="dxa"/>
              <w:right w:w="60" w:type="dxa"/>
            </w:tcMar>
            <w:vAlign w:val="center"/>
          </w:tcPr>
          <w:p w:rsidR="00E32574" w:rsidRPr="0090022C" w:rsidRDefault="00E32574" w:rsidP="007E7683">
            <w:pPr>
              <w:tabs>
                <w:tab w:val="left" w:pos="770"/>
              </w:tabs>
              <w:spacing w:before="120" w:after="120" w:line="240" w:lineRule="auto"/>
              <w:jc w:val="center"/>
            </w:pPr>
            <w:r w:rsidRPr="0090022C">
              <w:t>1,94</w:t>
            </w:r>
          </w:p>
        </w:tc>
        <w:tc>
          <w:tcPr>
            <w:tcW w:w="3196" w:type="dxa"/>
            <w:vMerge/>
          </w:tcPr>
          <w:p w:rsidR="00E32574" w:rsidRPr="0090022C" w:rsidRDefault="00E32574" w:rsidP="00BA7595">
            <w:pPr>
              <w:spacing w:before="120" w:after="120" w:line="240" w:lineRule="auto"/>
              <w:jc w:val="center"/>
            </w:pPr>
          </w:p>
        </w:tc>
      </w:tr>
      <w:tr w:rsidR="00E32574" w:rsidRPr="0090022C" w:rsidTr="00BA7595">
        <w:trPr>
          <w:trHeight w:val="337"/>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pPr>
            <w:r w:rsidRPr="0090022C">
              <w:t>Alumínio</w:t>
            </w:r>
          </w:p>
        </w:tc>
        <w:tc>
          <w:tcPr>
            <w:tcW w:w="1448" w:type="dxa"/>
            <w:noWrap/>
            <w:tcMar>
              <w:top w:w="60" w:type="dxa"/>
              <w:left w:w="60" w:type="dxa"/>
              <w:bottom w:w="0" w:type="dxa"/>
              <w:right w:w="60" w:type="dxa"/>
            </w:tcMar>
            <w:vAlign w:val="center"/>
          </w:tcPr>
          <w:p w:rsidR="00E32574" w:rsidRPr="0090022C" w:rsidRDefault="00E32574" w:rsidP="007E7683">
            <w:pPr>
              <w:tabs>
                <w:tab w:val="left" w:pos="770"/>
              </w:tabs>
              <w:spacing w:before="120" w:after="120" w:line="240" w:lineRule="auto"/>
              <w:jc w:val="center"/>
            </w:pPr>
            <w:r w:rsidRPr="0090022C">
              <w:t>0,97</w:t>
            </w:r>
          </w:p>
        </w:tc>
        <w:tc>
          <w:tcPr>
            <w:tcW w:w="3196" w:type="dxa"/>
            <w:vMerge/>
          </w:tcPr>
          <w:p w:rsidR="00E32574" w:rsidRPr="0090022C" w:rsidRDefault="00E32574" w:rsidP="00BA7595">
            <w:pPr>
              <w:spacing w:before="120" w:after="120" w:line="240" w:lineRule="auto"/>
              <w:jc w:val="center"/>
            </w:pPr>
          </w:p>
        </w:tc>
      </w:tr>
      <w:tr w:rsidR="00E32574" w:rsidRPr="0090022C" w:rsidTr="00BA7595">
        <w:trPr>
          <w:trHeight w:val="337"/>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pPr>
            <w:r w:rsidRPr="0090022C">
              <w:t>Madeira</w:t>
            </w:r>
          </w:p>
        </w:tc>
        <w:tc>
          <w:tcPr>
            <w:tcW w:w="1448" w:type="dxa"/>
            <w:noWrap/>
            <w:tcMar>
              <w:top w:w="60" w:type="dxa"/>
              <w:left w:w="60" w:type="dxa"/>
              <w:bottom w:w="0" w:type="dxa"/>
              <w:right w:w="60" w:type="dxa"/>
            </w:tcMar>
            <w:vAlign w:val="center"/>
          </w:tcPr>
          <w:p w:rsidR="00E32574" w:rsidRPr="0090022C" w:rsidRDefault="00E32574" w:rsidP="007E7683">
            <w:pPr>
              <w:tabs>
                <w:tab w:val="left" w:pos="770"/>
              </w:tabs>
              <w:spacing w:before="120" w:after="120" w:line="240" w:lineRule="auto"/>
              <w:jc w:val="center"/>
            </w:pPr>
            <w:r w:rsidRPr="0090022C">
              <w:t>0,24</w:t>
            </w:r>
          </w:p>
        </w:tc>
        <w:tc>
          <w:tcPr>
            <w:tcW w:w="3196" w:type="dxa"/>
            <w:vMerge w:val="restart"/>
            <w:vAlign w:val="center"/>
          </w:tcPr>
          <w:p w:rsidR="00E32574" w:rsidRPr="0090022C" w:rsidRDefault="00E32574" w:rsidP="00BA7595">
            <w:pPr>
              <w:spacing w:before="120" w:after="120" w:line="240" w:lineRule="auto"/>
              <w:jc w:val="center"/>
            </w:pPr>
            <w:r w:rsidRPr="0090022C">
              <w:t>Rejeitos</w:t>
            </w:r>
          </w:p>
          <w:p w:rsidR="00E32574" w:rsidRPr="0090022C" w:rsidRDefault="00E32574" w:rsidP="00BA7595">
            <w:pPr>
              <w:spacing w:before="120" w:after="120" w:line="240" w:lineRule="auto"/>
              <w:jc w:val="center"/>
            </w:pPr>
            <w:r w:rsidRPr="0090022C">
              <w:t>13,84</w:t>
            </w:r>
          </w:p>
        </w:tc>
      </w:tr>
      <w:tr w:rsidR="00E32574" w:rsidRPr="0090022C" w:rsidTr="00BA7595">
        <w:trPr>
          <w:trHeight w:val="337"/>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pPr>
            <w:r w:rsidRPr="0090022C">
              <w:t>Trapos</w:t>
            </w:r>
          </w:p>
        </w:tc>
        <w:tc>
          <w:tcPr>
            <w:tcW w:w="1448" w:type="dxa"/>
            <w:noWrap/>
            <w:tcMar>
              <w:top w:w="60" w:type="dxa"/>
              <w:left w:w="60" w:type="dxa"/>
              <w:bottom w:w="0" w:type="dxa"/>
              <w:right w:w="60" w:type="dxa"/>
            </w:tcMar>
            <w:vAlign w:val="center"/>
          </w:tcPr>
          <w:p w:rsidR="00E32574" w:rsidRPr="0090022C" w:rsidRDefault="00E32574" w:rsidP="007E7683">
            <w:pPr>
              <w:tabs>
                <w:tab w:val="left" w:pos="770"/>
              </w:tabs>
              <w:spacing w:before="120" w:after="120" w:line="240" w:lineRule="auto"/>
              <w:jc w:val="center"/>
            </w:pPr>
            <w:r w:rsidRPr="0090022C">
              <w:t>2,03</w:t>
            </w:r>
          </w:p>
        </w:tc>
        <w:tc>
          <w:tcPr>
            <w:tcW w:w="3196" w:type="dxa"/>
            <w:vMerge/>
          </w:tcPr>
          <w:p w:rsidR="00E32574" w:rsidRPr="0090022C" w:rsidRDefault="00E32574" w:rsidP="00BA7595">
            <w:pPr>
              <w:spacing w:before="120" w:after="120" w:line="240" w:lineRule="auto"/>
              <w:jc w:val="center"/>
            </w:pPr>
          </w:p>
        </w:tc>
      </w:tr>
      <w:tr w:rsidR="00E32574" w:rsidRPr="0090022C" w:rsidTr="00BA7595">
        <w:trPr>
          <w:trHeight w:val="224"/>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pPr>
            <w:r w:rsidRPr="0090022C">
              <w:t>Couro</w:t>
            </w:r>
          </w:p>
        </w:tc>
        <w:tc>
          <w:tcPr>
            <w:tcW w:w="1448" w:type="dxa"/>
            <w:noWrap/>
            <w:tcMar>
              <w:top w:w="60" w:type="dxa"/>
              <w:left w:w="60" w:type="dxa"/>
              <w:bottom w:w="0" w:type="dxa"/>
              <w:right w:w="60" w:type="dxa"/>
            </w:tcMar>
            <w:vAlign w:val="center"/>
          </w:tcPr>
          <w:p w:rsidR="00E32574" w:rsidRPr="0090022C" w:rsidRDefault="00E32574" w:rsidP="007E7683">
            <w:pPr>
              <w:tabs>
                <w:tab w:val="left" w:pos="770"/>
              </w:tabs>
              <w:spacing w:before="120" w:after="120" w:line="240" w:lineRule="auto"/>
              <w:jc w:val="center"/>
            </w:pPr>
            <w:r w:rsidRPr="0090022C">
              <w:t>0,63</w:t>
            </w:r>
          </w:p>
        </w:tc>
        <w:tc>
          <w:tcPr>
            <w:tcW w:w="3196" w:type="dxa"/>
            <w:vMerge/>
          </w:tcPr>
          <w:p w:rsidR="00E32574" w:rsidRPr="0090022C" w:rsidRDefault="00E32574" w:rsidP="00BA7595">
            <w:pPr>
              <w:spacing w:before="120" w:after="120" w:line="240" w:lineRule="auto"/>
              <w:jc w:val="center"/>
            </w:pPr>
          </w:p>
        </w:tc>
      </w:tr>
      <w:tr w:rsidR="00E32574" w:rsidRPr="0090022C" w:rsidTr="00BA7595">
        <w:trPr>
          <w:trHeight w:val="337"/>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pPr>
            <w:r w:rsidRPr="0090022C">
              <w:t>Outros</w:t>
            </w:r>
          </w:p>
        </w:tc>
        <w:tc>
          <w:tcPr>
            <w:tcW w:w="1448" w:type="dxa"/>
            <w:noWrap/>
            <w:tcMar>
              <w:top w:w="60" w:type="dxa"/>
              <w:left w:w="60" w:type="dxa"/>
              <w:bottom w:w="0" w:type="dxa"/>
              <w:right w:w="60" w:type="dxa"/>
            </w:tcMar>
            <w:vAlign w:val="center"/>
          </w:tcPr>
          <w:p w:rsidR="00E32574" w:rsidRPr="0090022C" w:rsidRDefault="00E32574" w:rsidP="007E7683">
            <w:pPr>
              <w:tabs>
                <w:tab w:val="left" w:pos="770"/>
              </w:tabs>
              <w:spacing w:before="120" w:after="120" w:line="240" w:lineRule="auto"/>
              <w:jc w:val="center"/>
            </w:pPr>
            <w:r w:rsidRPr="0090022C">
              <w:t>10,94</w:t>
            </w:r>
          </w:p>
        </w:tc>
        <w:tc>
          <w:tcPr>
            <w:tcW w:w="3196" w:type="dxa"/>
            <w:vMerge/>
          </w:tcPr>
          <w:p w:rsidR="00E32574" w:rsidRPr="0090022C" w:rsidRDefault="00E32574" w:rsidP="00BA7595">
            <w:pPr>
              <w:spacing w:before="120" w:after="120" w:line="240" w:lineRule="auto"/>
              <w:jc w:val="center"/>
            </w:pPr>
          </w:p>
        </w:tc>
      </w:tr>
      <w:tr w:rsidR="00E32574" w:rsidRPr="0090022C" w:rsidTr="00BA7595">
        <w:trPr>
          <w:trHeight w:val="337"/>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pPr>
            <w:r w:rsidRPr="0090022C">
              <w:t>Matéria Orgânica (MO)</w:t>
            </w:r>
          </w:p>
        </w:tc>
        <w:tc>
          <w:tcPr>
            <w:tcW w:w="1448" w:type="dxa"/>
            <w:noWrap/>
            <w:tcMar>
              <w:top w:w="60" w:type="dxa"/>
              <w:left w:w="60" w:type="dxa"/>
              <w:bottom w:w="0" w:type="dxa"/>
              <w:right w:w="60" w:type="dxa"/>
            </w:tcMar>
            <w:vAlign w:val="center"/>
          </w:tcPr>
          <w:p w:rsidR="00E32574" w:rsidRPr="0090022C" w:rsidRDefault="00E32574" w:rsidP="007E7683">
            <w:pPr>
              <w:tabs>
                <w:tab w:val="left" w:pos="770"/>
              </w:tabs>
              <w:spacing w:before="120" w:after="120" w:line="240" w:lineRule="auto"/>
              <w:jc w:val="center"/>
            </w:pPr>
            <w:r w:rsidRPr="0090022C">
              <w:t>47,49</w:t>
            </w:r>
          </w:p>
        </w:tc>
        <w:tc>
          <w:tcPr>
            <w:tcW w:w="3196" w:type="dxa"/>
          </w:tcPr>
          <w:p w:rsidR="00E32574" w:rsidRPr="0090022C" w:rsidRDefault="00E32574" w:rsidP="00BA7595">
            <w:pPr>
              <w:spacing w:before="120" w:after="120" w:line="240" w:lineRule="auto"/>
              <w:jc w:val="center"/>
            </w:pPr>
            <w:r w:rsidRPr="0090022C">
              <w:t>MO 47,49</w:t>
            </w:r>
          </w:p>
        </w:tc>
      </w:tr>
      <w:tr w:rsidR="00E32574" w:rsidRPr="0090022C" w:rsidTr="00BA7595">
        <w:trPr>
          <w:trHeight w:val="117"/>
          <w:jc w:val="center"/>
        </w:trPr>
        <w:tc>
          <w:tcPr>
            <w:tcW w:w="3701" w:type="dxa"/>
            <w:noWrap/>
            <w:tcMar>
              <w:top w:w="60" w:type="dxa"/>
              <w:left w:w="60" w:type="dxa"/>
              <w:bottom w:w="0" w:type="dxa"/>
              <w:right w:w="60" w:type="dxa"/>
            </w:tcMar>
            <w:vAlign w:val="center"/>
          </w:tcPr>
          <w:p w:rsidR="00E32574" w:rsidRPr="0090022C" w:rsidRDefault="00E32574" w:rsidP="007E7683">
            <w:pPr>
              <w:spacing w:before="120" w:after="120" w:line="240" w:lineRule="auto"/>
              <w:ind w:left="77"/>
              <w:rPr>
                <w:b/>
                <w:bCs/>
              </w:rPr>
            </w:pPr>
            <w:r w:rsidRPr="0090022C">
              <w:rPr>
                <w:b/>
                <w:bCs/>
              </w:rPr>
              <w:t>Total</w:t>
            </w:r>
          </w:p>
        </w:tc>
        <w:tc>
          <w:tcPr>
            <w:tcW w:w="1448" w:type="dxa"/>
            <w:noWrap/>
            <w:tcMar>
              <w:top w:w="60" w:type="dxa"/>
              <w:left w:w="60" w:type="dxa"/>
              <w:bottom w:w="0" w:type="dxa"/>
              <w:right w:w="60" w:type="dxa"/>
            </w:tcMar>
            <w:vAlign w:val="center"/>
          </w:tcPr>
          <w:p w:rsidR="00E32574" w:rsidRPr="0090022C" w:rsidRDefault="00E32574" w:rsidP="007E7683">
            <w:pPr>
              <w:tabs>
                <w:tab w:val="left" w:pos="770"/>
              </w:tabs>
              <w:spacing w:before="120" w:after="120" w:line="240" w:lineRule="auto"/>
              <w:jc w:val="center"/>
            </w:pPr>
            <w:r w:rsidRPr="0090022C">
              <w:t>100,00</w:t>
            </w:r>
          </w:p>
        </w:tc>
        <w:tc>
          <w:tcPr>
            <w:tcW w:w="3196" w:type="dxa"/>
          </w:tcPr>
          <w:p w:rsidR="00E32574" w:rsidRPr="0090022C" w:rsidRDefault="00E32574" w:rsidP="00BA7595">
            <w:pPr>
              <w:spacing w:before="120" w:after="120" w:line="240" w:lineRule="auto"/>
              <w:jc w:val="center"/>
            </w:pPr>
            <w:r w:rsidRPr="0090022C">
              <w:t>100</w:t>
            </w:r>
          </w:p>
        </w:tc>
      </w:tr>
    </w:tbl>
    <w:p w:rsidR="00E32574" w:rsidRPr="0090022C" w:rsidRDefault="00E32574" w:rsidP="007E7683">
      <w:pPr>
        <w:pStyle w:val="Fonte"/>
        <w:ind w:left="426"/>
        <w:rPr>
          <w:b/>
        </w:rPr>
      </w:pPr>
      <w:r w:rsidRPr="0090022C">
        <w:t>Fonte: PEREIRA et al., 2004 (modificado)</w:t>
      </w:r>
    </w:p>
    <w:p w:rsidR="00E32574" w:rsidRPr="008D43D2" w:rsidRDefault="00E32574" w:rsidP="007E7683">
      <w:pPr>
        <w:spacing w:after="0" w:line="360" w:lineRule="auto"/>
        <w:ind w:firstLine="709"/>
        <w:jc w:val="both"/>
        <w:rPr>
          <w:lang w:eastAsia="pt-BR"/>
        </w:rPr>
      </w:pPr>
      <w:r w:rsidRPr="008D43D2">
        <w:rPr>
          <w:lang w:eastAsia="pt-BR"/>
        </w:rPr>
        <w:t xml:space="preserve">O processo de caracterização dos RSU em um município tem como objetivo planejar a forma de disposição final mais adequada a ser aplicada aos resíduos sólidos gerados em uma determinada comunidade; viabilizar a implantação de algum sistema de tratamento, como por exemplo, a compostagem a partir dos resíduos sólidos orgânicos; avaliar a viabilidade do aproveitamento do material inorgânico para instalação de usina de triagem e posterior venda </w:t>
      </w:r>
      <w:r w:rsidRPr="008D43D2">
        <w:rPr>
          <w:lang w:eastAsia="pt-BR"/>
        </w:rPr>
        <w:lastRenderedPageBreak/>
        <w:t xml:space="preserve">dos materiais recicláveis; estas caracterizações são feitas no destino final dos resíduos sólidos (STECH, 1990). </w:t>
      </w:r>
    </w:p>
    <w:p w:rsidR="00E32574" w:rsidRDefault="00E32574" w:rsidP="007E7683">
      <w:pPr>
        <w:spacing w:after="0" w:line="360" w:lineRule="auto"/>
        <w:ind w:firstLine="709"/>
        <w:jc w:val="both"/>
        <w:rPr>
          <w:lang w:eastAsia="pt-BR"/>
        </w:rPr>
      </w:pPr>
      <w:r w:rsidRPr="008D43D2">
        <w:rPr>
          <w:lang w:eastAsia="pt-BR"/>
        </w:rPr>
        <w:t>A coleta dos RSS produzidos nas unidades de saúde, Hospital São José, Policlínica, Unidade do SESP, farmácias e consultórios odontológicos é realizada em separado dos resíduos sólidos domiciliares e comerciais, por motocicleta adaptada com carretinha tipo “camping”.</w:t>
      </w:r>
    </w:p>
    <w:p w:rsidR="00E32574" w:rsidRPr="0090022C" w:rsidRDefault="007E7683" w:rsidP="00971B37">
      <w:pPr>
        <w:pStyle w:val="Titulo"/>
      </w:pPr>
      <w:bookmarkStart w:id="567" w:name="_Toc110334826"/>
      <w:bookmarkStart w:id="568" w:name="_Toc372559164"/>
      <w:bookmarkStart w:id="569" w:name="_Toc372789595"/>
      <w:r>
        <w:t xml:space="preserve">13.5 </w:t>
      </w:r>
      <w:r w:rsidR="00E32574" w:rsidRPr="0090022C">
        <w:t>Acondicionamento, Coleta e Transporte de Resíduos</w:t>
      </w:r>
      <w:bookmarkEnd w:id="567"/>
      <w:bookmarkEnd w:id="568"/>
      <w:bookmarkEnd w:id="569"/>
    </w:p>
    <w:p w:rsidR="00E32574" w:rsidRPr="000C5DD6" w:rsidRDefault="007E7683" w:rsidP="00971B37">
      <w:pPr>
        <w:pStyle w:val="Titulo"/>
      </w:pPr>
      <w:bookmarkStart w:id="570" w:name="_Toc110334827"/>
      <w:bookmarkStart w:id="571" w:name="_Toc372559165"/>
      <w:bookmarkStart w:id="572" w:name="_Toc372789596"/>
      <w:r w:rsidRPr="000C5DD6">
        <w:t>13.5.1</w:t>
      </w:r>
      <w:r w:rsidR="00B67892" w:rsidRPr="000C5DD6">
        <w:t xml:space="preserve"> </w:t>
      </w:r>
      <w:r w:rsidR="00E32574" w:rsidRPr="000C5DD6">
        <w:t>Acondicionamento Adequado</w:t>
      </w:r>
      <w:bookmarkEnd w:id="570"/>
      <w:bookmarkEnd w:id="571"/>
      <w:bookmarkEnd w:id="572"/>
    </w:p>
    <w:p w:rsidR="00E32574" w:rsidRPr="008D43D2" w:rsidRDefault="00E32574" w:rsidP="007E7683">
      <w:pPr>
        <w:spacing w:after="0" w:line="360" w:lineRule="auto"/>
        <w:ind w:firstLine="709"/>
        <w:jc w:val="both"/>
        <w:rPr>
          <w:lang w:eastAsia="pt-BR"/>
        </w:rPr>
      </w:pPr>
      <w:r w:rsidRPr="008D43D2">
        <w:rPr>
          <w:lang w:eastAsia="pt-BR"/>
        </w:rPr>
        <w:t>Acondicionar os resíduos sólidos significa prepará-los para a coleta de forma sanitariamente adequada. A operação de coleta e transporte de resíduo depende da forma do seu acondicionamento, armazenamento e disposição dos recipientes nos dia e horários estabelecidos pela Secretaria Municipal de Transporte e Limpeza Urbana de Aimorés. A população tem, portanto, participação decisiva nesta operação e apesar do envase dos resíduos ser feito predominantemente em sacolas plásticas observa-se outras formas, muitas destas de forma inadequada dificultando a coleta.</w:t>
      </w:r>
    </w:p>
    <w:p w:rsidR="00E32574" w:rsidRPr="008D43D2" w:rsidRDefault="00E32574" w:rsidP="007E7683">
      <w:pPr>
        <w:spacing w:after="0" w:line="360" w:lineRule="auto"/>
        <w:ind w:firstLine="709"/>
        <w:jc w:val="both"/>
        <w:rPr>
          <w:lang w:eastAsia="pt-BR"/>
        </w:rPr>
      </w:pPr>
      <w:r w:rsidRPr="008D43D2">
        <w:rPr>
          <w:lang w:eastAsia="pt-BR"/>
        </w:rPr>
        <w:t>A importância do acondicionamento adequado evita acidentes e a proliferação de vetores; Minimiza o impacto visual e olfativo; Reduz a heterogeneidade dos resíduos favorecendo a coleta seletiva e Facilitar a realização da etapa da coleta.</w:t>
      </w:r>
    </w:p>
    <w:p w:rsidR="00E32574" w:rsidRPr="008D43D2" w:rsidRDefault="00E32574" w:rsidP="007E7683">
      <w:pPr>
        <w:spacing w:after="0" w:line="360" w:lineRule="auto"/>
        <w:ind w:firstLine="709"/>
        <w:jc w:val="both"/>
        <w:rPr>
          <w:lang w:eastAsia="pt-BR"/>
        </w:rPr>
      </w:pPr>
      <w:r w:rsidRPr="008D43D2">
        <w:rPr>
          <w:lang w:eastAsia="pt-BR"/>
        </w:rPr>
        <w:t>Especial atenção deve ser dada ao acondicionamento de resíduos com materiais perfuro cortantes para minimizar riscos de acidentes dos servidores da limpeza. Recomenda-se acondicionar em jornais e/ou colocar em caixa de papelão e identificar de forma a minimizar riscos de causar acidentes.</w:t>
      </w:r>
    </w:p>
    <w:p w:rsidR="00E32574" w:rsidRPr="008D43D2" w:rsidRDefault="00E32574" w:rsidP="007E7683">
      <w:pPr>
        <w:spacing w:after="0" w:line="360" w:lineRule="auto"/>
        <w:ind w:firstLine="709"/>
        <w:jc w:val="both"/>
        <w:rPr>
          <w:lang w:eastAsia="pt-BR"/>
        </w:rPr>
      </w:pPr>
      <w:r w:rsidRPr="008D43D2">
        <w:rPr>
          <w:lang w:eastAsia="pt-BR"/>
        </w:rPr>
        <w:t xml:space="preserve">No município de Aimorés, tanto na sede como nos distritos os RSU em sua maioria é acondicionado em sacolas plásticas procedente das compras. Essas sacolas podem não atender a resistência ideal para esse acondicionamento. Posteriormente o armazenamento temporário dos resíduos, passa a ser depositado diretamente nas calcadas ou, em alguns casos, em lixeiras individuais das residências, ou coletivas. Os excessos dos resíduos nessas lixeiras podem causar desagregação e rompimento das sacolas, podendo se espalhar para o ambiente. </w:t>
      </w:r>
    </w:p>
    <w:p w:rsidR="00E32574" w:rsidRPr="00705554" w:rsidRDefault="00E32574" w:rsidP="007E7683">
      <w:pPr>
        <w:spacing w:after="0" w:line="360" w:lineRule="auto"/>
        <w:ind w:firstLine="709"/>
        <w:jc w:val="both"/>
        <w:rPr>
          <w:spacing w:val="-2"/>
          <w:lang w:eastAsia="pt-BR"/>
        </w:rPr>
      </w:pPr>
      <w:r w:rsidRPr="00705554">
        <w:rPr>
          <w:spacing w:val="-2"/>
          <w:lang w:eastAsia="pt-BR"/>
        </w:rPr>
        <w:lastRenderedPageBreak/>
        <w:t>Já o descarte dos RSU sob as calçadas, facilitam o aparecimento de pequenos e grandes vetores tais como: cães, gatos, ratos, moscas etc. Esta forma de descarte muitas vezes feita fora dos dias e horários da coleta causam uma série de transtornos no âmbito da saúde, qualidade ambiental, impacto visual, obstrução total ou parcial de calcadas e vias, dentre outras.</w:t>
      </w:r>
    </w:p>
    <w:p w:rsidR="00E32574" w:rsidRPr="000C5DD6" w:rsidRDefault="007E7683" w:rsidP="00971B37">
      <w:pPr>
        <w:pStyle w:val="Titulo"/>
      </w:pPr>
      <w:bookmarkStart w:id="573" w:name="_Toc110334828"/>
      <w:bookmarkStart w:id="574" w:name="_Toc372559166"/>
      <w:bookmarkStart w:id="575" w:name="_Toc372789597"/>
      <w:r w:rsidRPr="000C5DD6">
        <w:t>13.5.2</w:t>
      </w:r>
      <w:r w:rsidR="00B67892" w:rsidRPr="000C5DD6">
        <w:t xml:space="preserve"> </w:t>
      </w:r>
      <w:r w:rsidR="00E32574" w:rsidRPr="000C5DD6">
        <w:t xml:space="preserve">Resíduos sólidos </w:t>
      </w:r>
      <w:bookmarkEnd w:id="573"/>
      <w:r w:rsidR="00E32574" w:rsidRPr="000C5DD6">
        <w:t>gerados nos logradouros</w:t>
      </w:r>
      <w:bookmarkEnd w:id="574"/>
      <w:bookmarkEnd w:id="575"/>
    </w:p>
    <w:p w:rsidR="00E32574" w:rsidRPr="008D43D2" w:rsidRDefault="00E32574" w:rsidP="007E7683">
      <w:pPr>
        <w:spacing w:after="0" w:line="360" w:lineRule="auto"/>
        <w:ind w:firstLine="709"/>
        <w:jc w:val="both"/>
        <w:rPr>
          <w:lang w:eastAsia="pt-BR"/>
        </w:rPr>
      </w:pPr>
      <w:r w:rsidRPr="008D43D2">
        <w:rPr>
          <w:lang w:eastAsia="pt-BR"/>
        </w:rPr>
        <w:t>Para acondicionamento do chamado “lixo de rua” propõe-se coletores plásticos ou metálicos do tipo papeleira, com capacidade volumétrica útil de até 20 litros, constituída de corpo para recebimento dos resíduos e suporte metálico. Esses recipientes são próprios para pequenos resíduos e refugos descartados por pedestres em trânsito nos logradouros.</w:t>
      </w:r>
    </w:p>
    <w:p w:rsidR="00E32574" w:rsidRDefault="00E32574" w:rsidP="007E7683">
      <w:pPr>
        <w:spacing w:after="0" w:line="360" w:lineRule="auto"/>
        <w:ind w:firstLine="709"/>
        <w:jc w:val="both"/>
        <w:rPr>
          <w:lang w:eastAsia="pt-BR"/>
        </w:rPr>
      </w:pPr>
      <w:r w:rsidRPr="008D43D2">
        <w:rPr>
          <w:lang w:eastAsia="pt-BR"/>
        </w:rPr>
        <w:t>Devem ser instaladas nas praças, ruas, avenidas e demais locais públicos de trânsito de pessoas, com objetivo de reduzir a quantidade de resíduos sólidos dispostos no solo.</w:t>
      </w:r>
    </w:p>
    <w:p w:rsidR="00E32574" w:rsidRPr="000C5DD6" w:rsidRDefault="007E7683" w:rsidP="00971B37">
      <w:pPr>
        <w:pStyle w:val="Titulo"/>
      </w:pPr>
      <w:bookmarkStart w:id="576" w:name="_Toc372559167"/>
      <w:bookmarkStart w:id="577" w:name="_Toc372789598"/>
      <w:r w:rsidRPr="000C5DD6">
        <w:t xml:space="preserve">13.5.3 </w:t>
      </w:r>
      <w:bookmarkStart w:id="578" w:name="_Toc110334829"/>
      <w:r w:rsidR="00E32574" w:rsidRPr="000C5DD6">
        <w:t>Resíduos sólidos domiciliar</w:t>
      </w:r>
      <w:bookmarkEnd w:id="578"/>
      <w:r w:rsidR="00E32574" w:rsidRPr="000C5DD6">
        <w:t>es</w:t>
      </w:r>
      <w:bookmarkEnd w:id="576"/>
      <w:bookmarkEnd w:id="577"/>
    </w:p>
    <w:p w:rsidR="00E32574" w:rsidRDefault="00E32574" w:rsidP="00705554">
      <w:pPr>
        <w:spacing w:after="0" w:line="360" w:lineRule="auto"/>
        <w:ind w:firstLine="709"/>
        <w:jc w:val="both"/>
        <w:rPr>
          <w:spacing w:val="-2"/>
          <w:lang w:eastAsia="pt-BR"/>
        </w:rPr>
      </w:pPr>
      <w:r w:rsidRPr="00705554">
        <w:rPr>
          <w:spacing w:val="-2"/>
          <w:lang w:eastAsia="pt-BR"/>
        </w:rPr>
        <w:t>Apesar de existir o serviço de coleta de resíduos foram observados tanto na sede como nos distritos o surgimento de pontos de acumulação de resíduos sólidos domiciliar, expostos indevidamente ou espalhados nos logradouros principalmente por cães para ter acesso aos restos de alimentos, prejudicando o ambiente e arriscando a saúde pública. Para reduzir a ação danosa recomenda-se que população desses locais seja instruída a colocar as embalagens ou coletores de resíduos sólidos à disposição no passeio próximo ao horário programado de coleta.</w:t>
      </w:r>
    </w:p>
    <w:p w:rsidR="00E32574" w:rsidRPr="000C5DD6" w:rsidRDefault="007E7683" w:rsidP="00971B37">
      <w:pPr>
        <w:pStyle w:val="Titulo"/>
      </w:pPr>
      <w:bookmarkStart w:id="579" w:name="_Toc110334830"/>
      <w:bookmarkStart w:id="580" w:name="_Toc372559168"/>
      <w:bookmarkStart w:id="581" w:name="_Toc372789599"/>
      <w:r w:rsidRPr="000C5DD6">
        <w:t>13.5.</w:t>
      </w:r>
      <w:r w:rsidR="001F0E0C">
        <w:t>4</w:t>
      </w:r>
      <w:r w:rsidRPr="000C5DD6">
        <w:t xml:space="preserve"> </w:t>
      </w:r>
      <w:r w:rsidR="00E32574" w:rsidRPr="000C5DD6">
        <w:t>Materiais Recicláveis</w:t>
      </w:r>
      <w:bookmarkEnd w:id="579"/>
      <w:bookmarkEnd w:id="580"/>
      <w:bookmarkEnd w:id="581"/>
    </w:p>
    <w:p w:rsidR="00E32574" w:rsidRPr="008D43D2" w:rsidRDefault="00E32574" w:rsidP="007E7683">
      <w:pPr>
        <w:spacing w:after="0" w:line="360" w:lineRule="auto"/>
        <w:ind w:firstLine="709"/>
        <w:jc w:val="both"/>
        <w:rPr>
          <w:lang w:eastAsia="pt-BR"/>
        </w:rPr>
      </w:pPr>
      <w:r w:rsidRPr="008D43D2">
        <w:rPr>
          <w:lang w:eastAsia="pt-BR"/>
        </w:rPr>
        <w:t>Apesar de Aimorés contar com uma UTC ainda não há um serviço estruturado que contemple a coleta seletiva. A mesma deve ser “institucionalizada”, com dias e horário amplamente divulgado na comunidade, sendo esta uma iniciativa muito importante que precisa ser conjugada a ao empenho da população para fazer a separação adequada dos materiais potencialmente recicláveis -“LIXO SECO”, daqueles materiais descartáveis -“LIXO ORGÂNICO” (Cascas e bagaços, restos de alimentos, cascas de ovos, folhas secas, podas de árvores e capina) objeto da coleta domiciliar regular em suas residências e/ou locais de trabalho.</w:t>
      </w:r>
    </w:p>
    <w:p w:rsidR="00E32574" w:rsidRPr="008D43D2" w:rsidRDefault="00E32574" w:rsidP="007E7683">
      <w:pPr>
        <w:spacing w:after="0" w:line="360" w:lineRule="auto"/>
        <w:ind w:firstLine="709"/>
        <w:jc w:val="both"/>
        <w:rPr>
          <w:lang w:eastAsia="pt-BR"/>
        </w:rPr>
      </w:pPr>
      <w:r w:rsidRPr="008D43D2">
        <w:rPr>
          <w:lang w:eastAsia="pt-BR"/>
        </w:rPr>
        <w:lastRenderedPageBreak/>
        <w:t>Não é necessário que o cidadão faça a separação por tipo dos materiais potencialmente recicláveis. Secos e limpos os resíduos podem ser dispostos no mesmo saco ou recipiente. O uso de coletores seletivos para vidro, metal, papel, plástico etc., deve ter caráter inicialmente educativo, como na sua aplicação em escolas, prédios e locais públicos.</w:t>
      </w:r>
    </w:p>
    <w:p w:rsidR="00E32574" w:rsidRPr="008D43D2" w:rsidRDefault="00E32574" w:rsidP="007E7683">
      <w:pPr>
        <w:spacing w:after="0" w:line="360" w:lineRule="auto"/>
        <w:ind w:firstLine="709"/>
        <w:jc w:val="both"/>
        <w:rPr>
          <w:lang w:eastAsia="pt-BR"/>
        </w:rPr>
      </w:pPr>
      <w:r w:rsidRPr="008D43D2">
        <w:rPr>
          <w:lang w:eastAsia="pt-BR"/>
        </w:rPr>
        <w:t>A separação da fração orgânica dos resíduos sólidos ajudam a manter a qualidade do composto orgânico a ser produzido na UTC em Aimorés.</w:t>
      </w:r>
    </w:p>
    <w:p w:rsidR="00E32574" w:rsidRDefault="00E32574" w:rsidP="007E7683">
      <w:pPr>
        <w:spacing w:after="0" w:line="360" w:lineRule="auto"/>
        <w:ind w:firstLine="709"/>
        <w:jc w:val="both"/>
        <w:rPr>
          <w:lang w:eastAsia="pt-BR"/>
        </w:rPr>
      </w:pPr>
      <w:r w:rsidRPr="008D43D2">
        <w:rPr>
          <w:lang w:eastAsia="pt-BR"/>
        </w:rPr>
        <w:t>As iniciativas de coleta de recicláveis pela sociedade devem ser apoiadas e incentivadas pelo poder público.</w:t>
      </w:r>
    </w:p>
    <w:p w:rsidR="00E32574" w:rsidRPr="000C5DD6" w:rsidRDefault="007E7683" w:rsidP="00971B37">
      <w:pPr>
        <w:pStyle w:val="Titulo"/>
      </w:pPr>
      <w:bookmarkStart w:id="582" w:name="_Toc110334831"/>
      <w:bookmarkStart w:id="583" w:name="_Toc372559169"/>
      <w:bookmarkStart w:id="584" w:name="_Toc372789600"/>
      <w:r w:rsidRPr="000C5DD6">
        <w:t>13.5.</w:t>
      </w:r>
      <w:r w:rsidR="001F0E0C">
        <w:t>5</w:t>
      </w:r>
      <w:r w:rsidR="00B67892" w:rsidRPr="000C5DD6">
        <w:t xml:space="preserve"> </w:t>
      </w:r>
      <w:r w:rsidR="00E32574" w:rsidRPr="000C5DD6">
        <w:t>Resíduos de Serviços de Saúde</w:t>
      </w:r>
      <w:bookmarkEnd w:id="582"/>
      <w:r w:rsidR="00E32574" w:rsidRPr="000C5DD6">
        <w:t xml:space="preserve"> (RSS)</w:t>
      </w:r>
      <w:bookmarkEnd w:id="583"/>
      <w:bookmarkEnd w:id="584"/>
    </w:p>
    <w:p w:rsidR="00E32574" w:rsidRPr="008D43D2" w:rsidRDefault="00E32574" w:rsidP="007E7683">
      <w:pPr>
        <w:spacing w:after="0" w:line="360" w:lineRule="auto"/>
        <w:ind w:firstLine="709"/>
        <w:jc w:val="both"/>
        <w:rPr>
          <w:lang w:eastAsia="pt-BR"/>
        </w:rPr>
      </w:pPr>
      <w:r w:rsidRPr="008D43D2">
        <w:rPr>
          <w:lang w:eastAsia="pt-BR"/>
        </w:rPr>
        <w:t>O manuseio de resíduos de serviços de saúde está regulamentado pela norma NBR 12.809 da ABNT e compreende os cuidados que se deve ter para segregar os resíduos na fonte e para lidar com os resíduos perigosos.</w:t>
      </w:r>
    </w:p>
    <w:p w:rsidR="00E32574" w:rsidRPr="008D43D2" w:rsidRDefault="00E32574" w:rsidP="007E7683">
      <w:pPr>
        <w:spacing w:after="0" w:line="360" w:lineRule="auto"/>
        <w:ind w:firstLine="709"/>
        <w:jc w:val="both"/>
        <w:rPr>
          <w:lang w:eastAsia="pt-BR"/>
        </w:rPr>
      </w:pPr>
      <w:r w:rsidRPr="008D43D2">
        <w:rPr>
          <w:lang w:eastAsia="pt-BR"/>
        </w:rPr>
        <w:t>O procedimento mais importante no manuseio de RSS é separar, na origem, o lixo infectante dos resíduos comuns, uma vez que o primeiro representa apenas de 10 a 15% do total de resíduos e o lixo comum não necessita de maiores cuidados.</w:t>
      </w:r>
    </w:p>
    <w:p w:rsidR="00E32574" w:rsidRDefault="00E32574" w:rsidP="007E7683">
      <w:pPr>
        <w:spacing w:after="0" w:line="360" w:lineRule="auto"/>
        <w:ind w:firstLine="709"/>
        <w:jc w:val="both"/>
        <w:rPr>
          <w:lang w:eastAsia="pt-BR"/>
        </w:rPr>
      </w:pPr>
      <w:r w:rsidRPr="008D43D2">
        <w:rPr>
          <w:lang w:eastAsia="pt-BR"/>
        </w:rPr>
        <w:t xml:space="preserve">Os RSS coletados são encaminhados para uma vala construída exclusivamente para este tipo de resíduo, cuja capacidade de armazenamento é de 312,0 m3 (13,0 m comprimento X 4,0 m de largura X 6,0 m altura), mas que já se encontra esgotada (Figura </w:t>
      </w:r>
      <w:r w:rsidR="007E7683">
        <w:rPr>
          <w:lang w:eastAsia="pt-BR"/>
        </w:rPr>
        <w:t>164</w:t>
      </w:r>
      <w:r w:rsidRPr="008D43D2">
        <w:rPr>
          <w:lang w:eastAsia="pt-BR"/>
        </w:rPr>
        <w:t>), sendo necessário e em caráter de urgência construir uma nova vala.</w:t>
      </w:r>
    </w:p>
    <w:p w:rsidR="007E7683" w:rsidRPr="008D43D2" w:rsidRDefault="007E7683" w:rsidP="007E7683">
      <w:pPr>
        <w:spacing w:line="360" w:lineRule="auto"/>
        <w:ind w:firstLine="708"/>
        <w:jc w:val="both"/>
        <w:rPr>
          <w:lang w:eastAsia="pt-BR"/>
        </w:rPr>
      </w:pPr>
      <w:r w:rsidRPr="008D43D2">
        <w:rPr>
          <w:lang w:eastAsia="pt-BR"/>
        </w:rPr>
        <w:t xml:space="preserve">Na Figura </w:t>
      </w:r>
      <w:r>
        <w:rPr>
          <w:lang w:eastAsia="pt-BR"/>
        </w:rPr>
        <w:t>164</w:t>
      </w:r>
      <w:r w:rsidRPr="008D43D2">
        <w:rPr>
          <w:lang w:eastAsia="pt-BR"/>
        </w:rPr>
        <w:t xml:space="preserve"> pode-se perceber que há uma lona plástica (cor preta) cobrindo parcialmente os RSS. A porção não coberta pela lona aparece sacolas plásticas de diferentes cores demonstrando que há mistura de resíduos infectantes (saco plástico branco) com sacos plásticos azuis de resíduos não infectante, além de resíduos perfu</w:t>
      </w:r>
      <w:r w:rsidR="001277BE">
        <w:rPr>
          <w:lang w:eastAsia="pt-BR"/>
        </w:rPr>
        <w:t>r</w:t>
      </w:r>
      <w:r w:rsidRPr="008D43D2">
        <w:rPr>
          <w:lang w:eastAsia="pt-BR"/>
        </w:rPr>
        <w:t>o</w:t>
      </w:r>
      <w:r w:rsidR="001277BE">
        <w:rPr>
          <w:lang w:eastAsia="pt-BR"/>
        </w:rPr>
        <w:t>co</w:t>
      </w:r>
      <w:r w:rsidRPr="008D43D2">
        <w:rPr>
          <w:lang w:eastAsia="pt-BR"/>
        </w:rPr>
        <w:t xml:space="preserve">rtantes expostos (Figura </w:t>
      </w:r>
      <w:r>
        <w:rPr>
          <w:lang w:eastAsia="pt-BR"/>
        </w:rPr>
        <w:t>165</w:t>
      </w:r>
      <w:r w:rsidRPr="008D43D2">
        <w:rPr>
          <w:lang w:eastAsia="pt-BR"/>
        </w:rPr>
        <w:t>), aspecto indesejável sob o ponto de vista legal e operacional.</w:t>
      </w:r>
    </w:p>
    <w:p w:rsidR="007E7683" w:rsidRDefault="007E7683">
      <w:pPr>
        <w:spacing w:after="200" w:line="276" w:lineRule="auto"/>
        <w:rPr>
          <w:rFonts w:eastAsiaTheme="minorEastAsia" w:cs="Times New Roman"/>
          <w:b/>
          <w:bCs/>
          <w:szCs w:val="24"/>
          <w:lang w:eastAsia="pt-BR"/>
        </w:rPr>
      </w:pPr>
      <w:bookmarkStart w:id="585" w:name="_Toc372117217"/>
      <w:bookmarkStart w:id="586" w:name="_Toc110226410"/>
      <w:r>
        <w:rPr>
          <w:b/>
        </w:rPr>
        <w:br w:type="page"/>
      </w:r>
    </w:p>
    <w:p w:rsidR="00E32574" w:rsidRPr="007E7683" w:rsidRDefault="00291A25" w:rsidP="00291A25">
      <w:pPr>
        <w:pStyle w:val="Legenda"/>
        <w:rPr>
          <w:b w:val="0"/>
        </w:rPr>
      </w:pPr>
      <w:bookmarkStart w:id="587" w:name="_Toc372740247"/>
      <w:bookmarkEnd w:id="585"/>
      <w:bookmarkEnd w:id="586"/>
      <w:r>
        <w:lastRenderedPageBreak/>
        <w:t xml:space="preserve">Figura </w:t>
      </w:r>
      <w:fldSimple w:instr=" SEQ Figura \* ARABIC ">
        <w:r w:rsidR="004F77E2">
          <w:rPr>
            <w:noProof/>
          </w:rPr>
          <w:t>164</w:t>
        </w:r>
      </w:fldSimple>
      <w:r>
        <w:t xml:space="preserve"> - </w:t>
      </w:r>
      <w:r w:rsidRPr="00C90404">
        <w:t>Aspecto visual da vala de RSS localizado na área do aterro controlado de Aimorés.</w:t>
      </w:r>
      <w:bookmarkEnd w:id="587"/>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568853" cy="2893167"/>
            <wp:effectExtent l="19050" t="19050" r="22197" b="21483"/>
            <wp:docPr id="218" name="Imagem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6"/>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618988" cy="2924914"/>
                    </a:xfrm>
                    <a:prstGeom prst="rect">
                      <a:avLst/>
                    </a:prstGeom>
                    <a:noFill/>
                    <a:ln w="12700" cmpd="sng">
                      <a:solidFill>
                        <a:srgbClr val="000000"/>
                      </a:solidFill>
                      <a:miter lim="800000"/>
                      <a:headEnd/>
                      <a:tailEnd/>
                    </a:ln>
                    <a:effectLst/>
                  </pic:spPr>
                </pic:pic>
              </a:graphicData>
            </a:graphic>
          </wp:inline>
        </w:drawing>
      </w:r>
    </w:p>
    <w:p w:rsidR="00E32574" w:rsidRPr="0090022C" w:rsidRDefault="00E32574" w:rsidP="007E7683">
      <w:pPr>
        <w:pStyle w:val="Fonte"/>
        <w:ind w:left="708" w:firstLine="143"/>
      </w:pPr>
      <w:r w:rsidRPr="0090022C">
        <w:t xml:space="preserve">Fonte: </w:t>
      </w:r>
      <w:r w:rsidR="007E7683">
        <w:t xml:space="preserve">Fundação Educacional de Caratinga </w:t>
      </w:r>
      <w:r w:rsidRPr="0090022C">
        <w:t>(2013)</w:t>
      </w:r>
    </w:p>
    <w:p w:rsidR="00B67892" w:rsidRPr="00F6688F" w:rsidRDefault="00291A25" w:rsidP="00291A25">
      <w:pPr>
        <w:pStyle w:val="Legenda"/>
        <w:rPr>
          <w:b w:val="0"/>
        </w:rPr>
      </w:pPr>
      <w:bookmarkStart w:id="588" w:name="_Toc372740248"/>
      <w:r>
        <w:t xml:space="preserve">Figura </w:t>
      </w:r>
      <w:fldSimple w:instr=" SEQ Figura \* ARABIC ">
        <w:r w:rsidR="004F77E2">
          <w:rPr>
            <w:noProof/>
          </w:rPr>
          <w:t>165</w:t>
        </w:r>
      </w:fldSimple>
      <w:r>
        <w:t xml:space="preserve"> - </w:t>
      </w:r>
      <w:r w:rsidRPr="000F6953">
        <w:rPr>
          <w:noProof/>
        </w:rPr>
        <w:t>Exposição de resíduos perfurocortantes na vala de RSS.</w:t>
      </w:r>
      <w:bookmarkEnd w:id="588"/>
    </w:p>
    <w:p w:rsidR="00E32574" w:rsidRPr="000B3308" w:rsidRDefault="00986205" w:rsidP="000B3308">
      <w:pPr>
        <w:spacing w:after="0" w:line="240" w:lineRule="auto"/>
        <w:jc w:val="center"/>
        <w:rPr>
          <w:noProof/>
          <w:lang w:eastAsia="pt-BR"/>
        </w:rPr>
      </w:pPr>
      <w:r>
        <w:rPr>
          <w:noProof/>
          <w:lang w:eastAsia="pt-BR"/>
        </w:rPr>
        <mc:AlternateContent>
          <mc:Choice Requires="wps">
            <w:drawing>
              <wp:anchor distT="0" distB="0" distL="114300" distR="114300" simplePos="0" relativeHeight="251680768" behindDoc="0" locked="0" layoutInCell="1" allowOverlap="1">
                <wp:simplePos x="0" y="0"/>
                <wp:positionH relativeFrom="column">
                  <wp:posOffset>2701290</wp:posOffset>
                </wp:positionH>
                <wp:positionV relativeFrom="paragraph">
                  <wp:posOffset>1324610</wp:posOffset>
                </wp:positionV>
                <wp:extent cx="1104900" cy="1045845"/>
                <wp:effectExtent l="0" t="0" r="19050" b="20955"/>
                <wp:wrapNone/>
                <wp:docPr id="31"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1045845"/>
                        </a:xfrm>
                        <a:prstGeom prst="flowChartConnector">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0123F4" id="_x0000_t120" coordsize="21600,21600" o:spt="120" path="m10800,qx,10800,10800,21600,21600,10800,10800,xe">
                <v:path gradientshapeok="t" o:connecttype="custom" o:connectlocs="10800,0;3163,3163;0,10800;3163,18437;10800,21600;18437,18437;21600,10800;18437,3163" textboxrect="3163,3163,18437,18437"/>
              </v:shapetype>
              <v:shape id="AutoShape 21" o:spid="_x0000_s1026" type="#_x0000_t120" style="position:absolute;margin-left:212.7pt;margin-top:104.3pt;width:87pt;height:82.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" filled="f" strokecolor="red" strokeweight="1.5pt"/>
            </w:pict>
          </mc:Fallback>
        </mc:AlternateContent>
      </w:r>
      <w:r w:rsidR="00E32574" w:rsidRPr="000B3308">
        <w:rPr>
          <w:noProof/>
          <w:lang w:eastAsia="pt-BR"/>
        </w:rPr>
        <w:drawing>
          <wp:inline distT="0" distB="0" distL="0" distR="0">
            <wp:extent cx="4647408" cy="3461492"/>
            <wp:effectExtent l="19050" t="19050" r="19842" b="24658"/>
            <wp:docPr id="217" name="Imagem 217" descr="DSC0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DSC0061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67282" cy="3476295"/>
                    </a:xfrm>
                    <a:prstGeom prst="rect">
                      <a:avLst/>
                    </a:prstGeom>
                    <a:noFill/>
                    <a:ln w="12700" cmpd="sng">
                      <a:solidFill>
                        <a:srgbClr val="000000"/>
                      </a:solidFill>
                      <a:miter lim="800000"/>
                      <a:headEnd/>
                      <a:tailEnd/>
                    </a:ln>
                    <a:effectLst/>
                  </pic:spPr>
                </pic:pic>
              </a:graphicData>
            </a:graphic>
          </wp:inline>
        </w:drawing>
      </w:r>
    </w:p>
    <w:p w:rsidR="00F6688F" w:rsidRPr="0090022C" w:rsidRDefault="00F6688F" w:rsidP="00F6688F">
      <w:pPr>
        <w:pStyle w:val="Fonte"/>
        <w:ind w:left="708" w:firstLine="143"/>
      </w:pPr>
      <w:r w:rsidRPr="0090022C">
        <w:t xml:space="preserve">Fonte: </w:t>
      </w:r>
      <w:r>
        <w:t xml:space="preserve">Fundação Educacional de Caratinga </w:t>
      </w:r>
      <w:r w:rsidRPr="0090022C">
        <w:t>(2013)</w:t>
      </w:r>
    </w:p>
    <w:p w:rsidR="00E32574" w:rsidRPr="008D43D2" w:rsidRDefault="00E32574" w:rsidP="00F6688F">
      <w:pPr>
        <w:spacing w:after="0" w:line="360" w:lineRule="auto"/>
        <w:ind w:firstLine="709"/>
        <w:jc w:val="both"/>
        <w:rPr>
          <w:lang w:eastAsia="pt-BR"/>
        </w:rPr>
      </w:pPr>
      <w:r w:rsidRPr="008D43D2">
        <w:rPr>
          <w:lang w:eastAsia="pt-BR"/>
        </w:rPr>
        <w:lastRenderedPageBreak/>
        <w:t xml:space="preserve">A forma como os RSS vêm sendo geridos em Aimorés pode se inferir que está em desacordo com a Resolução da Diretoria Colegiada (RDC) da Agência Nacional de Vigilância Sanitária (ANVISA), nº 306, de 7 de dezembro de 2004, que dispõe sobre o Regulamento Técnico para o gerenciamento de RSS. Neste contexto faz-se necessário que sejam exigidos dos gerados que invistam em capacitação e cumpram a supracitada Resolução. </w:t>
      </w:r>
    </w:p>
    <w:p w:rsidR="00E32574" w:rsidRPr="008D43D2" w:rsidRDefault="00E32574" w:rsidP="00F6688F">
      <w:pPr>
        <w:spacing w:after="0" w:line="360" w:lineRule="auto"/>
        <w:ind w:firstLine="709"/>
        <w:jc w:val="both"/>
        <w:rPr>
          <w:lang w:eastAsia="pt-BR"/>
        </w:rPr>
      </w:pPr>
      <w:r w:rsidRPr="008D43D2">
        <w:rPr>
          <w:lang w:eastAsia="pt-BR"/>
        </w:rPr>
        <w:t xml:space="preserve">A vala foi escavada no solo (5,0 m de profundidade) e, em seguida, foi feita a impermeabilização da base com concreto e as laterais revestidas com blocos de cimento. O nível das paredes laterais ultrapassou 1,0 m além da superfície do solo e sobre a área da vala há uma cobertura com telhas de amianto (Figura </w:t>
      </w:r>
      <w:r w:rsidR="00F6688F">
        <w:rPr>
          <w:lang w:eastAsia="pt-BR"/>
        </w:rPr>
        <w:t>166</w:t>
      </w:r>
      <w:r w:rsidRPr="008D43D2">
        <w:rPr>
          <w:lang w:eastAsia="pt-BR"/>
        </w:rPr>
        <w:t xml:space="preserve">). </w:t>
      </w:r>
    </w:p>
    <w:p w:rsidR="00B67892" w:rsidRPr="003E1CEC" w:rsidRDefault="00291A25" w:rsidP="00291A25">
      <w:pPr>
        <w:pStyle w:val="Legenda"/>
      </w:pPr>
      <w:bookmarkStart w:id="589" w:name="_Toc372740249"/>
      <w:r>
        <w:t xml:space="preserve">Figura </w:t>
      </w:r>
      <w:fldSimple w:instr=" SEQ Figura \* ARABIC ">
        <w:r w:rsidR="004F77E2">
          <w:rPr>
            <w:noProof/>
          </w:rPr>
          <w:t>166</w:t>
        </w:r>
      </w:fldSimple>
      <w:r>
        <w:t xml:space="preserve"> - </w:t>
      </w:r>
      <w:r w:rsidRPr="006E0416">
        <w:rPr>
          <w:noProof/>
        </w:rPr>
        <w:t>Aspecto visual da vala onde é feito o descarte dos RSS.</w:t>
      </w:r>
      <w:bookmarkEnd w:id="589"/>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676570" cy="4059936"/>
            <wp:effectExtent l="19050" t="19050" r="10160" b="17145"/>
            <wp:docPr id="216" name="Imagem 216" descr="DSC00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DSC00619"/>
                    <pic:cNvPicPr>
                      <a:picLocks noChangeAspect="1" noChangeArrowheads="1"/>
                    </pic:cNvPicPr>
                  </pic:nvPicPr>
                  <pic:blipFill>
                    <a:blip r:embed="rId233" cstate="print">
                      <a:extLst>
                        <a:ext uri="{28A0092B-C50C-407E-A947-70E740481C1C}">
                          <a14:useLocalDpi xmlns:a14="http://schemas.microsoft.com/office/drawing/2010/main" val="0"/>
                        </a:ext>
                      </a:extLst>
                    </a:blip>
                    <a:srcRect r="13895"/>
                    <a:stretch>
                      <a:fillRect/>
                    </a:stretch>
                  </pic:blipFill>
                  <pic:spPr bwMode="auto">
                    <a:xfrm>
                      <a:off x="0" y="0"/>
                      <a:ext cx="4704834" cy="4084473"/>
                    </a:xfrm>
                    <a:prstGeom prst="rect">
                      <a:avLst/>
                    </a:prstGeom>
                    <a:noFill/>
                    <a:ln w="12700" cmpd="sng">
                      <a:solidFill>
                        <a:srgbClr val="000000"/>
                      </a:solidFill>
                      <a:miter lim="800000"/>
                      <a:headEnd/>
                      <a:tailEnd/>
                    </a:ln>
                    <a:effectLst/>
                  </pic:spPr>
                </pic:pic>
              </a:graphicData>
            </a:graphic>
          </wp:inline>
        </w:drawing>
      </w:r>
    </w:p>
    <w:p w:rsidR="00F6688F" w:rsidRPr="0090022C" w:rsidRDefault="00F6688F" w:rsidP="00F6688F">
      <w:pPr>
        <w:pStyle w:val="Fonte"/>
        <w:ind w:left="708" w:firstLine="143"/>
      </w:pPr>
      <w:r w:rsidRPr="0090022C">
        <w:t xml:space="preserve">Fonte: </w:t>
      </w:r>
      <w:r>
        <w:t xml:space="preserve">Fundação Educacional de Caratinga </w:t>
      </w:r>
      <w:r w:rsidRPr="0090022C">
        <w:t>(2013)</w:t>
      </w:r>
    </w:p>
    <w:p w:rsidR="00E32574" w:rsidRPr="008D43D2" w:rsidRDefault="00E32574" w:rsidP="00F6688F">
      <w:pPr>
        <w:spacing w:after="0" w:line="360" w:lineRule="auto"/>
        <w:ind w:firstLine="709"/>
        <w:jc w:val="both"/>
        <w:rPr>
          <w:lang w:eastAsia="pt-BR"/>
        </w:rPr>
      </w:pPr>
      <w:r w:rsidRPr="008D43D2">
        <w:rPr>
          <w:lang w:eastAsia="pt-BR"/>
        </w:rPr>
        <w:t>Informações obtidas com o Gerente da UTC/aterro controlado é que a vala dos RSS será lacrada com uma laje pois a mesma está lotada, a dificuldade para construir uma nova vala é a indisponibilidade de área na UTC/aterro.</w:t>
      </w:r>
    </w:p>
    <w:p w:rsidR="00E32574" w:rsidRPr="008D43D2" w:rsidRDefault="00E32574" w:rsidP="00F6688F">
      <w:pPr>
        <w:spacing w:after="0" w:line="360" w:lineRule="auto"/>
        <w:ind w:firstLine="709"/>
        <w:jc w:val="both"/>
        <w:rPr>
          <w:lang w:eastAsia="pt-BR"/>
        </w:rPr>
      </w:pPr>
      <w:r w:rsidRPr="008D43D2">
        <w:rPr>
          <w:lang w:eastAsia="pt-BR"/>
        </w:rPr>
        <w:lastRenderedPageBreak/>
        <w:t xml:space="preserve">Os animais mortos e ossadas de animais abatidos são confinados em uma vala construída na área do aterro especificamente para esta finalidade (Figura </w:t>
      </w:r>
      <w:r w:rsidR="00F6688F">
        <w:rPr>
          <w:lang w:eastAsia="pt-BR"/>
        </w:rPr>
        <w:t>167</w:t>
      </w:r>
      <w:r w:rsidRPr="008D43D2">
        <w:rPr>
          <w:lang w:eastAsia="pt-BR"/>
        </w:rPr>
        <w:t>), sendo utilizado óxido de cálcio (cal hidratada) toda a vez que os resíduos são descartados.</w:t>
      </w:r>
    </w:p>
    <w:p w:rsidR="00B67892" w:rsidRPr="003E1CEC" w:rsidRDefault="00291A25" w:rsidP="00291A25">
      <w:pPr>
        <w:pStyle w:val="Legenda"/>
      </w:pPr>
      <w:bookmarkStart w:id="590" w:name="_Toc372740250"/>
      <w:r>
        <w:t xml:space="preserve">Figura </w:t>
      </w:r>
      <w:fldSimple w:instr=" SEQ Figura \* ARABIC ">
        <w:r w:rsidR="004F77E2">
          <w:rPr>
            <w:noProof/>
          </w:rPr>
          <w:t>167</w:t>
        </w:r>
      </w:fldSimple>
      <w:r>
        <w:t xml:space="preserve"> - </w:t>
      </w:r>
      <w:r w:rsidRPr="004A02FC">
        <w:rPr>
          <w:noProof/>
        </w:rPr>
        <w:t>Aspecto visual da vala para descarte de ossos e animais mortos.</w:t>
      </w:r>
      <w:bookmarkEnd w:id="590"/>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417547" cy="5499156"/>
            <wp:effectExtent l="38100" t="19050" r="21103" b="25344"/>
            <wp:docPr id="215" name="Imagem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9"/>
                    <pic:cNvPicPr>
                      <a:picLocks noChangeAspect="1" noChangeArrowheads="1"/>
                    </pic:cNvPicPr>
                  </pic:nvPicPr>
                  <pic:blipFill>
                    <a:blip r:embed="rId234" cstate="print">
                      <a:extLst>
                        <a:ext uri="{28A0092B-C50C-407E-A947-70E740481C1C}">
                          <a14:useLocalDpi xmlns:a14="http://schemas.microsoft.com/office/drawing/2010/main" val="0"/>
                        </a:ext>
                      </a:extLst>
                    </a:blip>
                    <a:srcRect l="9892" r="5742"/>
                    <a:stretch>
                      <a:fillRect/>
                    </a:stretch>
                  </pic:blipFill>
                  <pic:spPr bwMode="auto">
                    <a:xfrm>
                      <a:off x="0" y="0"/>
                      <a:ext cx="4439907" cy="5526991"/>
                    </a:xfrm>
                    <a:prstGeom prst="rect">
                      <a:avLst/>
                    </a:prstGeom>
                    <a:noFill/>
                    <a:ln w="12700" cmpd="sng">
                      <a:solidFill>
                        <a:srgbClr val="000000"/>
                      </a:solidFill>
                      <a:miter lim="800000"/>
                      <a:headEnd/>
                      <a:tailEnd/>
                    </a:ln>
                    <a:effectLst/>
                  </pic:spPr>
                </pic:pic>
              </a:graphicData>
            </a:graphic>
          </wp:inline>
        </w:drawing>
      </w:r>
    </w:p>
    <w:p w:rsidR="00F6688F" w:rsidRPr="0090022C" w:rsidRDefault="00F6688F" w:rsidP="00466071">
      <w:pPr>
        <w:pStyle w:val="Fonte"/>
        <w:ind w:left="708" w:firstLine="285"/>
      </w:pPr>
      <w:r w:rsidRPr="0090022C">
        <w:t xml:space="preserve">Fonte: </w:t>
      </w:r>
      <w:r>
        <w:t xml:space="preserve">Fundação Educacional de Caratinga </w:t>
      </w:r>
      <w:r w:rsidRPr="0090022C">
        <w:t>(2013)</w:t>
      </w:r>
    </w:p>
    <w:p w:rsidR="00E32574" w:rsidRPr="00B67892" w:rsidRDefault="00E32574" w:rsidP="008D43D2">
      <w:pPr>
        <w:spacing w:line="360" w:lineRule="auto"/>
        <w:ind w:firstLine="708"/>
        <w:jc w:val="both"/>
        <w:rPr>
          <w:spacing w:val="-6"/>
          <w:lang w:eastAsia="pt-BR"/>
        </w:rPr>
      </w:pPr>
      <w:r w:rsidRPr="00B67892">
        <w:rPr>
          <w:spacing w:val="-6"/>
          <w:lang w:eastAsia="pt-BR"/>
        </w:rPr>
        <w:t xml:space="preserve">Em relação ao aterro controlado quando o mesmo foi visitado, no mês de setembro de 2013, havia a presença de urubus (Figura </w:t>
      </w:r>
      <w:r w:rsidR="00F6688F">
        <w:rPr>
          <w:spacing w:val="-6"/>
          <w:lang w:eastAsia="pt-BR"/>
        </w:rPr>
        <w:t>168</w:t>
      </w:r>
      <w:r w:rsidRPr="00B67892">
        <w:rPr>
          <w:spacing w:val="-6"/>
          <w:lang w:eastAsia="pt-BR"/>
        </w:rPr>
        <w:t xml:space="preserve">) pois, os resíduos estavam descobertos (Figura </w:t>
      </w:r>
      <w:r w:rsidR="00F6688F">
        <w:rPr>
          <w:spacing w:val="-6"/>
          <w:lang w:eastAsia="pt-BR"/>
        </w:rPr>
        <w:t xml:space="preserve">169 Foto </w:t>
      </w:r>
      <w:r w:rsidRPr="00B67892">
        <w:rPr>
          <w:spacing w:val="-6"/>
          <w:lang w:eastAsia="pt-BR"/>
        </w:rPr>
        <w:t xml:space="preserve">A e </w:t>
      </w:r>
      <w:r w:rsidR="00F6688F">
        <w:rPr>
          <w:spacing w:val="-6"/>
          <w:lang w:eastAsia="pt-BR"/>
        </w:rPr>
        <w:t xml:space="preserve">Foto </w:t>
      </w:r>
      <w:r w:rsidRPr="00B67892">
        <w:rPr>
          <w:spacing w:val="-6"/>
          <w:lang w:eastAsia="pt-BR"/>
        </w:rPr>
        <w:t>B).</w:t>
      </w:r>
    </w:p>
    <w:p w:rsidR="00B67892" w:rsidRPr="003E1CEC" w:rsidRDefault="00291A25" w:rsidP="00291A25">
      <w:pPr>
        <w:pStyle w:val="Legenda"/>
      </w:pPr>
      <w:bookmarkStart w:id="591" w:name="_Toc372740251"/>
      <w:r>
        <w:lastRenderedPageBreak/>
        <w:t xml:space="preserve">Figura </w:t>
      </w:r>
      <w:fldSimple w:instr=" SEQ Figura \* ARABIC ">
        <w:r w:rsidR="004F77E2">
          <w:rPr>
            <w:noProof/>
          </w:rPr>
          <w:t>168</w:t>
        </w:r>
      </w:fldSimple>
      <w:r>
        <w:t xml:space="preserve"> - </w:t>
      </w:r>
      <w:r w:rsidRPr="005B0AA3">
        <w:rPr>
          <w:noProof/>
        </w:rPr>
        <w:t>Aspecto visual e parcial do aterro controlado com presença de Urubus.</w:t>
      </w:r>
      <w:bookmarkEnd w:id="591"/>
    </w:p>
    <w:p w:rsidR="00E32574" w:rsidRPr="000B3308" w:rsidRDefault="00E32574" w:rsidP="00F6688F">
      <w:pPr>
        <w:spacing w:after="0" w:line="240" w:lineRule="auto"/>
        <w:jc w:val="center"/>
        <w:rPr>
          <w:noProof/>
          <w:lang w:eastAsia="pt-BR"/>
        </w:rPr>
      </w:pPr>
      <w:r w:rsidRPr="000B3308">
        <w:rPr>
          <w:noProof/>
          <w:lang w:eastAsia="pt-BR"/>
        </w:rPr>
        <w:drawing>
          <wp:inline distT="0" distB="0" distL="0" distR="0">
            <wp:extent cx="4645380" cy="3132829"/>
            <wp:effectExtent l="19050" t="19050" r="22225" b="10795"/>
            <wp:docPr id="214" name="Imagem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0"/>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4674184" cy="3152254"/>
                    </a:xfrm>
                    <a:prstGeom prst="rect">
                      <a:avLst/>
                    </a:prstGeom>
                    <a:noFill/>
                    <a:ln w="12700" cmpd="sng">
                      <a:solidFill>
                        <a:srgbClr val="000000"/>
                      </a:solidFill>
                      <a:miter lim="800000"/>
                      <a:headEnd/>
                      <a:tailEnd/>
                    </a:ln>
                    <a:effectLst/>
                  </pic:spPr>
                </pic:pic>
              </a:graphicData>
            </a:graphic>
          </wp:inline>
        </w:drawing>
      </w:r>
    </w:p>
    <w:p w:rsidR="00F6688F" w:rsidRPr="0090022C" w:rsidRDefault="00F6688F" w:rsidP="00F6688F">
      <w:pPr>
        <w:pStyle w:val="Fonte"/>
        <w:ind w:left="708" w:firstLine="143"/>
      </w:pPr>
      <w:r w:rsidRPr="0090022C">
        <w:t xml:space="preserve">Fonte: </w:t>
      </w:r>
      <w:r>
        <w:t xml:space="preserve">Fundação Educacional de Caratinga </w:t>
      </w:r>
      <w:r w:rsidRPr="0090022C">
        <w:t>(2013)</w:t>
      </w:r>
    </w:p>
    <w:p w:rsidR="00E32574" w:rsidRPr="00F6688F" w:rsidRDefault="00291A25" w:rsidP="00291A25">
      <w:pPr>
        <w:pStyle w:val="Legenda"/>
        <w:rPr>
          <w:b w:val="0"/>
        </w:rPr>
      </w:pPr>
      <w:bookmarkStart w:id="592" w:name="_Toc372740252"/>
      <w:r>
        <w:t xml:space="preserve">Figura </w:t>
      </w:r>
      <w:fldSimple w:instr=" SEQ Figura \* ARABIC ">
        <w:r w:rsidR="004F77E2">
          <w:rPr>
            <w:noProof/>
          </w:rPr>
          <w:t>169</w:t>
        </w:r>
      </w:fldSimple>
      <w:r>
        <w:t xml:space="preserve"> - </w:t>
      </w:r>
      <w:r w:rsidRPr="000D7238">
        <w:t>Aspecto visual da vala do aterro controlado onde se pode observar RSU descobertos e carcaça de animais exposta, sendo um atrativo para vetores.</w:t>
      </w:r>
      <w:bookmarkEnd w:id="592"/>
    </w:p>
    <w:tbl>
      <w:tblPr>
        <w:tblW w:w="0" w:type="auto"/>
        <w:tblLook w:val="04A0" w:firstRow="1" w:lastRow="0" w:firstColumn="1" w:lastColumn="0" w:noHBand="0" w:noVBand="1"/>
      </w:tblPr>
      <w:tblGrid>
        <w:gridCol w:w="4465"/>
        <w:gridCol w:w="4607"/>
      </w:tblGrid>
      <w:tr w:rsidR="00E32574" w:rsidRPr="000B3308" w:rsidTr="00F6688F">
        <w:tc>
          <w:tcPr>
            <w:tcW w:w="4419" w:type="dxa"/>
          </w:tcPr>
          <w:p w:rsidR="00E32574" w:rsidRPr="000B3308" w:rsidRDefault="00986205" w:rsidP="000B3308">
            <w:pPr>
              <w:spacing w:after="0" w:line="240" w:lineRule="auto"/>
              <w:jc w:val="center"/>
              <w:rPr>
                <w:noProof/>
                <w:lang w:eastAsia="pt-BR"/>
              </w:rPr>
            </w:pPr>
            <w:r>
              <w:rPr>
                <w:noProof/>
                <w:lang w:eastAsia="pt-BR"/>
              </w:rPr>
              <mc:AlternateContent>
                <mc:Choice Requires="wps">
                  <w:drawing>
                    <wp:anchor distT="0" distB="0" distL="114300" distR="114300" simplePos="0" relativeHeight="251678720" behindDoc="0" locked="0" layoutInCell="1" allowOverlap="1">
                      <wp:simplePos x="0" y="0"/>
                      <wp:positionH relativeFrom="column">
                        <wp:posOffset>2501265</wp:posOffset>
                      </wp:positionH>
                      <wp:positionV relativeFrom="paragraph">
                        <wp:posOffset>1083310</wp:posOffset>
                      </wp:positionV>
                      <wp:extent cx="1092200" cy="1289050"/>
                      <wp:effectExtent l="0" t="0" r="0" b="0"/>
                      <wp:wrapNone/>
                      <wp:docPr id="2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200" cy="1289050"/>
                              </a:xfrm>
                              <a:prstGeom prst="flowChartConnector">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D47ED6" id="AutoShape 19" o:spid="_x0000_s1026" type="#_x0000_t120" style="position:absolute;margin-left:196.95pt;margin-top:85.3pt;width:86pt;height:10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" filled="f" stroked="f"/>
                  </w:pict>
                </mc:Fallback>
              </mc:AlternateContent>
            </w:r>
            <w:r w:rsidR="00E32574" w:rsidRPr="000B3308">
              <w:rPr>
                <w:noProof/>
                <w:lang w:eastAsia="pt-BR"/>
              </w:rPr>
              <w:drawing>
                <wp:inline distT="0" distB="0" distL="0" distR="0">
                  <wp:extent cx="2826228" cy="2004365"/>
                  <wp:effectExtent l="19050" t="19050" r="12700" b="15240"/>
                  <wp:docPr id="213" name="Imagem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845430" cy="2017983"/>
                          </a:xfrm>
                          <a:prstGeom prst="rect">
                            <a:avLst/>
                          </a:prstGeom>
                          <a:noFill/>
                          <a:ln w="12700" cmpd="sng">
                            <a:solidFill>
                              <a:srgbClr val="000000"/>
                            </a:solidFill>
                            <a:miter lim="800000"/>
                            <a:headEnd/>
                            <a:tailEnd/>
                          </a:ln>
                          <a:effectLst/>
                        </pic:spPr>
                      </pic:pic>
                    </a:graphicData>
                  </a:graphic>
                </wp:inline>
              </w:drawing>
            </w:r>
          </w:p>
        </w:tc>
        <w:tc>
          <w:tcPr>
            <w:tcW w:w="4653" w:type="dxa"/>
            <w:vAlign w:val="center"/>
          </w:tcPr>
          <w:p w:rsidR="00E32574" w:rsidRPr="000B3308" w:rsidRDefault="00986205" w:rsidP="000B3308">
            <w:pPr>
              <w:spacing w:after="0" w:line="240" w:lineRule="auto"/>
              <w:jc w:val="center"/>
              <w:rPr>
                <w:noProof/>
                <w:lang w:eastAsia="pt-BR"/>
              </w:rPr>
            </w:pPr>
            <w:r>
              <w:rPr>
                <w:noProof/>
                <w:lang w:eastAsia="pt-BR"/>
              </w:rPr>
              <mc:AlternateContent>
                <mc:Choice Requires="wps">
                  <w:drawing>
                    <wp:anchor distT="0" distB="0" distL="114300" distR="114300" simplePos="0" relativeHeight="251679744" behindDoc="0" locked="0" layoutInCell="1" allowOverlap="1">
                      <wp:simplePos x="0" y="0"/>
                      <wp:positionH relativeFrom="column">
                        <wp:posOffset>916305</wp:posOffset>
                      </wp:positionH>
                      <wp:positionV relativeFrom="paragraph">
                        <wp:posOffset>874395</wp:posOffset>
                      </wp:positionV>
                      <wp:extent cx="1009650" cy="603250"/>
                      <wp:effectExtent l="19050" t="19050" r="19050" b="25400"/>
                      <wp:wrapNone/>
                      <wp:docPr id="18"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603250"/>
                              </a:xfrm>
                              <a:prstGeom prst="flowChartConnector">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CD094E" id="AutoShape 20" o:spid="_x0000_s1026" type="#_x0000_t120" style="position:absolute;margin-left:72.15pt;margin-top:68.85pt;width:79.5pt;height:4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" filled="f" strokecolor="red" strokeweight="2.25pt"/>
                  </w:pict>
                </mc:Fallback>
              </mc:AlternateContent>
            </w:r>
            <w:r w:rsidR="00E32574" w:rsidRPr="000B3308">
              <w:rPr>
                <w:noProof/>
                <w:lang w:eastAsia="pt-BR"/>
              </w:rPr>
              <w:drawing>
                <wp:inline distT="0" distB="0" distL="0" distR="0">
                  <wp:extent cx="2918765" cy="2017798"/>
                  <wp:effectExtent l="19050" t="19050" r="15240" b="20955"/>
                  <wp:docPr id="212" name="Imagem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3"/>
                          <pic:cNvPicPr>
                            <a:picLocks noChangeAspect="1" noChangeArrowheads="1"/>
                          </pic:cNvPicPr>
                        </pic:nvPicPr>
                        <pic:blipFill>
                          <a:blip r:embed="rId237" cstate="print">
                            <a:extLst>
                              <a:ext uri="{28A0092B-C50C-407E-A947-70E740481C1C}">
                                <a14:useLocalDpi xmlns:a14="http://schemas.microsoft.com/office/drawing/2010/main" val="0"/>
                              </a:ext>
                            </a:extLst>
                          </a:blip>
                          <a:srcRect r="8139"/>
                          <a:stretch>
                            <a:fillRect/>
                          </a:stretch>
                        </pic:blipFill>
                        <pic:spPr bwMode="auto">
                          <a:xfrm>
                            <a:off x="0" y="0"/>
                            <a:ext cx="2936734" cy="2030220"/>
                          </a:xfrm>
                          <a:prstGeom prst="rect">
                            <a:avLst/>
                          </a:prstGeom>
                          <a:noFill/>
                          <a:ln w="12700" cmpd="sng">
                            <a:solidFill>
                              <a:srgbClr val="000000"/>
                            </a:solidFill>
                            <a:miter lim="800000"/>
                            <a:headEnd/>
                            <a:tailEnd/>
                          </a:ln>
                          <a:effectLst/>
                        </pic:spPr>
                      </pic:pic>
                    </a:graphicData>
                  </a:graphic>
                </wp:inline>
              </w:drawing>
            </w:r>
          </w:p>
        </w:tc>
      </w:tr>
      <w:tr w:rsidR="00E32574" w:rsidRPr="0090022C" w:rsidTr="00F6688F">
        <w:tc>
          <w:tcPr>
            <w:tcW w:w="4419" w:type="dxa"/>
          </w:tcPr>
          <w:p w:rsidR="00E32574" w:rsidRPr="0090022C" w:rsidRDefault="00E32574" w:rsidP="00E32574">
            <w:pPr>
              <w:jc w:val="center"/>
            </w:pPr>
            <w:r w:rsidRPr="0090022C">
              <w:t>A</w:t>
            </w:r>
          </w:p>
        </w:tc>
        <w:tc>
          <w:tcPr>
            <w:tcW w:w="4653" w:type="dxa"/>
            <w:vAlign w:val="center"/>
          </w:tcPr>
          <w:p w:rsidR="00E32574" w:rsidRPr="0090022C" w:rsidRDefault="00E32574" w:rsidP="00E32574">
            <w:pPr>
              <w:jc w:val="center"/>
              <w:rPr>
                <w:noProof/>
              </w:rPr>
            </w:pPr>
            <w:r w:rsidRPr="0090022C">
              <w:rPr>
                <w:noProof/>
              </w:rPr>
              <w:t>B</w:t>
            </w:r>
          </w:p>
        </w:tc>
      </w:tr>
    </w:tbl>
    <w:p w:rsidR="00F6688F" w:rsidRPr="0090022C" w:rsidRDefault="00F6688F" w:rsidP="00F6688F">
      <w:pPr>
        <w:pStyle w:val="Fonte"/>
        <w:spacing w:before="0"/>
        <w:ind w:left="709" w:hanging="567"/>
      </w:pPr>
      <w:r w:rsidRPr="0090022C">
        <w:t xml:space="preserve">Fonte: </w:t>
      </w:r>
      <w:r>
        <w:t xml:space="preserve">Fundação Educacional de Caratinga </w:t>
      </w:r>
      <w:r w:rsidRPr="0090022C">
        <w:t>(2013)</w:t>
      </w:r>
    </w:p>
    <w:p w:rsidR="00E32574" w:rsidRPr="008D43D2" w:rsidRDefault="00E32574" w:rsidP="00F6688F">
      <w:pPr>
        <w:spacing w:after="0" w:line="360" w:lineRule="auto"/>
        <w:ind w:firstLine="709"/>
        <w:jc w:val="both"/>
        <w:rPr>
          <w:lang w:eastAsia="pt-BR"/>
        </w:rPr>
      </w:pPr>
      <w:r w:rsidRPr="008D43D2">
        <w:rPr>
          <w:lang w:eastAsia="pt-BR"/>
        </w:rPr>
        <w:t xml:space="preserve">Na área do aterro e no seu entorno havia, no mês de setembro de 2013, muitos resíduos espalhados pela ação do vento, situação causada pela falta de cobertura diária dos resíduos descartados. Naquela oportunidade, o gerente do aterro informou que o trator estava quebrado </w:t>
      </w:r>
      <w:r w:rsidRPr="008D43D2">
        <w:rPr>
          <w:lang w:eastAsia="pt-BR"/>
        </w:rPr>
        <w:lastRenderedPageBreak/>
        <w:t>e que a Prefeitura estava providenciando processo licitatório para contratar serviço de máquina para atender esta demanda.</w:t>
      </w:r>
    </w:p>
    <w:p w:rsidR="00E32574" w:rsidRPr="008D43D2" w:rsidRDefault="00E32574" w:rsidP="00F6688F">
      <w:pPr>
        <w:spacing w:after="0" w:line="360" w:lineRule="auto"/>
        <w:ind w:firstLine="709"/>
        <w:jc w:val="both"/>
        <w:rPr>
          <w:lang w:eastAsia="pt-BR"/>
        </w:rPr>
      </w:pPr>
      <w:r w:rsidRPr="008D43D2">
        <w:rPr>
          <w:lang w:eastAsia="pt-BR"/>
        </w:rPr>
        <w:t xml:space="preserve">A falta de equipamentos (trator e pá carregadeira) para aterramento dos resíduos tem causado vários transtornos, além dos vetores, impossibilita o controle de processos erosivos, fato agravado pela falta de cobertura vegetal dos taludes; ocorre espalhamento destes resíduos (Figura </w:t>
      </w:r>
      <w:r w:rsidR="00F6688F">
        <w:rPr>
          <w:lang w:eastAsia="pt-BR"/>
        </w:rPr>
        <w:t>170</w:t>
      </w:r>
      <w:r w:rsidRPr="008D43D2">
        <w:rPr>
          <w:lang w:eastAsia="pt-BR"/>
        </w:rPr>
        <w:t xml:space="preserve">) inclusive para a área externa do aterro e obstrução da calha para a drenagem de água pluvial (Figura </w:t>
      </w:r>
      <w:r w:rsidR="00F6688F">
        <w:rPr>
          <w:lang w:eastAsia="pt-BR"/>
        </w:rPr>
        <w:t>171</w:t>
      </w:r>
      <w:r w:rsidRPr="008D43D2">
        <w:rPr>
          <w:lang w:eastAsia="pt-BR"/>
        </w:rPr>
        <w:t>).</w:t>
      </w:r>
    </w:p>
    <w:p w:rsidR="00265C1B" w:rsidRPr="003E1CEC" w:rsidRDefault="00291A25" w:rsidP="00291A25">
      <w:pPr>
        <w:pStyle w:val="Legenda"/>
      </w:pPr>
      <w:bookmarkStart w:id="593" w:name="_Toc372740253"/>
      <w:bookmarkStart w:id="594" w:name="_Toc110334832"/>
      <w:r>
        <w:t xml:space="preserve">Figura </w:t>
      </w:r>
      <w:fldSimple w:instr=" SEQ Figura \* ARABIC ">
        <w:r w:rsidR="004F77E2">
          <w:rPr>
            <w:noProof/>
          </w:rPr>
          <w:t>170</w:t>
        </w:r>
      </w:fldSimple>
      <w:r>
        <w:t xml:space="preserve"> - </w:t>
      </w:r>
      <w:r w:rsidRPr="008A01F5">
        <w:rPr>
          <w:noProof/>
        </w:rPr>
        <w:t>Aspecto visual dos resíduos espalhados pela ação do vento na área do aterro.</w:t>
      </w:r>
      <w:bookmarkEnd w:id="593"/>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769251" cy="3189427"/>
            <wp:effectExtent l="19050" t="19050" r="12700" b="11430"/>
            <wp:docPr id="211" name="Imagem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5"/>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4814530" cy="3219707"/>
                    </a:xfrm>
                    <a:prstGeom prst="rect">
                      <a:avLst/>
                    </a:prstGeom>
                    <a:noFill/>
                    <a:ln w="12700" cmpd="sng">
                      <a:solidFill>
                        <a:srgbClr val="000000"/>
                      </a:solidFill>
                      <a:miter lim="800000"/>
                      <a:headEnd/>
                      <a:tailEnd/>
                    </a:ln>
                    <a:effectLst/>
                  </pic:spPr>
                </pic:pic>
              </a:graphicData>
            </a:graphic>
          </wp:inline>
        </w:drawing>
      </w:r>
    </w:p>
    <w:p w:rsidR="00F6688F" w:rsidRPr="0090022C" w:rsidRDefault="00F6688F" w:rsidP="00F6688F">
      <w:pPr>
        <w:pStyle w:val="Fonte"/>
        <w:ind w:left="708" w:firstLine="143"/>
      </w:pPr>
      <w:r w:rsidRPr="0090022C">
        <w:t xml:space="preserve">Fonte: </w:t>
      </w:r>
      <w:r>
        <w:t xml:space="preserve">Fundação Educacional de Caratinga </w:t>
      </w:r>
      <w:r w:rsidRPr="0090022C">
        <w:t>(2013)</w:t>
      </w:r>
    </w:p>
    <w:p w:rsidR="00CA7A38" w:rsidRDefault="00CA7A38">
      <w:pPr>
        <w:spacing w:after="200" w:line="276" w:lineRule="auto"/>
        <w:rPr>
          <w:rFonts w:eastAsiaTheme="minorEastAsia" w:cs="Times New Roman"/>
          <w:b/>
          <w:bCs/>
          <w:szCs w:val="24"/>
          <w:lang w:eastAsia="pt-BR"/>
        </w:rPr>
      </w:pPr>
      <w:bookmarkStart w:id="595" w:name="_Toc372117224"/>
      <w:r>
        <w:rPr>
          <w:b/>
        </w:rPr>
        <w:br w:type="page"/>
      </w:r>
    </w:p>
    <w:p w:rsidR="00265C1B" w:rsidRPr="003E1CEC" w:rsidRDefault="00291A25" w:rsidP="00291A25">
      <w:pPr>
        <w:pStyle w:val="Legenda"/>
      </w:pPr>
      <w:bookmarkStart w:id="596" w:name="_Toc372740254"/>
      <w:bookmarkEnd w:id="595"/>
      <w:r>
        <w:lastRenderedPageBreak/>
        <w:t xml:space="preserve">Figura </w:t>
      </w:r>
      <w:fldSimple w:instr=" SEQ Figura \* ARABIC ">
        <w:r w:rsidR="004F77E2">
          <w:rPr>
            <w:noProof/>
          </w:rPr>
          <w:t>171</w:t>
        </w:r>
      </w:fldSimple>
      <w:r>
        <w:t xml:space="preserve"> - </w:t>
      </w:r>
      <w:r w:rsidRPr="00C377C0">
        <w:rPr>
          <w:noProof/>
        </w:rPr>
        <w:t>Vista parcial da calha para a drenagem de água pluvial, construída na área da UTC/ aterro controlado, obstruída por solo e resíduos necessitando limpeza para a sua desobstrução.</w:t>
      </w:r>
      <w:bookmarkEnd w:id="596"/>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141669" cy="4637837"/>
            <wp:effectExtent l="0" t="0" r="0" b="0"/>
            <wp:docPr id="210" name="Imagem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6"/>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4161470" cy="4660010"/>
                    </a:xfrm>
                    <a:prstGeom prst="rect">
                      <a:avLst/>
                    </a:prstGeom>
                    <a:noFill/>
                    <a:ln>
                      <a:noFill/>
                    </a:ln>
                  </pic:spPr>
                </pic:pic>
              </a:graphicData>
            </a:graphic>
          </wp:inline>
        </w:drawing>
      </w:r>
    </w:p>
    <w:p w:rsidR="00CA7A38" w:rsidRPr="0090022C" w:rsidRDefault="00CA7A38" w:rsidP="00CA7A38">
      <w:pPr>
        <w:pStyle w:val="Fonte"/>
        <w:ind w:left="708" w:firstLine="568"/>
      </w:pPr>
      <w:r w:rsidRPr="0090022C">
        <w:t xml:space="preserve">Fonte: </w:t>
      </w:r>
      <w:r>
        <w:t xml:space="preserve">Fundação Educacional de Caratinga </w:t>
      </w:r>
      <w:r w:rsidRPr="0090022C">
        <w:t>(2013)</w:t>
      </w:r>
    </w:p>
    <w:p w:rsidR="00E32574" w:rsidRPr="000C5DD6" w:rsidRDefault="00CA7A38" w:rsidP="00971B37">
      <w:pPr>
        <w:pStyle w:val="Titulo"/>
      </w:pPr>
      <w:bookmarkStart w:id="597" w:name="_Toc372559170"/>
      <w:bookmarkStart w:id="598" w:name="_Toc372789601"/>
      <w:r w:rsidRPr="000C5DD6">
        <w:t>1</w:t>
      </w:r>
      <w:r w:rsidR="005B71E7">
        <w:t>3</w:t>
      </w:r>
      <w:r w:rsidRPr="000C5DD6">
        <w:t>.5.</w:t>
      </w:r>
      <w:r w:rsidR="001F0E0C">
        <w:t>6</w:t>
      </w:r>
      <w:r w:rsidRPr="000C5DD6">
        <w:t xml:space="preserve"> </w:t>
      </w:r>
      <w:r w:rsidR="00E32574" w:rsidRPr="000C5DD6">
        <w:t>Resíduos da Construção Civil</w:t>
      </w:r>
      <w:bookmarkEnd w:id="594"/>
      <w:bookmarkEnd w:id="597"/>
      <w:bookmarkEnd w:id="598"/>
    </w:p>
    <w:p w:rsidR="00E32574" w:rsidRPr="008D43D2" w:rsidRDefault="00E32574" w:rsidP="00CA7A38">
      <w:pPr>
        <w:spacing w:after="0" w:line="360" w:lineRule="auto"/>
        <w:ind w:firstLine="709"/>
        <w:jc w:val="both"/>
        <w:rPr>
          <w:lang w:eastAsia="pt-BR"/>
        </w:rPr>
      </w:pPr>
      <w:r w:rsidRPr="008D43D2">
        <w:rPr>
          <w:lang w:eastAsia="pt-BR"/>
        </w:rPr>
        <w:t>No caso do “entulho de obra” (Figura 10 A) e resíduos de poda de arvores (Figura 10 B) recolhidos pela Secretaria Municipal de Transporte e Limpeza Urbana, estes são transportados para uma área de “bota-fora”, localizado no perímetro urbano. O acesso a área é restrito, somente veículos credenciados pela Prefeitura é que podem descartar nesta área. Entorno do “Bota Fora” percebe-se espalhamento de plásticos e papéis (Figura</w:t>
      </w:r>
      <w:r w:rsidR="00CA7A38">
        <w:rPr>
          <w:lang w:eastAsia="pt-BR"/>
        </w:rPr>
        <w:t>s 172 e 173</w:t>
      </w:r>
      <w:r w:rsidRPr="008D43D2">
        <w:rPr>
          <w:lang w:eastAsia="pt-BR"/>
        </w:rPr>
        <w:t>) contido no entulho.</w:t>
      </w:r>
    </w:p>
    <w:p w:rsidR="00265C1B" w:rsidRPr="003E1CEC" w:rsidRDefault="00291A25" w:rsidP="00291A25">
      <w:pPr>
        <w:pStyle w:val="Legenda"/>
      </w:pPr>
      <w:bookmarkStart w:id="599" w:name="_Toc372740255"/>
      <w:r>
        <w:lastRenderedPageBreak/>
        <w:t xml:space="preserve">Figura </w:t>
      </w:r>
      <w:fldSimple w:instr=" SEQ Figura \* ARABIC ">
        <w:r w:rsidR="004F77E2">
          <w:rPr>
            <w:noProof/>
          </w:rPr>
          <w:t>172</w:t>
        </w:r>
      </w:fldSimple>
      <w:r>
        <w:t xml:space="preserve"> - </w:t>
      </w:r>
      <w:r w:rsidRPr="00D47F3F">
        <w:rPr>
          <w:noProof/>
        </w:rPr>
        <w:t>Vista parcial da área utilizada como “Bota Fora” para o descarte de resíduos de poda e entulhos de obra.</w:t>
      </w:r>
      <w:bookmarkEnd w:id="599"/>
    </w:p>
    <w:tbl>
      <w:tblPr>
        <w:tblW w:w="0" w:type="auto"/>
        <w:tblLook w:val="04A0" w:firstRow="1" w:lastRow="0" w:firstColumn="1" w:lastColumn="0" w:noHBand="0" w:noVBand="1"/>
      </w:tblPr>
      <w:tblGrid>
        <w:gridCol w:w="4482"/>
        <w:gridCol w:w="4590"/>
      </w:tblGrid>
      <w:tr w:rsidR="00E32574" w:rsidRPr="000B3308" w:rsidTr="00CA7A38">
        <w:tc>
          <w:tcPr>
            <w:tcW w:w="4482" w:type="dxa"/>
          </w:tcPr>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2806700" cy="1733550"/>
                  <wp:effectExtent l="19050" t="19050" r="0" b="0"/>
                  <wp:docPr id="209" name="Image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806700" cy="1733550"/>
                          </a:xfrm>
                          <a:prstGeom prst="rect">
                            <a:avLst/>
                          </a:prstGeom>
                          <a:noFill/>
                          <a:ln w="12700" cmpd="sng">
                            <a:solidFill>
                              <a:srgbClr val="000000"/>
                            </a:solidFill>
                            <a:miter lim="800000"/>
                            <a:headEnd/>
                            <a:tailEnd/>
                          </a:ln>
                          <a:effectLst/>
                        </pic:spPr>
                      </pic:pic>
                    </a:graphicData>
                  </a:graphic>
                </wp:inline>
              </w:drawing>
            </w:r>
          </w:p>
        </w:tc>
        <w:tc>
          <w:tcPr>
            <w:tcW w:w="4590" w:type="dxa"/>
          </w:tcPr>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2878455" cy="1717675"/>
                  <wp:effectExtent l="19050" t="19050" r="0" b="0"/>
                  <wp:docPr id="208" name="Image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878455" cy="1717675"/>
                          </a:xfrm>
                          <a:prstGeom prst="rect">
                            <a:avLst/>
                          </a:prstGeom>
                          <a:noFill/>
                          <a:ln w="12700" cmpd="sng">
                            <a:solidFill>
                              <a:srgbClr val="000000"/>
                            </a:solidFill>
                            <a:miter lim="800000"/>
                            <a:headEnd/>
                            <a:tailEnd/>
                          </a:ln>
                          <a:effectLst/>
                        </pic:spPr>
                      </pic:pic>
                    </a:graphicData>
                  </a:graphic>
                </wp:inline>
              </w:drawing>
            </w:r>
          </w:p>
        </w:tc>
      </w:tr>
      <w:tr w:rsidR="00E32574" w:rsidRPr="0090022C" w:rsidTr="00CA7A38">
        <w:tc>
          <w:tcPr>
            <w:tcW w:w="4482" w:type="dxa"/>
          </w:tcPr>
          <w:p w:rsidR="00E32574" w:rsidRPr="0090022C" w:rsidRDefault="00E32574" w:rsidP="00E32574">
            <w:pPr>
              <w:spacing w:line="276" w:lineRule="auto"/>
              <w:jc w:val="center"/>
              <w:rPr>
                <w:noProof/>
              </w:rPr>
            </w:pPr>
            <w:r w:rsidRPr="0090022C">
              <w:rPr>
                <w:noProof/>
              </w:rPr>
              <w:t>A</w:t>
            </w:r>
          </w:p>
        </w:tc>
        <w:tc>
          <w:tcPr>
            <w:tcW w:w="4590" w:type="dxa"/>
          </w:tcPr>
          <w:p w:rsidR="00E32574" w:rsidRPr="0090022C" w:rsidRDefault="00E32574" w:rsidP="00E32574">
            <w:pPr>
              <w:spacing w:line="276" w:lineRule="auto"/>
              <w:jc w:val="center"/>
              <w:rPr>
                <w:noProof/>
              </w:rPr>
            </w:pPr>
            <w:r w:rsidRPr="0090022C">
              <w:rPr>
                <w:noProof/>
              </w:rPr>
              <w:t>B</w:t>
            </w:r>
          </w:p>
        </w:tc>
      </w:tr>
    </w:tbl>
    <w:p w:rsidR="00CA7A38" w:rsidRPr="0090022C" w:rsidRDefault="00CA7A38" w:rsidP="00CA7A38">
      <w:pPr>
        <w:pStyle w:val="Fonte"/>
        <w:spacing w:before="0"/>
        <w:ind w:left="709" w:hanging="567"/>
      </w:pPr>
      <w:r w:rsidRPr="0090022C">
        <w:t xml:space="preserve">Fonte: </w:t>
      </w:r>
      <w:r>
        <w:t xml:space="preserve">Fundação Educacional de Caratinga </w:t>
      </w:r>
      <w:r w:rsidRPr="0090022C">
        <w:t>(2013)</w:t>
      </w:r>
    </w:p>
    <w:p w:rsidR="00265C1B" w:rsidRPr="003E1CEC" w:rsidRDefault="00291A25" w:rsidP="00291A25">
      <w:pPr>
        <w:pStyle w:val="Legenda"/>
      </w:pPr>
      <w:bookmarkStart w:id="600" w:name="_Toc372740256"/>
      <w:r>
        <w:t xml:space="preserve">Figura </w:t>
      </w:r>
      <w:fldSimple w:instr=" SEQ Figura \* ARABIC ">
        <w:r w:rsidR="004F77E2">
          <w:rPr>
            <w:noProof/>
          </w:rPr>
          <w:t>173</w:t>
        </w:r>
      </w:fldSimple>
      <w:r>
        <w:t xml:space="preserve"> - </w:t>
      </w:r>
      <w:r w:rsidRPr="0007322F">
        <w:rPr>
          <w:noProof/>
        </w:rPr>
        <w:t>Aspecto geral da área entorno do “Bota Fora” pelo espalhamento de plásticos e papéis contido no entulho.</w:t>
      </w:r>
      <w:bookmarkEnd w:id="600"/>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499144" cy="3116275"/>
            <wp:effectExtent l="19050" t="19050" r="15875" b="27305"/>
            <wp:docPr id="207" name="Image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4510274" cy="3123984"/>
                    </a:xfrm>
                    <a:prstGeom prst="rect">
                      <a:avLst/>
                    </a:prstGeom>
                    <a:noFill/>
                    <a:ln w="12700" cmpd="sng">
                      <a:solidFill>
                        <a:srgbClr val="000000"/>
                      </a:solidFill>
                      <a:miter lim="800000"/>
                      <a:headEnd/>
                      <a:tailEnd/>
                    </a:ln>
                    <a:effectLst/>
                  </pic:spPr>
                </pic:pic>
              </a:graphicData>
            </a:graphic>
          </wp:inline>
        </w:drawing>
      </w:r>
    </w:p>
    <w:p w:rsidR="00CA7A38" w:rsidRPr="0090022C" w:rsidRDefault="00CA7A38" w:rsidP="00CA7A38">
      <w:pPr>
        <w:pStyle w:val="Fonte"/>
        <w:ind w:left="708" w:firstLine="143"/>
      </w:pPr>
      <w:r>
        <w:t xml:space="preserve">  </w:t>
      </w:r>
      <w:r w:rsidRPr="0090022C">
        <w:t xml:space="preserve">Fonte: </w:t>
      </w:r>
      <w:r>
        <w:t xml:space="preserve">Fundação Educacional de Caratinga </w:t>
      </w:r>
      <w:r w:rsidRPr="0090022C">
        <w:t>(2013)</w:t>
      </w:r>
    </w:p>
    <w:p w:rsidR="00E32574" w:rsidRPr="008D43D2" w:rsidRDefault="00E32574" w:rsidP="00CA7A38">
      <w:pPr>
        <w:spacing w:after="0" w:line="360" w:lineRule="auto"/>
        <w:ind w:firstLine="709"/>
        <w:jc w:val="both"/>
        <w:rPr>
          <w:lang w:eastAsia="pt-BR"/>
        </w:rPr>
      </w:pPr>
      <w:r w:rsidRPr="008D43D2">
        <w:rPr>
          <w:lang w:eastAsia="pt-BR"/>
        </w:rPr>
        <w:t>Para o descarte de material de poda e entulhos os maiores desafios estão em reduzir o volume de entulho gerado, evitando a utilização dos escassos locais para sua disposição e beneficiar a quantidade de entulho gerado, reutilizando no ciclo produtivo, diminuindo consumo de energia e de recursos naturais.</w:t>
      </w:r>
    </w:p>
    <w:p w:rsidR="00E32574" w:rsidRDefault="00E32574" w:rsidP="00CA7A38">
      <w:pPr>
        <w:spacing w:after="0" w:line="360" w:lineRule="auto"/>
        <w:ind w:firstLine="709"/>
        <w:jc w:val="both"/>
        <w:rPr>
          <w:lang w:eastAsia="pt-BR"/>
        </w:rPr>
      </w:pPr>
      <w:r w:rsidRPr="008D43D2">
        <w:rPr>
          <w:lang w:eastAsia="pt-BR"/>
        </w:rPr>
        <w:lastRenderedPageBreak/>
        <w:t>O problema do entulho está relacionado ao seu acondicionamento, pois os contêineres metálicos utilizados atrapalham a passagem de pedestres e/ou o trânsito, bem como estacionamento de veículos. Além disso, entulho de obra também consome muito espaço nos aterros, espaço este que poderia estar sendo utilizado para a destinação de outros tipos de resíduos não passíveis de reciclagem</w:t>
      </w:r>
    </w:p>
    <w:p w:rsidR="00E32574" w:rsidRPr="00CA7A38" w:rsidRDefault="00CA7A38" w:rsidP="00971B37">
      <w:pPr>
        <w:pStyle w:val="Titulo"/>
      </w:pPr>
      <w:bookmarkStart w:id="601" w:name="_Toc372559171"/>
      <w:bookmarkStart w:id="602" w:name="_Toc372789602"/>
      <w:bookmarkStart w:id="603" w:name="_Toc110334833"/>
      <w:r w:rsidRPr="00CA7A38">
        <w:t>13.6</w:t>
      </w:r>
      <w:r w:rsidR="005D1436" w:rsidRPr="00CA7A38">
        <w:t xml:space="preserve"> </w:t>
      </w:r>
      <w:r w:rsidR="00E32574" w:rsidRPr="00CA7A38">
        <w:t>Logística Reversa</w:t>
      </w:r>
      <w:bookmarkEnd w:id="601"/>
      <w:bookmarkEnd w:id="602"/>
    </w:p>
    <w:bookmarkEnd w:id="603"/>
    <w:p w:rsidR="00E32574" w:rsidRPr="008D43D2" w:rsidRDefault="00E32574" w:rsidP="00CA7A38">
      <w:pPr>
        <w:spacing w:after="0" w:line="360" w:lineRule="auto"/>
        <w:ind w:firstLine="709"/>
        <w:jc w:val="both"/>
        <w:rPr>
          <w:lang w:eastAsia="pt-BR"/>
        </w:rPr>
      </w:pPr>
      <w:r w:rsidRPr="008D43D2">
        <w:rPr>
          <w:lang w:eastAsia="pt-BR"/>
        </w:rPr>
        <w:t xml:space="preserve">A Política Nacional de Resíduos Sólidos (PNRS) foi instituída pela </w:t>
      </w:r>
      <w:hyperlink r:id="rId243" w:tgtFrame="_blank" w:history="1">
        <w:r w:rsidRPr="008D43D2">
          <w:rPr>
            <w:lang w:eastAsia="pt-BR"/>
          </w:rPr>
          <w:t>Lei nº 12.305, de 2 de agosto de 2010</w:t>
        </w:r>
      </w:hyperlink>
      <w:r w:rsidRPr="008D43D2">
        <w:rPr>
          <w:lang w:eastAsia="pt-BR"/>
        </w:rPr>
        <w:t xml:space="preserve"> regulamentada pelo </w:t>
      </w:r>
      <w:hyperlink r:id="rId244" w:tgtFrame="_blank" w:history="1">
        <w:r w:rsidRPr="008D43D2">
          <w:rPr>
            <w:lang w:eastAsia="pt-BR"/>
          </w:rPr>
          <w:t>Decreto Nº 7.404 de 23 de dezembro de 2010</w:t>
        </w:r>
      </w:hyperlink>
      <w:r w:rsidRPr="008D43D2">
        <w:rPr>
          <w:lang w:eastAsia="pt-BR"/>
        </w:rPr>
        <w:t xml:space="preserve">. Entre os conceitos introduzidos em nossa legislação ambiental pela PNRS estão a responsabilidade compartilhada pelo ciclo de vida dos produtos, a logística reversa e o acordo setorial. </w:t>
      </w:r>
    </w:p>
    <w:p w:rsidR="00E32574" w:rsidRPr="008D43D2" w:rsidRDefault="00E32574" w:rsidP="00CA7A38">
      <w:pPr>
        <w:spacing w:after="0" w:line="360" w:lineRule="auto"/>
        <w:ind w:firstLine="709"/>
        <w:jc w:val="both"/>
        <w:rPr>
          <w:lang w:eastAsia="pt-BR"/>
        </w:rPr>
      </w:pPr>
      <w:r w:rsidRPr="008D43D2">
        <w:rPr>
          <w:lang w:eastAsia="pt-BR"/>
        </w:rPr>
        <w:t>De acordo com a PNRS, é instituída a responsabilidade compartilhada pelo ciclo de vida dos produtos, a ser implementada de forma individualizada e encadeada, abrangendo os fabricantes, importadores, distribuidores e comerciantes. Estes são obrigados a estruturar e implementar sistemas de logística reversa, mediante retorno dos produtos após o uso pelo consumidor, de forma independente do serviço público de limpeza urbana e de manejo dos resíduos sólidos.</w:t>
      </w:r>
    </w:p>
    <w:p w:rsidR="00E32574" w:rsidRPr="008D43D2" w:rsidRDefault="00E32574" w:rsidP="00CA7A38">
      <w:pPr>
        <w:spacing w:after="0" w:line="360" w:lineRule="auto"/>
        <w:ind w:firstLine="709"/>
        <w:jc w:val="both"/>
        <w:rPr>
          <w:lang w:eastAsia="pt-BR"/>
        </w:rPr>
      </w:pPr>
      <w:r w:rsidRPr="008D43D2">
        <w:rPr>
          <w:lang w:eastAsia="pt-BR"/>
        </w:rPr>
        <w:t>A política aplica-se à: lâmpadas fluorescentes (de vapor de sódio e mercúrio e de luz mista); pilhas e baterias; pneus; óleos lubrificantes (seus resíduos e embalagens); produtos eletroeletrônicos e seus componentes</w:t>
      </w:r>
    </w:p>
    <w:p w:rsidR="00E32574" w:rsidRPr="008D43D2" w:rsidRDefault="00E32574" w:rsidP="00CA7A38">
      <w:pPr>
        <w:spacing w:after="0" w:line="360" w:lineRule="auto"/>
        <w:ind w:firstLine="709"/>
        <w:jc w:val="both"/>
        <w:rPr>
          <w:lang w:eastAsia="pt-BR"/>
        </w:rPr>
      </w:pPr>
      <w:r w:rsidRPr="008D43D2">
        <w:rPr>
          <w:lang w:eastAsia="pt-BR"/>
        </w:rPr>
        <w:t>Neste contexto para que a logística reversa esteja na plenitude implantada no município de Aimorés a Prefeitura pode condicionar a concessão ou renovação de alvarás de funcionamento somente para estabelecimentos que disponibilizem para os consumidores equipamentos para recolher os resíduos conforme o Art. 33 da PNRS.</w:t>
      </w:r>
    </w:p>
    <w:p w:rsidR="00E32574" w:rsidRPr="0090022C" w:rsidRDefault="00E32574" w:rsidP="00E32574">
      <w:pPr>
        <w:pStyle w:val="Corpodetexto"/>
        <w:spacing w:after="0"/>
        <w:rPr>
          <w:szCs w:val="24"/>
        </w:rPr>
      </w:pPr>
    </w:p>
    <w:p w:rsidR="00E32574" w:rsidRPr="009A1FE7" w:rsidRDefault="00E32574" w:rsidP="00CA7A38">
      <w:pPr>
        <w:pStyle w:val="artigo"/>
        <w:spacing w:before="120" w:beforeAutospacing="0" w:after="120" w:afterAutospacing="0"/>
        <w:ind w:left="3402"/>
        <w:jc w:val="both"/>
        <w:rPr>
          <w:color w:val="000000"/>
          <w:sz w:val="20"/>
          <w:szCs w:val="20"/>
        </w:rPr>
      </w:pPr>
      <w:r w:rsidRPr="009A1FE7">
        <w:rPr>
          <w:color w:val="000000"/>
          <w:sz w:val="20"/>
          <w:szCs w:val="20"/>
        </w:rPr>
        <w:t>“São obrigados a estruturar e implementar sistemas de logística reversa, mediante retorno dos produtos após o uso pelo consumidor, de forma independente do serviço público de limpeza urbana e de manejo dos resíduos sólidos, os fabricantes, importadores, distribuidores e comerciantes de:</w:t>
      </w:r>
    </w:p>
    <w:p w:rsidR="00E32574" w:rsidRPr="009A1FE7" w:rsidRDefault="00E32574" w:rsidP="00CA7A38">
      <w:pPr>
        <w:pStyle w:val="artigo"/>
        <w:spacing w:before="120" w:beforeAutospacing="0" w:after="120" w:afterAutospacing="0"/>
        <w:ind w:left="3402"/>
        <w:jc w:val="both"/>
        <w:rPr>
          <w:color w:val="000000"/>
          <w:sz w:val="20"/>
          <w:szCs w:val="20"/>
        </w:rPr>
      </w:pPr>
      <w:bookmarkStart w:id="604" w:name="art33i"/>
      <w:bookmarkEnd w:id="604"/>
      <w:r w:rsidRPr="009A1FE7">
        <w:rPr>
          <w:color w:val="000000"/>
          <w:sz w:val="20"/>
          <w:szCs w:val="20"/>
        </w:rPr>
        <w:t xml:space="preserve">I - agrotóxicos, seus resíduos e embalagens, assim como outros produtos cuja embalagem, após o uso, constitua resíduo perigoso, observadas as regras de gerenciamento de resíduos perigosos previstas </w:t>
      </w:r>
      <w:r w:rsidRPr="009A1FE7">
        <w:rPr>
          <w:color w:val="000000"/>
          <w:sz w:val="20"/>
          <w:szCs w:val="20"/>
        </w:rPr>
        <w:lastRenderedPageBreak/>
        <w:t>em lei ou regulamento, em normas estabelecidas pelos órgãos do Sisnama, do SNVS e do Suasa, ou em normas técnicas;</w:t>
      </w:r>
    </w:p>
    <w:p w:rsidR="00E32574" w:rsidRPr="009A1FE7" w:rsidRDefault="00E32574" w:rsidP="00CA7A38">
      <w:pPr>
        <w:pStyle w:val="artigo"/>
        <w:spacing w:before="120" w:beforeAutospacing="0" w:after="120" w:afterAutospacing="0"/>
        <w:ind w:left="3402"/>
        <w:jc w:val="both"/>
        <w:rPr>
          <w:color w:val="000000"/>
          <w:sz w:val="20"/>
          <w:szCs w:val="20"/>
        </w:rPr>
      </w:pPr>
      <w:bookmarkStart w:id="605" w:name="art33ii"/>
      <w:bookmarkEnd w:id="605"/>
      <w:r w:rsidRPr="009A1FE7">
        <w:rPr>
          <w:color w:val="000000"/>
          <w:sz w:val="20"/>
          <w:szCs w:val="20"/>
        </w:rPr>
        <w:t>II - pilhas e baterias;</w:t>
      </w:r>
    </w:p>
    <w:p w:rsidR="00E32574" w:rsidRPr="009A1FE7" w:rsidRDefault="00E32574" w:rsidP="00CA7A38">
      <w:pPr>
        <w:pStyle w:val="artigo"/>
        <w:spacing w:before="120" w:beforeAutospacing="0" w:after="120" w:afterAutospacing="0"/>
        <w:ind w:left="3402"/>
        <w:jc w:val="both"/>
        <w:rPr>
          <w:color w:val="000000"/>
          <w:sz w:val="20"/>
          <w:szCs w:val="20"/>
        </w:rPr>
      </w:pPr>
      <w:r w:rsidRPr="009A1FE7">
        <w:rPr>
          <w:color w:val="000000"/>
          <w:sz w:val="20"/>
          <w:szCs w:val="20"/>
        </w:rPr>
        <w:t>III - pneus;</w:t>
      </w:r>
    </w:p>
    <w:p w:rsidR="00E32574" w:rsidRPr="009A1FE7" w:rsidRDefault="00E32574" w:rsidP="00CA7A38">
      <w:pPr>
        <w:pStyle w:val="artigo"/>
        <w:spacing w:before="120" w:beforeAutospacing="0" w:after="120" w:afterAutospacing="0"/>
        <w:ind w:left="3402"/>
        <w:jc w:val="both"/>
        <w:rPr>
          <w:color w:val="000000"/>
          <w:sz w:val="20"/>
          <w:szCs w:val="20"/>
        </w:rPr>
      </w:pPr>
      <w:r w:rsidRPr="009A1FE7">
        <w:rPr>
          <w:color w:val="000000"/>
          <w:sz w:val="20"/>
          <w:szCs w:val="20"/>
        </w:rPr>
        <w:t>IV - óleos lubrificantes, seus resíduos e embalagens;</w:t>
      </w:r>
    </w:p>
    <w:p w:rsidR="00E32574" w:rsidRPr="009A1FE7" w:rsidRDefault="00E32574" w:rsidP="00CA7A38">
      <w:pPr>
        <w:pStyle w:val="artigo"/>
        <w:spacing w:before="120" w:beforeAutospacing="0" w:after="120" w:afterAutospacing="0"/>
        <w:ind w:left="3402"/>
        <w:jc w:val="both"/>
        <w:rPr>
          <w:color w:val="000000"/>
          <w:sz w:val="20"/>
          <w:szCs w:val="20"/>
        </w:rPr>
      </w:pPr>
      <w:r w:rsidRPr="009A1FE7">
        <w:rPr>
          <w:color w:val="000000"/>
          <w:sz w:val="20"/>
          <w:szCs w:val="20"/>
        </w:rPr>
        <w:t>V - lâmpadas fluorescentes, de vapor de sódio e mercúrio e de luz mista;</w:t>
      </w:r>
    </w:p>
    <w:p w:rsidR="00E32574" w:rsidRPr="009A1FE7" w:rsidRDefault="00E32574" w:rsidP="00CA7A38">
      <w:pPr>
        <w:pStyle w:val="artigo"/>
        <w:spacing w:before="120" w:beforeAutospacing="0" w:after="120" w:afterAutospacing="0"/>
        <w:ind w:left="3402"/>
        <w:jc w:val="both"/>
        <w:rPr>
          <w:color w:val="000000"/>
          <w:sz w:val="20"/>
          <w:szCs w:val="20"/>
        </w:rPr>
      </w:pPr>
      <w:r w:rsidRPr="009A1FE7">
        <w:rPr>
          <w:color w:val="000000"/>
          <w:sz w:val="20"/>
          <w:szCs w:val="20"/>
        </w:rPr>
        <w:t>VI - produtos eletroeletrônicos e seus componentes. (BRASIL, 2010)</w:t>
      </w:r>
    </w:p>
    <w:p w:rsidR="00E32574" w:rsidRPr="009A1FE7" w:rsidRDefault="00CA7A38" w:rsidP="00971B37">
      <w:pPr>
        <w:pStyle w:val="Titulo"/>
      </w:pPr>
      <w:bookmarkStart w:id="606" w:name="_Toc110334837"/>
      <w:bookmarkStart w:id="607" w:name="_Toc372559172"/>
      <w:bookmarkStart w:id="608" w:name="_Toc372789603"/>
      <w:r>
        <w:t>13.7</w:t>
      </w:r>
      <w:r w:rsidR="009A1FE7">
        <w:t xml:space="preserve"> </w:t>
      </w:r>
      <w:r w:rsidR="00E32574" w:rsidRPr="0090022C">
        <w:t xml:space="preserve">Coleta e </w:t>
      </w:r>
      <w:r w:rsidR="00E32574" w:rsidRPr="00705554">
        <w:t>Transporte</w:t>
      </w:r>
      <w:r w:rsidR="00E32574" w:rsidRPr="0090022C">
        <w:t xml:space="preserve"> de Resíduos Sólidos</w:t>
      </w:r>
      <w:bookmarkEnd w:id="606"/>
      <w:bookmarkEnd w:id="607"/>
      <w:bookmarkEnd w:id="608"/>
    </w:p>
    <w:p w:rsidR="00E32574" w:rsidRPr="008D43D2" w:rsidRDefault="00E32574" w:rsidP="00CA7A38">
      <w:pPr>
        <w:spacing w:after="0" w:line="360" w:lineRule="auto"/>
        <w:ind w:firstLine="709"/>
        <w:jc w:val="both"/>
        <w:rPr>
          <w:lang w:eastAsia="pt-BR"/>
        </w:rPr>
      </w:pPr>
      <w:r w:rsidRPr="008D43D2">
        <w:rPr>
          <w:lang w:eastAsia="pt-BR"/>
        </w:rPr>
        <w:t>O PGIRS indica que a coleta de resíduos em Aimorés deve ser realizada de forma binária. Os resíduos orgânicos devem ser encaminhados para o processo de compostagem e os materiais potencialmente recicláveis segregados nas dependências da UTC para comercialização.</w:t>
      </w:r>
    </w:p>
    <w:p w:rsidR="00E32574" w:rsidRPr="008D43D2" w:rsidRDefault="00E32574" w:rsidP="00CA7A38">
      <w:pPr>
        <w:spacing w:after="0" w:line="360" w:lineRule="auto"/>
        <w:ind w:firstLine="709"/>
        <w:jc w:val="both"/>
        <w:rPr>
          <w:lang w:eastAsia="pt-BR"/>
        </w:rPr>
      </w:pPr>
      <w:r w:rsidRPr="008D43D2">
        <w:rPr>
          <w:lang w:eastAsia="pt-BR"/>
        </w:rPr>
        <w:t xml:space="preserve">Para coletar os RSU a Secretaria Municipal de Transporte e Limpeza Pública dispõe de um caminhão de carroceria (Figura </w:t>
      </w:r>
      <w:r w:rsidR="00CA7A38">
        <w:rPr>
          <w:lang w:eastAsia="pt-BR"/>
        </w:rPr>
        <w:t>174</w:t>
      </w:r>
      <w:r w:rsidRPr="008D43D2">
        <w:rPr>
          <w:lang w:eastAsia="pt-BR"/>
        </w:rPr>
        <w:t>).</w:t>
      </w:r>
    </w:p>
    <w:p w:rsidR="001F0E0C" w:rsidRDefault="001F0E0C">
      <w:pPr>
        <w:spacing w:after="200" w:line="276" w:lineRule="auto"/>
        <w:rPr>
          <w:rFonts w:eastAsia="Times New Roman" w:cs="Tahoma"/>
          <w:b/>
          <w:bCs/>
          <w:szCs w:val="20"/>
          <w:lang w:eastAsia="pt-BR"/>
        </w:rPr>
      </w:pPr>
      <w:r>
        <w:br w:type="page"/>
      </w:r>
    </w:p>
    <w:p w:rsidR="009A1FE7" w:rsidRPr="003E1CEC" w:rsidRDefault="00291A25" w:rsidP="00291A25">
      <w:pPr>
        <w:pStyle w:val="Legenda"/>
      </w:pPr>
      <w:bookmarkStart w:id="609" w:name="_Toc372740257"/>
      <w:r>
        <w:lastRenderedPageBreak/>
        <w:t xml:space="preserve">Figura </w:t>
      </w:r>
      <w:fldSimple w:instr=" SEQ Figura \* ARABIC ">
        <w:r w:rsidR="004F77E2">
          <w:rPr>
            <w:noProof/>
          </w:rPr>
          <w:t>174</w:t>
        </w:r>
      </w:fldSimple>
      <w:r>
        <w:t xml:space="preserve"> - </w:t>
      </w:r>
      <w:r w:rsidRPr="00A87FFC">
        <w:rPr>
          <w:noProof/>
        </w:rPr>
        <w:t>Aspecto visual do caminhão da Prefeitura Municipal de Aimorés transportando RSU coletados para a UTC/aterro controlado.</w:t>
      </w:r>
      <w:bookmarkEnd w:id="609"/>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991499" cy="3386938"/>
            <wp:effectExtent l="19050" t="0" r="0" b="0"/>
            <wp:docPr id="206" name="Image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7"/>
                    <pic:cNvPicPr>
                      <a:picLocks noChangeAspect="1" noChangeArrowheads="1"/>
                    </pic:cNvPicPr>
                  </pic:nvPicPr>
                  <pic:blipFill>
                    <a:blip r:embed="rId245" cstate="print">
                      <a:extLst>
                        <a:ext uri="{28A0092B-C50C-407E-A947-70E740481C1C}">
                          <a14:useLocalDpi xmlns:a14="http://schemas.microsoft.com/office/drawing/2010/main" val="0"/>
                        </a:ext>
                      </a:extLst>
                    </a:blip>
                    <a:srcRect t="18085"/>
                    <a:stretch>
                      <a:fillRect/>
                    </a:stretch>
                  </pic:blipFill>
                  <pic:spPr bwMode="auto">
                    <a:xfrm>
                      <a:off x="0" y="0"/>
                      <a:ext cx="4991499" cy="3386938"/>
                    </a:xfrm>
                    <a:prstGeom prst="rect">
                      <a:avLst/>
                    </a:prstGeom>
                    <a:noFill/>
                    <a:ln>
                      <a:noFill/>
                    </a:ln>
                  </pic:spPr>
                </pic:pic>
              </a:graphicData>
            </a:graphic>
          </wp:inline>
        </w:drawing>
      </w:r>
    </w:p>
    <w:p w:rsidR="00CA7A38" w:rsidRPr="0090022C" w:rsidRDefault="00CA7A38" w:rsidP="00F53533">
      <w:pPr>
        <w:pStyle w:val="Fonte"/>
        <w:ind w:left="708" w:hanging="141"/>
      </w:pPr>
      <w:r w:rsidRPr="0090022C">
        <w:t xml:space="preserve">Fonte: </w:t>
      </w:r>
      <w:r>
        <w:t xml:space="preserve">Fundação Educacional de Caratinga </w:t>
      </w:r>
      <w:r w:rsidRPr="0090022C">
        <w:t>(2013)</w:t>
      </w:r>
    </w:p>
    <w:p w:rsidR="00E32574" w:rsidRPr="008D43D2" w:rsidRDefault="00E32574" w:rsidP="006A499B">
      <w:pPr>
        <w:spacing w:after="0" w:line="360" w:lineRule="auto"/>
        <w:ind w:firstLine="709"/>
        <w:jc w:val="both"/>
        <w:rPr>
          <w:lang w:eastAsia="pt-BR"/>
        </w:rPr>
      </w:pPr>
      <w:r w:rsidRPr="008D43D2">
        <w:rPr>
          <w:lang w:eastAsia="pt-BR"/>
        </w:rPr>
        <w:t>Um dos aspectos negativos é que o veículo usado na coleta dos RSU é aberto, como ilustra a Figura 1</w:t>
      </w:r>
      <w:r w:rsidR="006A499B">
        <w:rPr>
          <w:lang w:eastAsia="pt-BR"/>
        </w:rPr>
        <w:t>74</w:t>
      </w:r>
      <w:r w:rsidRPr="008D43D2">
        <w:rPr>
          <w:lang w:eastAsia="pt-BR"/>
        </w:rPr>
        <w:t xml:space="preserve"> e sem lona para cobrir a carga transportada é o espalhamento de resíduos (principalmente os leves como papeis e plásticos) durante o deslocamento entre a área em que o resíduo foi recolhido até chegar a UTC/aterro controlado.</w:t>
      </w:r>
    </w:p>
    <w:p w:rsidR="00E32574" w:rsidRDefault="00E32574" w:rsidP="006A499B">
      <w:pPr>
        <w:spacing w:after="0" w:line="360" w:lineRule="auto"/>
        <w:ind w:firstLine="709"/>
        <w:jc w:val="both"/>
        <w:rPr>
          <w:lang w:eastAsia="pt-BR"/>
        </w:rPr>
      </w:pPr>
      <w:r w:rsidRPr="008D43D2">
        <w:rPr>
          <w:lang w:eastAsia="pt-BR"/>
        </w:rPr>
        <w:t>Esse problema é agravado quando o veículo transporta resíduos em excesso e os resíduos vêm derramando no trajeto.</w:t>
      </w:r>
    </w:p>
    <w:p w:rsidR="00E32574" w:rsidRPr="0090022C" w:rsidRDefault="006A499B" w:rsidP="00971B37">
      <w:pPr>
        <w:pStyle w:val="Titulo"/>
      </w:pPr>
      <w:bookmarkStart w:id="610" w:name="_Toc110334838"/>
      <w:bookmarkStart w:id="611" w:name="_Toc372559173"/>
      <w:bookmarkStart w:id="612" w:name="_Toc372789604"/>
      <w:r>
        <w:t>13.8</w:t>
      </w:r>
      <w:r w:rsidR="009A1FE7">
        <w:t xml:space="preserve"> </w:t>
      </w:r>
      <w:r w:rsidR="00E32574" w:rsidRPr="00705554">
        <w:t>Coleta</w:t>
      </w:r>
      <w:r w:rsidR="00E32574" w:rsidRPr="0090022C">
        <w:t xml:space="preserve"> Domiciliar</w:t>
      </w:r>
      <w:bookmarkEnd w:id="610"/>
      <w:bookmarkEnd w:id="611"/>
      <w:bookmarkEnd w:id="612"/>
    </w:p>
    <w:p w:rsidR="00E32574" w:rsidRPr="008D43D2" w:rsidRDefault="00E32574" w:rsidP="006A499B">
      <w:pPr>
        <w:spacing w:after="0" w:line="360" w:lineRule="auto"/>
        <w:ind w:firstLine="709"/>
        <w:jc w:val="both"/>
        <w:rPr>
          <w:lang w:eastAsia="pt-BR"/>
        </w:rPr>
      </w:pPr>
      <w:r w:rsidRPr="008D43D2">
        <w:rPr>
          <w:lang w:eastAsia="pt-BR"/>
        </w:rPr>
        <w:t>A regularidade da coleta é um dos mais importantes atributos do serviço. Portanto, um sistema de coleta de resíduo domiciliar precisa estabelecer um recolhimento com dias e horários determinados, de pleno conhecimento de todos através de comunicações individuais a cada responsável pelo imóvel e de placas indicativas nas ruas.</w:t>
      </w:r>
    </w:p>
    <w:p w:rsidR="00E32574" w:rsidRPr="008D43D2" w:rsidRDefault="00E32574" w:rsidP="006A499B">
      <w:pPr>
        <w:spacing w:after="0" w:line="360" w:lineRule="auto"/>
        <w:ind w:firstLine="709"/>
        <w:jc w:val="both"/>
        <w:rPr>
          <w:lang w:eastAsia="pt-BR"/>
        </w:rPr>
      </w:pPr>
      <w:r w:rsidRPr="008D43D2">
        <w:rPr>
          <w:lang w:eastAsia="pt-BR"/>
        </w:rPr>
        <w:t xml:space="preserve">A população deve adquirir confiança no serviço e assim irá prestar sua colaboração, não descartando resíduos em locais impróprios, acondicionando e posicionando embalagens </w:t>
      </w:r>
      <w:r w:rsidRPr="008D43D2">
        <w:rPr>
          <w:lang w:eastAsia="pt-BR"/>
        </w:rPr>
        <w:lastRenderedPageBreak/>
        <w:t>adequadas, nos dias e horários marcados, com grandes benefícios para a higiene ambiental, a saúde pública, a limpeza e o bom aspecto dos logradouros públicos.</w:t>
      </w:r>
    </w:p>
    <w:p w:rsidR="00E32574" w:rsidRPr="008D43D2" w:rsidRDefault="00E32574" w:rsidP="006A499B">
      <w:pPr>
        <w:spacing w:after="0" w:line="360" w:lineRule="auto"/>
        <w:ind w:firstLine="709"/>
        <w:jc w:val="both"/>
        <w:rPr>
          <w:lang w:eastAsia="pt-BR"/>
        </w:rPr>
      </w:pPr>
      <w:r w:rsidRPr="008D43D2">
        <w:rPr>
          <w:lang w:eastAsia="pt-BR"/>
        </w:rPr>
        <w:t>O planejamento do serviço de coleta domiciliar de Aimorés definiu três setores de coleta independentes, Setor 1, Setor 2 e Setor 3, ambos separados pela linha férrea – EFVM. A velocidade de coleta e a extensão máxima de 30 km percorridos, bem como a locação dos pontos de transposição da EFVM, definiram os itinerários de coleta e área de cada setor a ser trabalhado.</w:t>
      </w:r>
    </w:p>
    <w:p w:rsidR="00E32574" w:rsidRPr="008D43D2" w:rsidRDefault="00E32574" w:rsidP="006A499B">
      <w:pPr>
        <w:spacing w:after="0" w:line="360" w:lineRule="auto"/>
        <w:ind w:firstLine="709"/>
        <w:jc w:val="both"/>
        <w:rPr>
          <w:lang w:eastAsia="pt-BR"/>
        </w:rPr>
      </w:pPr>
      <w:r w:rsidRPr="008D43D2">
        <w:rPr>
          <w:lang w:eastAsia="pt-BR"/>
        </w:rPr>
        <w:t>A coleta do Setor 01 será preferencialmente realizada nas 2a, 4a, e 6a feiras pela manhã, em horários definidos pelo departamento de limpeza pública da Prefeitura. Da mesma forma alternada, a coleta do Setor 02 será realizada nas 3a, 5a feiras e sábado, também em horários definidos previamente e informados à comunidade.</w:t>
      </w:r>
    </w:p>
    <w:p w:rsidR="00E32574" w:rsidRPr="008D43D2" w:rsidRDefault="00E32574" w:rsidP="006A499B">
      <w:pPr>
        <w:spacing w:after="0" w:line="360" w:lineRule="auto"/>
        <w:ind w:firstLine="709"/>
        <w:jc w:val="both"/>
        <w:rPr>
          <w:lang w:eastAsia="pt-BR"/>
        </w:rPr>
      </w:pPr>
      <w:r w:rsidRPr="008D43D2">
        <w:rPr>
          <w:lang w:eastAsia="pt-BR"/>
        </w:rPr>
        <w:t>Para atendimento do serviço de coleta RSU na área central de Aimorés que concentra as atividades comerciais e, por consequência, a maior produção de RSU recomenda-se que o serviço de coleta na área central seja diário.</w:t>
      </w:r>
    </w:p>
    <w:p w:rsidR="00E32574" w:rsidRPr="008D43D2" w:rsidRDefault="00E32574" w:rsidP="006A499B">
      <w:pPr>
        <w:spacing w:after="0" w:line="360" w:lineRule="auto"/>
        <w:ind w:firstLine="709"/>
        <w:jc w:val="both"/>
        <w:rPr>
          <w:lang w:eastAsia="pt-BR"/>
        </w:rPr>
      </w:pPr>
      <w:r w:rsidRPr="008D43D2">
        <w:rPr>
          <w:lang w:eastAsia="pt-BR"/>
        </w:rPr>
        <w:t>Foi dada especial atenção para a realização dos serviços no Setor 03 de Aimorés, composto pelo Distrito Santo Antônio do Rio Doce. Foi desenvolvido um planejamento de coleta e itinerários específico no sentido de estabelecer o tratamento e a destinação final adequados. A coleta no local será alternada nas 2a, 4a, e 6a feiras, em horários definidos previamente e informados à comunidade.</w:t>
      </w:r>
    </w:p>
    <w:p w:rsidR="00E32574" w:rsidRDefault="00E32574" w:rsidP="006A499B">
      <w:pPr>
        <w:spacing w:after="0" w:line="360" w:lineRule="auto"/>
        <w:ind w:firstLine="709"/>
        <w:jc w:val="both"/>
        <w:rPr>
          <w:lang w:eastAsia="pt-BR"/>
        </w:rPr>
      </w:pPr>
      <w:r w:rsidRPr="008D43D2">
        <w:rPr>
          <w:lang w:eastAsia="pt-BR"/>
        </w:rPr>
        <w:t>A equipe de trabalho deverá ser constituída a partir de um motorista e dois coletores para cada veículo coletor, todos devidamente equipados com os equipamentos de proteção individual - EPI`s.</w:t>
      </w:r>
    </w:p>
    <w:p w:rsidR="00E32574" w:rsidRPr="0090022C" w:rsidRDefault="006A499B" w:rsidP="00971B37">
      <w:pPr>
        <w:pStyle w:val="Titulo"/>
      </w:pPr>
      <w:bookmarkStart w:id="613" w:name="_Toc110334839"/>
      <w:bookmarkStart w:id="614" w:name="_Toc372559174"/>
      <w:bookmarkStart w:id="615" w:name="_Toc372789605"/>
      <w:r>
        <w:t>13.9</w:t>
      </w:r>
      <w:r w:rsidR="009A1FE7">
        <w:t xml:space="preserve"> </w:t>
      </w:r>
      <w:r w:rsidR="00E32574" w:rsidRPr="0090022C">
        <w:t>Coleta Especial</w:t>
      </w:r>
      <w:bookmarkEnd w:id="613"/>
      <w:bookmarkEnd w:id="614"/>
      <w:bookmarkEnd w:id="615"/>
    </w:p>
    <w:p w:rsidR="00E32574" w:rsidRPr="008D43D2" w:rsidRDefault="00E32574" w:rsidP="006A499B">
      <w:pPr>
        <w:spacing w:after="0" w:line="360" w:lineRule="auto"/>
        <w:ind w:firstLine="709"/>
        <w:jc w:val="both"/>
        <w:rPr>
          <w:lang w:eastAsia="pt-BR"/>
        </w:rPr>
      </w:pPr>
      <w:r w:rsidRPr="008D43D2">
        <w:rPr>
          <w:lang w:eastAsia="pt-BR"/>
        </w:rPr>
        <w:t>A principal coleta especial é a dos RSS. Esta coleta é realizada diariamente pela Secretaria Municipal de Transporte e Limpeza Pública, nos três setores da cidade e apesar de ser de responsabilidade do gerador, entretanto, em Aimorés esses resíduos são coletados pela Prefeitura, mesmos daqueles estabelecimentos privados (Hospital São José, farmácias, clinicas medicas e odontológicas, laboratórios). Os RSS são coletados sem nenhum ônus, quer seja para a coleta e transporte, quer seja para tratamento e/ou disposição final.</w:t>
      </w:r>
    </w:p>
    <w:p w:rsidR="00E32574" w:rsidRPr="008D43D2" w:rsidRDefault="00E32574" w:rsidP="006A499B">
      <w:pPr>
        <w:spacing w:after="0" w:line="360" w:lineRule="auto"/>
        <w:ind w:firstLine="709"/>
        <w:jc w:val="both"/>
        <w:rPr>
          <w:lang w:eastAsia="pt-BR"/>
        </w:rPr>
      </w:pPr>
      <w:r w:rsidRPr="008D43D2">
        <w:rPr>
          <w:lang w:eastAsia="pt-BR"/>
        </w:rPr>
        <w:lastRenderedPageBreak/>
        <w:t xml:space="preserve">A coleta é feita utilizando um baú tracionado por uma motocicleta, conforme ilustra a Figura </w:t>
      </w:r>
      <w:r w:rsidR="006A499B">
        <w:rPr>
          <w:lang w:eastAsia="pt-BR"/>
        </w:rPr>
        <w:t>175</w:t>
      </w:r>
      <w:r w:rsidRPr="008D43D2">
        <w:rPr>
          <w:lang w:eastAsia="pt-BR"/>
        </w:rPr>
        <w:t>.</w:t>
      </w:r>
    </w:p>
    <w:p w:rsidR="009A1FE7" w:rsidRPr="0090022C" w:rsidRDefault="00291A25" w:rsidP="00291A25">
      <w:pPr>
        <w:pStyle w:val="Legenda"/>
      </w:pPr>
      <w:bookmarkStart w:id="616" w:name="_Toc372740258"/>
      <w:r>
        <w:t xml:space="preserve">Figura </w:t>
      </w:r>
      <w:fldSimple w:instr=" SEQ Figura \* ARABIC ">
        <w:r w:rsidR="004F77E2">
          <w:rPr>
            <w:noProof/>
          </w:rPr>
          <w:t>175</w:t>
        </w:r>
      </w:fldSimple>
      <w:r>
        <w:t xml:space="preserve"> - </w:t>
      </w:r>
      <w:r w:rsidRPr="00FD4E9D">
        <w:rPr>
          <w:noProof/>
        </w:rPr>
        <w:t>Equipamento tracionado por motocicleta utilizado pela Prefeitura de Aimorés para a coleta dos RSS.</w:t>
      </w:r>
      <w:bookmarkEnd w:id="616"/>
    </w:p>
    <w:tbl>
      <w:tblPr>
        <w:tblW w:w="0" w:type="auto"/>
        <w:tblLook w:val="04A0" w:firstRow="1" w:lastRow="0" w:firstColumn="1" w:lastColumn="0" w:noHBand="0" w:noVBand="1"/>
      </w:tblPr>
      <w:tblGrid>
        <w:gridCol w:w="5136"/>
        <w:gridCol w:w="3936"/>
      </w:tblGrid>
      <w:tr w:rsidR="00E32574" w:rsidRPr="000B3308" w:rsidTr="006A499B">
        <w:tc>
          <w:tcPr>
            <w:tcW w:w="5136" w:type="dxa"/>
            <w:vAlign w:val="center"/>
          </w:tcPr>
          <w:p w:rsidR="00E32574" w:rsidRDefault="00E32574" w:rsidP="000B3308">
            <w:pPr>
              <w:spacing w:after="0" w:line="240" w:lineRule="auto"/>
              <w:jc w:val="center"/>
              <w:rPr>
                <w:noProof/>
                <w:lang w:eastAsia="pt-BR"/>
              </w:rPr>
            </w:pPr>
            <w:r w:rsidRPr="000B3308">
              <w:rPr>
                <w:noProof/>
                <w:lang w:eastAsia="pt-BR"/>
              </w:rPr>
              <w:drawing>
                <wp:inline distT="0" distB="0" distL="0" distR="0">
                  <wp:extent cx="3079699" cy="2578452"/>
                  <wp:effectExtent l="19050" t="19050" r="26035" b="12700"/>
                  <wp:docPr id="205" name="Image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5"/>
                          <pic:cNvPicPr>
                            <a:picLocks noChangeAspect="1" noChangeArrowheads="1"/>
                          </pic:cNvPicPr>
                        </pic:nvPicPr>
                        <pic:blipFill>
                          <a:blip r:embed="rId246" cstate="print">
                            <a:extLst>
                              <a:ext uri="{28A0092B-C50C-407E-A947-70E740481C1C}">
                                <a14:useLocalDpi xmlns:a14="http://schemas.microsoft.com/office/drawing/2010/main" val="0"/>
                              </a:ext>
                            </a:extLst>
                          </a:blip>
                          <a:srcRect l="20218" t="5440" b="14767"/>
                          <a:stretch>
                            <a:fillRect/>
                          </a:stretch>
                        </pic:blipFill>
                        <pic:spPr bwMode="auto">
                          <a:xfrm>
                            <a:off x="0" y="0"/>
                            <a:ext cx="3090107" cy="2587166"/>
                          </a:xfrm>
                          <a:prstGeom prst="rect">
                            <a:avLst/>
                          </a:prstGeom>
                          <a:solidFill>
                            <a:srgbClr val="000000"/>
                          </a:solidFill>
                          <a:ln w="12700" cmpd="sng">
                            <a:solidFill>
                              <a:srgbClr val="000000"/>
                            </a:solidFill>
                            <a:miter lim="800000"/>
                            <a:headEnd/>
                            <a:tailEnd/>
                          </a:ln>
                          <a:effectLst/>
                        </pic:spPr>
                      </pic:pic>
                    </a:graphicData>
                  </a:graphic>
                </wp:inline>
              </w:drawing>
            </w:r>
          </w:p>
          <w:p w:rsidR="006A499B" w:rsidRPr="000B3308" w:rsidRDefault="006A499B" w:rsidP="000B3308">
            <w:pPr>
              <w:spacing w:after="0" w:line="240" w:lineRule="auto"/>
              <w:jc w:val="center"/>
              <w:rPr>
                <w:noProof/>
                <w:lang w:eastAsia="pt-BR"/>
              </w:rPr>
            </w:pPr>
            <w:r>
              <w:rPr>
                <w:noProof/>
                <w:lang w:eastAsia="pt-BR"/>
              </w:rPr>
              <w:t>A</w:t>
            </w:r>
          </w:p>
          <w:p w:rsidR="00E32574" w:rsidRPr="000B3308" w:rsidRDefault="00E32574" w:rsidP="000B3308">
            <w:pPr>
              <w:spacing w:after="0" w:line="240" w:lineRule="auto"/>
              <w:jc w:val="center"/>
              <w:rPr>
                <w:noProof/>
                <w:lang w:eastAsia="pt-BR"/>
              </w:rPr>
            </w:pPr>
          </w:p>
        </w:tc>
        <w:tc>
          <w:tcPr>
            <w:tcW w:w="3936" w:type="dxa"/>
            <w:vAlign w:val="center"/>
          </w:tcPr>
          <w:p w:rsidR="00E32574" w:rsidRDefault="00E32574" w:rsidP="000B3308">
            <w:pPr>
              <w:spacing w:after="0" w:line="240" w:lineRule="auto"/>
              <w:jc w:val="center"/>
              <w:rPr>
                <w:noProof/>
                <w:lang w:eastAsia="pt-BR"/>
              </w:rPr>
            </w:pPr>
            <w:r w:rsidRPr="000B3308">
              <w:rPr>
                <w:noProof/>
                <w:lang w:eastAsia="pt-BR"/>
              </w:rPr>
              <w:drawing>
                <wp:inline distT="0" distB="0" distL="0" distR="0">
                  <wp:extent cx="2186820" cy="2414016"/>
                  <wp:effectExtent l="19050" t="19050" r="23495" b="24765"/>
                  <wp:docPr id="204" name="Imagem 204" descr="Imagem0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Imagem0453"/>
                          <pic:cNvPicPr>
                            <a:picLocks noChangeAspect="1" noChangeArrowheads="1"/>
                          </pic:cNvPicPr>
                        </pic:nvPicPr>
                        <pic:blipFill>
                          <a:blip r:embed="rId247" cstate="print">
                            <a:extLst>
                              <a:ext uri="{28A0092B-C50C-407E-A947-70E740481C1C}">
                                <a14:useLocalDpi xmlns:a14="http://schemas.microsoft.com/office/drawing/2010/main" val="0"/>
                              </a:ext>
                            </a:extLst>
                          </a:blip>
                          <a:srcRect l="23242" t="33073" r="31250"/>
                          <a:stretch>
                            <a:fillRect/>
                          </a:stretch>
                        </pic:blipFill>
                        <pic:spPr bwMode="auto">
                          <a:xfrm>
                            <a:off x="0" y="0"/>
                            <a:ext cx="2203149" cy="2432041"/>
                          </a:xfrm>
                          <a:prstGeom prst="rect">
                            <a:avLst/>
                          </a:prstGeom>
                          <a:noFill/>
                          <a:ln w="6350" cmpd="sng">
                            <a:solidFill>
                              <a:srgbClr val="000000"/>
                            </a:solidFill>
                            <a:miter lim="800000"/>
                            <a:headEnd/>
                            <a:tailEnd/>
                          </a:ln>
                          <a:effectLst/>
                        </pic:spPr>
                      </pic:pic>
                    </a:graphicData>
                  </a:graphic>
                </wp:inline>
              </w:drawing>
            </w:r>
          </w:p>
          <w:p w:rsidR="006A499B" w:rsidRPr="000B3308" w:rsidRDefault="006A499B" w:rsidP="000B3308">
            <w:pPr>
              <w:spacing w:after="0" w:line="240" w:lineRule="auto"/>
              <w:jc w:val="center"/>
              <w:rPr>
                <w:noProof/>
                <w:lang w:eastAsia="pt-BR"/>
              </w:rPr>
            </w:pPr>
            <w:r>
              <w:rPr>
                <w:noProof/>
                <w:lang w:eastAsia="pt-BR"/>
              </w:rPr>
              <w:t>B</w:t>
            </w:r>
          </w:p>
        </w:tc>
      </w:tr>
    </w:tbl>
    <w:p w:rsidR="006A499B" w:rsidRPr="0090022C" w:rsidRDefault="006A499B" w:rsidP="006A499B">
      <w:pPr>
        <w:pStyle w:val="Fonte"/>
        <w:spacing w:before="0"/>
        <w:ind w:left="709" w:hanging="567"/>
      </w:pPr>
      <w:r w:rsidRPr="0090022C">
        <w:t xml:space="preserve">Fonte: </w:t>
      </w:r>
      <w:r>
        <w:t xml:space="preserve">Fundação Educacional de Caratinga </w:t>
      </w:r>
      <w:r w:rsidRPr="0090022C">
        <w:t>(2013)</w:t>
      </w:r>
    </w:p>
    <w:p w:rsidR="00E32574" w:rsidRPr="008D43D2" w:rsidRDefault="00E32574" w:rsidP="006A499B">
      <w:pPr>
        <w:spacing w:after="0" w:line="360" w:lineRule="auto"/>
        <w:ind w:firstLine="709"/>
        <w:jc w:val="both"/>
        <w:rPr>
          <w:lang w:eastAsia="pt-BR"/>
        </w:rPr>
      </w:pPr>
      <w:r w:rsidRPr="008D43D2">
        <w:rPr>
          <w:lang w:eastAsia="pt-BR"/>
        </w:rPr>
        <w:t>O responsável pela coleta dos RSS deveria ser constituída de um motorista e um coletor, todos devidamente equipados com os EPI`s necessários a segurança na realização do trabalho, entretanto, em relação ao uso do EPI não foi isto o que foi visto.</w:t>
      </w:r>
    </w:p>
    <w:p w:rsidR="00E32574" w:rsidRDefault="00E32574" w:rsidP="006A499B">
      <w:pPr>
        <w:spacing w:after="0" w:line="360" w:lineRule="auto"/>
        <w:ind w:firstLine="709"/>
        <w:jc w:val="both"/>
        <w:rPr>
          <w:lang w:eastAsia="pt-BR"/>
        </w:rPr>
      </w:pPr>
      <w:r w:rsidRPr="008D43D2">
        <w:rPr>
          <w:lang w:eastAsia="pt-BR"/>
        </w:rPr>
        <w:t>As demais coletas de resíduos especiais, tais como resíduos da construção civil, estes são prerrogativas dos produtores e comerciantes locais. A prefeitura poderá realizar a coleta desses resíduos sob o regime especial com cobrança de tarifas diferenciadas.</w:t>
      </w:r>
    </w:p>
    <w:p w:rsidR="00E32574" w:rsidRPr="0090022C" w:rsidRDefault="006A499B" w:rsidP="00971B37">
      <w:pPr>
        <w:pStyle w:val="Titulo"/>
      </w:pPr>
      <w:bookmarkStart w:id="617" w:name="_Toc110334840"/>
      <w:bookmarkStart w:id="618" w:name="_Toc372559175"/>
      <w:bookmarkStart w:id="619" w:name="_Toc372789606"/>
      <w:r>
        <w:t>13.</w:t>
      </w:r>
      <w:r w:rsidR="001F0E0C">
        <w:t>10</w:t>
      </w:r>
      <w:r w:rsidR="009A1FE7">
        <w:t xml:space="preserve"> </w:t>
      </w:r>
      <w:r w:rsidR="00E32574" w:rsidRPr="0090022C">
        <w:t xml:space="preserve">Coleta dos </w:t>
      </w:r>
      <w:r w:rsidR="00E32574" w:rsidRPr="00705554">
        <w:t>Materiais</w:t>
      </w:r>
      <w:r w:rsidR="00E32574" w:rsidRPr="0090022C">
        <w:t xml:space="preserve"> Recicláveis</w:t>
      </w:r>
      <w:bookmarkEnd w:id="617"/>
      <w:bookmarkEnd w:id="618"/>
      <w:bookmarkEnd w:id="619"/>
    </w:p>
    <w:p w:rsidR="00E32574" w:rsidRPr="008D43D2" w:rsidRDefault="00E32574" w:rsidP="006A499B">
      <w:pPr>
        <w:spacing w:after="0" w:line="360" w:lineRule="auto"/>
        <w:ind w:firstLine="709"/>
        <w:jc w:val="both"/>
        <w:rPr>
          <w:lang w:eastAsia="pt-BR"/>
        </w:rPr>
      </w:pPr>
      <w:r w:rsidRPr="008D43D2">
        <w:rPr>
          <w:lang w:eastAsia="pt-BR"/>
        </w:rPr>
        <w:t xml:space="preserve">O grande desafio para implantação de programas de coleta seletiva é buscar um modelo que permita a sua </w:t>
      </w:r>
      <w:r w:rsidR="00466071" w:rsidRPr="008D43D2">
        <w:rPr>
          <w:lang w:eastAsia="pt-BR"/>
        </w:rPr>
        <w:t>auto sustentabilidade</w:t>
      </w:r>
      <w:r w:rsidRPr="008D43D2">
        <w:rPr>
          <w:lang w:eastAsia="pt-BR"/>
        </w:rPr>
        <w:t xml:space="preserve"> econômica. Os modelos mais tradicionais, implantados nas capitais e maiores cidades do país, quase sempre são subsidiados pelo poder público e são de difícil aplicação em pequenos municípios. A coleta seletiva, quando utiliza veículos da própria prefeitura, de uma maneira geral, não é econômica. Ideal seria que o poder público se reservasse a regular e incentivar o processo, participando indiretamente de sua operação.</w:t>
      </w:r>
    </w:p>
    <w:p w:rsidR="00E32574" w:rsidRPr="008D43D2" w:rsidRDefault="00E32574" w:rsidP="006A499B">
      <w:pPr>
        <w:spacing w:after="0" w:line="360" w:lineRule="auto"/>
        <w:ind w:firstLine="709"/>
        <w:jc w:val="both"/>
        <w:rPr>
          <w:lang w:eastAsia="pt-BR"/>
        </w:rPr>
      </w:pPr>
      <w:r w:rsidRPr="008D43D2">
        <w:rPr>
          <w:lang w:eastAsia="pt-BR"/>
        </w:rPr>
        <w:lastRenderedPageBreak/>
        <w:t>Embora a escassez de recursos dificulte a implantação de programas de reciclagem, a municipalidade deve se apoiar a UTC existente no município e procurar modelos alternativos de coleta compatíveis com os recursos da prefeitura e da própria comunidade.</w:t>
      </w:r>
    </w:p>
    <w:p w:rsidR="00E32574" w:rsidRPr="008D43D2" w:rsidRDefault="00E32574" w:rsidP="006A499B">
      <w:pPr>
        <w:spacing w:after="0" w:line="360" w:lineRule="auto"/>
        <w:ind w:firstLine="709"/>
        <w:jc w:val="both"/>
        <w:rPr>
          <w:lang w:eastAsia="pt-BR"/>
        </w:rPr>
      </w:pPr>
      <w:r w:rsidRPr="008D43D2">
        <w:rPr>
          <w:lang w:eastAsia="pt-BR"/>
        </w:rPr>
        <w:t>Os carroceiros devem ser inscritos no projeto junto a Prefeitura que deverá orientá-los quanto ao emplacamento das carroças; carteira para seus condutores contendo dados pessoais e tipo sanguíneo, além de um colete de identificação com o telefone do “Disque Carroça” para a realização da coleta solicitada.</w:t>
      </w:r>
    </w:p>
    <w:p w:rsidR="00E32574" w:rsidRDefault="00E32574" w:rsidP="006A499B">
      <w:pPr>
        <w:spacing w:after="0" w:line="360" w:lineRule="auto"/>
        <w:ind w:firstLine="709"/>
        <w:jc w:val="both"/>
        <w:rPr>
          <w:lang w:eastAsia="pt-BR"/>
        </w:rPr>
      </w:pPr>
      <w:r w:rsidRPr="008D43D2">
        <w:rPr>
          <w:lang w:eastAsia="pt-BR"/>
        </w:rPr>
        <w:t>A grave crise social existente no país tem levado um número cada vez maior de pessoas a buscar a sua sobrevivência através da catação e separação de materiais recicláveis existentes no lixo domiciliar. A Prefeitura de Aimorés deve dar cunho social ao seu programa de coleta seletiva e reciclagem, formando cooperativas de trabalhadores/catadores que atuem na coleta e separação de materiais recicláveis.</w:t>
      </w:r>
    </w:p>
    <w:p w:rsidR="00E32574" w:rsidRPr="006A499B" w:rsidRDefault="006A499B" w:rsidP="00971B37">
      <w:pPr>
        <w:pStyle w:val="Titulo"/>
      </w:pPr>
      <w:bookmarkStart w:id="620" w:name="_Toc372559176"/>
      <w:bookmarkStart w:id="621" w:name="_Toc372789607"/>
      <w:r w:rsidRPr="006A499B">
        <w:t>13.1</w:t>
      </w:r>
      <w:r w:rsidR="001F0E0C">
        <w:t>1</w:t>
      </w:r>
      <w:r w:rsidRPr="006A499B">
        <w:t xml:space="preserve"> </w:t>
      </w:r>
      <w:r w:rsidR="00E32574" w:rsidRPr="006A499B">
        <w:t>Situação da Limpeza Pública nos Distritos</w:t>
      </w:r>
      <w:bookmarkEnd w:id="620"/>
      <w:bookmarkEnd w:id="621"/>
    </w:p>
    <w:p w:rsidR="00E32574" w:rsidRPr="008D43D2" w:rsidRDefault="00E32574" w:rsidP="006A499B">
      <w:pPr>
        <w:spacing w:after="0" w:line="360" w:lineRule="auto"/>
        <w:ind w:firstLine="709"/>
        <w:jc w:val="both"/>
        <w:rPr>
          <w:lang w:eastAsia="pt-BR"/>
        </w:rPr>
      </w:pPr>
      <w:r w:rsidRPr="008D43D2">
        <w:rPr>
          <w:lang w:eastAsia="pt-BR"/>
        </w:rPr>
        <w:t xml:space="preserve">Nos distritos de Alto Capim e Mundo Novo de Minas há um varredor de rua em cada distrito e os mesmos fazem a coleta, transporte e disposição dos resíduo sólidos/entulhos com </w:t>
      </w:r>
      <w:r w:rsidR="003702F8" w:rsidRPr="008D43D2">
        <w:rPr>
          <w:lang w:eastAsia="pt-BR"/>
        </w:rPr>
        <w:t>auxílio</w:t>
      </w:r>
      <w:r w:rsidRPr="008D43D2">
        <w:rPr>
          <w:lang w:eastAsia="pt-BR"/>
        </w:rPr>
        <w:t xml:space="preserve"> de um trator em uma vala feita no distrito. O caminhão que coleta os RSU na sede não vai até estes distritos. </w:t>
      </w:r>
    </w:p>
    <w:p w:rsidR="00E32574" w:rsidRPr="008D43D2" w:rsidRDefault="00E32574" w:rsidP="006A499B">
      <w:pPr>
        <w:spacing w:after="0" w:line="360" w:lineRule="auto"/>
        <w:ind w:firstLine="709"/>
        <w:jc w:val="both"/>
        <w:rPr>
          <w:lang w:eastAsia="pt-BR"/>
        </w:rPr>
      </w:pPr>
      <w:r w:rsidRPr="008D43D2">
        <w:rPr>
          <w:lang w:eastAsia="pt-BR"/>
        </w:rPr>
        <w:t xml:space="preserve">Nos distritos de Conceição do Capim, Penha do Capim e Expedicionário </w:t>
      </w:r>
      <w:r w:rsidR="003702F8" w:rsidRPr="008D43D2">
        <w:rPr>
          <w:lang w:eastAsia="pt-BR"/>
        </w:rPr>
        <w:t>Alicio</w:t>
      </w:r>
      <w:r w:rsidRPr="008D43D2">
        <w:rPr>
          <w:lang w:eastAsia="pt-BR"/>
        </w:rPr>
        <w:t xml:space="preserve"> dispõe varredores de ruas e logradouros, que também efetuam o recolhimento dos resíduos, sendo que os dois primeiros contam com quatro funcionários cada um e o último três. O caminhão que coleta os RSU na sede vai duas vezes por semana em ambos os distritos recolher os resíduos e transportar para o aterro controlado localizado na sede.</w:t>
      </w:r>
    </w:p>
    <w:p w:rsidR="00E32574" w:rsidRPr="008D43D2" w:rsidRDefault="00E32574" w:rsidP="006A499B">
      <w:pPr>
        <w:spacing w:after="0" w:line="360" w:lineRule="auto"/>
        <w:ind w:firstLine="709"/>
        <w:jc w:val="both"/>
        <w:rPr>
          <w:lang w:eastAsia="pt-BR"/>
        </w:rPr>
      </w:pPr>
      <w:r w:rsidRPr="008D43D2">
        <w:rPr>
          <w:lang w:eastAsia="pt-BR"/>
        </w:rPr>
        <w:t>No distrito de Penha do Capim, foi escavada uma vala com o intuito de aterrar os resíduos coletados, no entanto esse processo só acontece quando o equipamento (trator ou pá carregadeira) da prefeitura está disponível.</w:t>
      </w:r>
    </w:p>
    <w:p w:rsidR="00E32574" w:rsidRPr="008D43D2" w:rsidRDefault="00E32574" w:rsidP="006A499B">
      <w:pPr>
        <w:spacing w:after="0" w:line="360" w:lineRule="auto"/>
        <w:ind w:firstLine="709"/>
        <w:jc w:val="both"/>
        <w:rPr>
          <w:lang w:eastAsia="pt-BR"/>
        </w:rPr>
      </w:pPr>
      <w:r w:rsidRPr="008D43D2">
        <w:rPr>
          <w:lang w:eastAsia="pt-BR"/>
        </w:rPr>
        <w:t xml:space="preserve">Em São Sebastião da Vala há cinco varredores que fazem além da varrição de ruas e logradouros públicos a coleta, transporte e disposição dos resíduo sólidos/entulhos com </w:t>
      </w:r>
      <w:r w:rsidR="003702F8" w:rsidRPr="008D43D2">
        <w:rPr>
          <w:lang w:eastAsia="pt-BR"/>
        </w:rPr>
        <w:t>auxílio</w:t>
      </w:r>
      <w:r w:rsidRPr="008D43D2">
        <w:rPr>
          <w:lang w:eastAsia="pt-BR"/>
        </w:rPr>
        <w:t xml:space="preserve"> de um trator em uma vala feita no próprio distrito</w:t>
      </w:r>
    </w:p>
    <w:p w:rsidR="00E32574" w:rsidRPr="008D43D2" w:rsidRDefault="00E32574" w:rsidP="006A499B">
      <w:pPr>
        <w:spacing w:after="0" w:line="360" w:lineRule="auto"/>
        <w:ind w:firstLine="709"/>
        <w:jc w:val="both"/>
        <w:rPr>
          <w:lang w:eastAsia="pt-BR"/>
        </w:rPr>
      </w:pPr>
      <w:r w:rsidRPr="008D43D2">
        <w:rPr>
          <w:lang w:eastAsia="pt-BR"/>
        </w:rPr>
        <w:lastRenderedPageBreak/>
        <w:t>No distrito de Santo Antônio do Rio Doce a coleta dos RSU é feita diariamente, os resíduos recolhidos são transportados para o aterro controlado localizado na sede.</w:t>
      </w:r>
    </w:p>
    <w:p w:rsidR="00E32574" w:rsidRPr="008D43D2" w:rsidRDefault="00E32574" w:rsidP="006A499B">
      <w:pPr>
        <w:spacing w:after="0" w:line="360" w:lineRule="auto"/>
        <w:ind w:firstLine="709"/>
        <w:jc w:val="both"/>
        <w:rPr>
          <w:lang w:eastAsia="pt-BR"/>
        </w:rPr>
      </w:pPr>
      <w:r w:rsidRPr="008D43D2">
        <w:rPr>
          <w:lang w:eastAsia="pt-BR"/>
        </w:rPr>
        <w:t xml:space="preserve">No distrito de Tabaúna há três varredores de ruas e logradouros e os mesmos fazem a auxiliam na coleta dos RSU. Esses resíduos são recolhidos com </w:t>
      </w:r>
      <w:r w:rsidR="003702F8" w:rsidRPr="008D43D2">
        <w:rPr>
          <w:lang w:eastAsia="pt-BR"/>
        </w:rPr>
        <w:t>auxílio</w:t>
      </w:r>
      <w:r w:rsidRPr="008D43D2">
        <w:rPr>
          <w:lang w:eastAsia="pt-BR"/>
        </w:rPr>
        <w:t xml:space="preserve"> de um trator e transportado para a disposição final em uma vala feita no próprio distrito.</w:t>
      </w:r>
    </w:p>
    <w:p w:rsidR="00E32574" w:rsidRDefault="00E32574" w:rsidP="006A499B">
      <w:pPr>
        <w:spacing w:after="0" w:line="360" w:lineRule="auto"/>
        <w:ind w:firstLine="709"/>
        <w:jc w:val="both"/>
        <w:rPr>
          <w:lang w:eastAsia="pt-BR"/>
        </w:rPr>
      </w:pPr>
      <w:r w:rsidRPr="008D43D2">
        <w:rPr>
          <w:lang w:eastAsia="pt-BR"/>
        </w:rPr>
        <w:t xml:space="preserve">De forma geral observa-se com certa </w:t>
      </w:r>
      <w:r w:rsidR="003702F8" w:rsidRPr="008D43D2">
        <w:rPr>
          <w:lang w:eastAsia="pt-BR"/>
        </w:rPr>
        <w:t>frequentemente</w:t>
      </w:r>
      <w:r w:rsidRPr="008D43D2">
        <w:rPr>
          <w:lang w:eastAsia="pt-BR"/>
        </w:rPr>
        <w:t xml:space="preserve"> a prática a queima dos resíduos.</w:t>
      </w:r>
    </w:p>
    <w:p w:rsidR="00E32574" w:rsidRPr="006A499B" w:rsidRDefault="006A499B" w:rsidP="00971B37">
      <w:pPr>
        <w:pStyle w:val="Titulo"/>
      </w:pPr>
      <w:bookmarkStart w:id="622" w:name="_Toc110334841"/>
      <w:bookmarkStart w:id="623" w:name="_Toc372559177"/>
      <w:bookmarkStart w:id="624" w:name="_Toc372789608"/>
      <w:r w:rsidRPr="006A499B">
        <w:t>13.1</w:t>
      </w:r>
      <w:r w:rsidR="001F0E0C">
        <w:t>2</w:t>
      </w:r>
      <w:r w:rsidRPr="006A499B">
        <w:t xml:space="preserve"> </w:t>
      </w:r>
      <w:r w:rsidR="00E32574" w:rsidRPr="006A499B">
        <w:t>Limpeza de Logradouros Públicos</w:t>
      </w:r>
      <w:bookmarkEnd w:id="622"/>
      <w:bookmarkEnd w:id="623"/>
      <w:bookmarkEnd w:id="624"/>
    </w:p>
    <w:p w:rsidR="00E32574" w:rsidRPr="008D43D2" w:rsidRDefault="00E32574" w:rsidP="006A499B">
      <w:pPr>
        <w:spacing w:after="0" w:line="360" w:lineRule="auto"/>
        <w:ind w:firstLine="708"/>
        <w:jc w:val="both"/>
        <w:rPr>
          <w:lang w:eastAsia="pt-BR"/>
        </w:rPr>
      </w:pPr>
      <w:r w:rsidRPr="008D43D2">
        <w:rPr>
          <w:lang w:eastAsia="pt-BR"/>
        </w:rPr>
        <w:t>A limpeza das ruas de Aimorés é de interesse comunitário e deve ser tratada priorizando o aspecto coletivo em relação ao individual, respeitando os anseios da maioria dos cidadãos. Uma cidade limpa promove o orgulho a seus habitantes, melhora a aparência da comunidade, ajuda a atrair novos residentes e turistas, valoriza os imóveis e movimenta os negócios.</w:t>
      </w:r>
    </w:p>
    <w:p w:rsidR="00E32574" w:rsidRPr="008D43D2" w:rsidRDefault="00E32574" w:rsidP="006A499B">
      <w:pPr>
        <w:spacing w:after="0" w:line="360" w:lineRule="auto"/>
        <w:ind w:firstLine="708"/>
        <w:jc w:val="both"/>
        <w:rPr>
          <w:lang w:eastAsia="pt-BR"/>
        </w:rPr>
      </w:pPr>
      <w:r w:rsidRPr="008D43D2">
        <w:rPr>
          <w:lang w:eastAsia="pt-BR"/>
        </w:rPr>
        <w:t>Os serviços de limpeza dos logradouros prestado em Aimorés são: Varrição, Capina, Raspagem e Roçagem; Limpeza de bueiros; Serviços de remoção. Contemplam, ainda, atividades como desobstrução de ramais e galerias pluviais, poda de árvores, pintura de meio-fio e lavagem de logradouros públicos, segundo roteiros indicados.</w:t>
      </w:r>
    </w:p>
    <w:p w:rsidR="00E32574" w:rsidRPr="008D43D2" w:rsidRDefault="00E32574" w:rsidP="006A499B">
      <w:pPr>
        <w:spacing w:after="0" w:line="360" w:lineRule="auto"/>
        <w:ind w:firstLine="708"/>
        <w:jc w:val="both"/>
        <w:rPr>
          <w:lang w:eastAsia="pt-BR"/>
        </w:rPr>
      </w:pPr>
      <w:r w:rsidRPr="008D43D2">
        <w:rPr>
          <w:lang w:eastAsia="pt-BR"/>
        </w:rPr>
        <w:t>O planejamento dos serviços de limpeza de logradouros públicos em Aimorés definiu dez equipes de trabalho constituídas de três elementos, sendo dois varredores e um carrinheiro.</w:t>
      </w:r>
    </w:p>
    <w:p w:rsidR="00E32574" w:rsidRPr="008D43D2" w:rsidRDefault="00E32574" w:rsidP="006A499B">
      <w:pPr>
        <w:spacing w:after="0" w:line="360" w:lineRule="auto"/>
        <w:ind w:firstLine="708"/>
        <w:jc w:val="both"/>
        <w:rPr>
          <w:lang w:eastAsia="pt-BR"/>
        </w:rPr>
      </w:pPr>
      <w:r w:rsidRPr="008D43D2">
        <w:rPr>
          <w:lang w:eastAsia="pt-BR"/>
        </w:rPr>
        <w:t>A extensão a ser trabalhada foi limitada em 750m de rua ou 1.500m de sarjeta por equipe/dia. Este parâmetro é compatível com a média nacional para serviços de mesma natureza realizados por órgãos públicos.</w:t>
      </w:r>
    </w:p>
    <w:p w:rsidR="00E32574" w:rsidRPr="008D43D2" w:rsidRDefault="00E32574" w:rsidP="006A499B">
      <w:pPr>
        <w:spacing w:after="0" w:line="360" w:lineRule="auto"/>
        <w:ind w:firstLine="708"/>
        <w:jc w:val="both"/>
        <w:rPr>
          <w:lang w:eastAsia="pt-BR"/>
        </w:rPr>
      </w:pPr>
      <w:r w:rsidRPr="008D43D2">
        <w:rPr>
          <w:lang w:eastAsia="pt-BR"/>
        </w:rPr>
        <w:t>Conforme o planejamento proposto, foram definidas duas áreas centrais em Aimorés, de maior volume de resíduos que deverão ser trabalhadas diariamente através das equipes 1, 2 e 3. As demais áreas descritas para cobertura dos serviços, inclusive o distrito Santo Antônio do rio Doce, serão trabalhados em dias alternados junto as equipes 4, 5, 6, 7, 8, 9 e 10.</w:t>
      </w:r>
    </w:p>
    <w:p w:rsidR="00E32574" w:rsidRDefault="00E32574" w:rsidP="006A499B">
      <w:pPr>
        <w:spacing w:after="0" w:line="360" w:lineRule="auto"/>
        <w:ind w:firstLine="708"/>
        <w:jc w:val="both"/>
        <w:rPr>
          <w:lang w:eastAsia="pt-BR"/>
        </w:rPr>
      </w:pPr>
      <w:r w:rsidRPr="008D43D2">
        <w:rPr>
          <w:lang w:eastAsia="pt-BR"/>
        </w:rPr>
        <w:t>Todos os elementos das equipes de serviços de limpeza de logradouros públicos deverão ser providos dos EPI’s e respectivos equipamentos de trabalho.</w:t>
      </w:r>
    </w:p>
    <w:p w:rsidR="00E32574" w:rsidRPr="006A499B" w:rsidRDefault="006A499B" w:rsidP="00971B37">
      <w:pPr>
        <w:pStyle w:val="Titulo"/>
      </w:pPr>
      <w:bookmarkStart w:id="625" w:name="_Toc110334842"/>
      <w:bookmarkStart w:id="626" w:name="_Toc372559178"/>
      <w:bookmarkStart w:id="627" w:name="_Toc372789609"/>
      <w:r w:rsidRPr="006A499B">
        <w:lastRenderedPageBreak/>
        <w:t>13.1</w:t>
      </w:r>
      <w:r w:rsidR="001F0E0C">
        <w:t>3</w:t>
      </w:r>
      <w:r w:rsidRPr="006A499B">
        <w:t xml:space="preserve"> </w:t>
      </w:r>
      <w:r w:rsidR="00E32574" w:rsidRPr="006A499B">
        <w:t>Tratamento e Destinação Final Adequada</w:t>
      </w:r>
      <w:bookmarkEnd w:id="625"/>
      <w:bookmarkEnd w:id="626"/>
      <w:bookmarkEnd w:id="627"/>
    </w:p>
    <w:p w:rsidR="00E32574" w:rsidRPr="008D43D2" w:rsidRDefault="00E32574" w:rsidP="006A499B">
      <w:pPr>
        <w:spacing w:after="0" w:line="360" w:lineRule="auto"/>
        <w:ind w:firstLine="709"/>
        <w:jc w:val="both"/>
        <w:rPr>
          <w:lang w:eastAsia="pt-BR"/>
        </w:rPr>
      </w:pPr>
      <w:r w:rsidRPr="008D43D2">
        <w:rPr>
          <w:lang w:eastAsia="pt-BR"/>
        </w:rPr>
        <w:t>Para o tratamento e destinação final adequada dos RSU, os administradores públicos e a população discutiram objetivamente a questão dos resíduos sólidos no município, conscientizando que o serviço de limpeza urbana deve buscar atingir os objetivos propostos pelo PMSB.</w:t>
      </w:r>
    </w:p>
    <w:p w:rsidR="00E32574" w:rsidRPr="008D43D2" w:rsidRDefault="00E32574" w:rsidP="006A499B">
      <w:pPr>
        <w:spacing w:after="0" w:line="360" w:lineRule="auto"/>
        <w:ind w:firstLine="709"/>
        <w:jc w:val="both"/>
        <w:rPr>
          <w:lang w:eastAsia="pt-BR"/>
        </w:rPr>
      </w:pPr>
      <w:r w:rsidRPr="008D43D2">
        <w:rPr>
          <w:lang w:eastAsia="pt-BR"/>
        </w:rPr>
        <w:t>A destinação final, como o próprio nome sugere, é a última fase de um sistema de limpeza urbana. A escolha, então, dependeu do contexto submetido à ótica mais ampla, considerando, ao lado dos investimentos, benefícios tais como preservação do meio ambiente; melhoria das condições sanitárias e dos aspectos sociais envolvidos; economia de divisas com a recuperação de materiais recicláveis; desenvolvimento da agricultura e silvicultura através da produção de composto orgânico para recondicionamento de solos; e até geração de energia através de componentes combustíveis encontrados nos RSU.</w:t>
      </w:r>
    </w:p>
    <w:p w:rsidR="00E32574" w:rsidRPr="008D43D2" w:rsidRDefault="00E32574" w:rsidP="006A499B">
      <w:pPr>
        <w:spacing w:after="0" w:line="360" w:lineRule="auto"/>
        <w:ind w:firstLine="709"/>
        <w:jc w:val="both"/>
        <w:rPr>
          <w:lang w:eastAsia="pt-BR"/>
        </w:rPr>
      </w:pPr>
      <w:r w:rsidRPr="008D43D2">
        <w:rPr>
          <w:lang w:eastAsia="pt-BR"/>
        </w:rPr>
        <w:t>Um grande número de variáveis interfere diretamente sobre o custo de implantação e de operação de cada sistema. Principalmente em função das características específicas do local (distância, topografia, natureza do solo etc.); da opção tecnológica e dos instrumentos pertinentes a cada processo; da vida útil do sistema frente ao volume de resíduos a ser trabalhado; e das condições para o tratamento ambientalmente apropriado dos efluentes gerados.</w:t>
      </w:r>
    </w:p>
    <w:p w:rsidR="00E32574" w:rsidRDefault="00E32574" w:rsidP="006A499B">
      <w:pPr>
        <w:spacing w:after="0" w:line="360" w:lineRule="auto"/>
        <w:ind w:firstLine="709"/>
        <w:jc w:val="both"/>
        <w:rPr>
          <w:lang w:eastAsia="pt-BR"/>
        </w:rPr>
      </w:pPr>
      <w:r w:rsidRPr="008D43D2">
        <w:rPr>
          <w:lang w:eastAsia="pt-BR"/>
        </w:rPr>
        <w:t>Aimorés está equipada com uma UTC (Figura</w:t>
      </w:r>
      <w:r w:rsidR="006A499B">
        <w:rPr>
          <w:lang w:eastAsia="pt-BR"/>
        </w:rPr>
        <w:t>s</w:t>
      </w:r>
      <w:r w:rsidRPr="008D43D2">
        <w:rPr>
          <w:lang w:eastAsia="pt-BR"/>
        </w:rPr>
        <w:t xml:space="preserve"> </w:t>
      </w:r>
      <w:r w:rsidR="006A499B">
        <w:rPr>
          <w:lang w:eastAsia="pt-BR"/>
        </w:rPr>
        <w:t>176</w:t>
      </w:r>
      <w:r w:rsidRPr="008D43D2">
        <w:rPr>
          <w:lang w:eastAsia="pt-BR"/>
        </w:rPr>
        <w:t xml:space="preserve">, </w:t>
      </w:r>
      <w:r w:rsidR="006A499B">
        <w:rPr>
          <w:lang w:eastAsia="pt-BR"/>
        </w:rPr>
        <w:t>177</w:t>
      </w:r>
      <w:r w:rsidRPr="008D43D2">
        <w:rPr>
          <w:lang w:eastAsia="pt-BR"/>
        </w:rPr>
        <w:t xml:space="preserve"> e </w:t>
      </w:r>
      <w:r w:rsidR="006A499B">
        <w:rPr>
          <w:lang w:eastAsia="pt-BR"/>
        </w:rPr>
        <w:t>178</w:t>
      </w:r>
      <w:r w:rsidRPr="008D43D2">
        <w:rPr>
          <w:lang w:eastAsia="pt-BR"/>
        </w:rPr>
        <w:t>). É preciso lembrar que a operação de uma UTC somente é viável na condição de o sistema de limpeza urbana da cidade praticar a coleta seletiva de resíduos especiais, tais como os provenientes dos serviços de saúde.</w:t>
      </w:r>
    </w:p>
    <w:p w:rsidR="00466071" w:rsidRDefault="00466071" w:rsidP="006A499B">
      <w:pPr>
        <w:spacing w:after="0" w:line="360" w:lineRule="auto"/>
        <w:ind w:firstLine="709"/>
        <w:jc w:val="both"/>
        <w:rPr>
          <w:lang w:eastAsia="pt-BR"/>
        </w:rPr>
      </w:pPr>
    </w:p>
    <w:p w:rsidR="00466071" w:rsidRDefault="00466071" w:rsidP="006A499B">
      <w:pPr>
        <w:spacing w:after="0" w:line="360" w:lineRule="auto"/>
        <w:ind w:firstLine="709"/>
        <w:jc w:val="both"/>
        <w:rPr>
          <w:lang w:eastAsia="pt-BR"/>
        </w:rPr>
      </w:pPr>
    </w:p>
    <w:p w:rsidR="00466071" w:rsidRDefault="00466071" w:rsidP="006A499B">
      <w:pPr>
        <w:spacing w:after="0" w:line="360" w:lineRule="auto"/>
        <w:ind w:firstLine="709"/>
        <w:jc w:val="both"/>
        <w:rPr>
          <w:lang w:eastAsia="pt-BR"/>
        </w:rPr>
      </w:pPr>
    </w:p>
    <w:p w:rsidR="00466071" w:rsidRDefault="00466071" w:rsidP="006A499B">
      <w:pPr>
        <w:spacing w:after="0" w:line="360" w:lineRule="auto"/>
        <w:ind w:firstLine="709"/>
        <w:jc w:val="both"/>
        <w:rPr>
          <w:lang w:eastAsia="pt-BR"/>
        </w:rPr>
      </w:pPr>
    </w:p>
    <w:p w:rsidR="00466071" w:rsidRPr="008D43D2" w:rsidRDefault="00466071" w:rsidP="006A499B">
      <w:pPr>
        <w:spacing w:after="0" w:line="360" w:lineRule="auto"/>
        <w:ind w:firstLine="709"/>
        <w:jc w:val="both"/>
        <w:rPr>
          <w:lang w:eastAsia="pt-BR"/>
        </w:rPr>
      </w:pPr>
    </w:p>
    <w:p w:rsidR="009A1FE7" w:rsidRPr="003E1CEC" w:rsidRDefault="00291A25" w:rsidP="00291A25">
      <w:pPr>
        <w:pStyle w:val="Legenda"/>
      </w:pPr>
      <w:bookmarkStart w:id="628" w:name="_Toc372740259"/>
      <w:r>
        <w:t xml:space="preserve">Figura </w:t>
      </w:r>
      <w:fldSimple w:instr=" SEQ Figura \* ARABIC ">
        <w:r w:rsidR="004F77E2">
          <w:rPr>
            <w:noProof/>
          </w:rPr>
          <w:t>176</w:t>
        </w:r>
      </w:fldSimple>
      <w:r>
        <w:t xml:space="preserve"> - </w:t>
      </w:r>
      <w:r w:rsidRPr="007703F5">
        <w:rPr>
          <w:noProof/>
        </w:rPr>
        <w:t>Vista parcial da UTC-Aimorés e pátio de compostagem.</w:t>
      </w:r>
      <w:bookmarkEnd w:id="628"/>
    </w:p>
    <w:p w:rsidR="00E32574" w:rsidRPr="000B3308" w:rsidRDefault="00E32574" w:rsidP="000B3308">
      <w:pPr>
        <w:spacing w:after="0" w:line="240" w:lineRule="auto"/>
        <w:jc w:val="center"/>
        <w:rPr>
          <w:noProof/>
          <w:lang w:eastAsia="pt-BR"/>
        </w:rPr>
      </w:pPr>
      <w:r w:rsidRPr="000B3308">
        <w:rPr>
          <w:noProof/>
          <w:lang w:eastAsia="pt-BR"/>
        </w:rPr>
        <w:lastRenderedPageBreak/>
        <w:drawing>
          <wp:inline distT="0" distB="0" distL="0" distR="0">
            <wp:extent cx="4911062" cy="3117609"/>
            <wp:effectExtent l="19050" t="19050" r="22888" b="25641"/>
            <wp:docPr id="203" name="Imagem 203" descr="aimore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descr="aimores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944925" cy="3139106"/>
                    </a:xfrm>
                    <a:prstGeom prst="rect">
                      <a:avLst/>
                    </a:prstGeom>
                    <a:solidFill>
                      <a:srgbClr val="000000"/>
                    </a:solidFill>
                    <a:ln w="12700" cmpd="sng">
                      <a:solidFill>
                        <a:srgbClr val="000000"/>
                      </a:solidFill>
                      <a:miter lim="800000"/>
                      <a:headEnd/>
                      <a:tailEnd/>
                    </a:ln>
                    <a:effectLst/>
                  </pic:spPr>
                </pic:pic>
              </a:graphicData>
            </a:graphic>
          </wp:inline>
        </w:drawing>
      </w:r>
    </w:p>
    <w:p w:rsidR="00E32574" w:rsidRPr="0090022C" w:rsidRDefault="00E32574" w:rsidP="00620CA4">
      <w:pPr>
        <w:pStyle w:val="Fonte"/>
        <w:ind w:firstLine="993"/>
      </w:pPr>
      <w:bookmarkStart w:id="629" w:name="_Toc39916394"/>
      <w:bookmarkStart w:id="630" w:name="_Toc110156853"/>
      <w:r w:rsidRPr="0090022C">
        <w:t>Fonte: LOCI Planejamento e Projetos (Dezembro, 2004)</w:t>
      </w:r>
    </w:p>
    <w:p w:rsidR="009A1FE7" w:rsidRPr="00620CA4" w:rsidRDefault="00291A25" w:rsidP="00291A25">
      <w:pPr>
        <w:pStyle w:val="Legenda"/>
        <w:rPr>
          <w:b w:val="0"/>
        </w:rPr>
      </w:pPr>
      <w:bookmarkStart w:id="631" w:name="_Toc372740260"/>
      <w:bookmarkEnd w:id="629"/>
      <w:bookmarkEnd w:id="630"/>
      <w:r>
        <w:t xml:space="preserve">Figura </w:t>
      </w:r>
      <w:fldSimple w:instr=" SEQ Figura \* ARABIC ">
        <w:r w:rsidR="004F77E2">
          <w:rPr>
            <w:noProof/>
          </w:rPr>
          <w:t>177</w:t>
        </w:r>
      </w:fldSimple>
      <w:r>
        <w:t xml:space="preserve"> - </w:t>
      </w:r>
      <w:r w:rsidRPr="00C8590C">
        <w:rPr>
          <w:noProof/>
        </w:rPr>
        <w:t>Vista geral da bancada de triagem e trabalho dos servidores.</w:t>
      </w:r>
      <w:bookmarkEnd w:id="631"/>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5114347" cy="3415914"/>
            <wp:effectExtent l="19050" t="19050" r="10103" b="13086"/>
            <wp:docPr id="202" name="Imagem 202" descr="Diag-Aim-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descr="Diag-Aim-0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161640" cy="3447501"/>
                    </a:xfrm>
                    <a:prstGeom prst="rect">
                      <a:avLst/>
                    </a:prstGeom>
                    <a:noFill/>
                    <a:ln w="12700" cmpd="sng">
                      <a:solidFill>
                        <a:srgbClr val="000000"/>
                      </a:solidFill>
                      <a:miter lim="800000"/>
                      <a:headEnd/>
                      <a:tailEnd/>
                    </a:ln>
                    <a:effectLst/>
                  </pic:spPr>
                </pic:pic>
              </a:graphicData>
            </a:graphic>
          </wp:inline>
        </w:drawing>
      </w:r>
    </w:p>
    <w:p w:rsidR="00E32574" w:rsidRPr="0090022C" w:rsidRDefault="009A1FE7" w:rsidP="009A1FE7">
      <w:pPr>
        <w:pStyle w:val="Fonte"/>
        <w:ind w:firstLine="708"/>
      </w:pPr>
      <w:r>
        <w:t xml:space="preserve"> </w:t>
      </w:r>
      <w:r w:rsidR="00E32574" w:rsidRPr="0090022C">
        <w:t>Fonte: LOCI Planejamento e Projetos (Dezembro, 2004)</w:t>
      </w:r>
    </w:p>
    <w:p w:rsidR="009A1FE7" w:rsidRPr="00620CA4" w:rsidRDefault="00291A25" w:rsidP="00291A25">
      <w:pPr>
        <w:pStyle w:val="Legenda"/>
        <w:rPr>
          <w:b w:val="0"/>
        </w:rPr>
      </w:pPr>
      <w:bookmarkStart w:id="632" w:name="_Toc372740261"/>
      <w:bookmarkStart w:id="633" w:name="_Toc39916395"/>
      <w:r>
        <w:lastRenderedPageBreak/>
        <w:t xml:space="preserve">Figura </w:t>
      </w:r>
      <w:fldSimple w:instr=" SEQ Figura \* ARABIC ">
        <w:r w:rsidR="004F77E2">
          <w:rPr>
            <w:noProof/>
          </w:rPr>
          <w:t>178</w:t>
        </w:r>
      </w:fldSimple>
      <w:r>
        <w:t xml:space="preserve"> - </w:t>
      </w:r>
      <w:r w:rsidRPr="000221CA">
        <w:t>Vista interna do galpão de triagem, prensagem e estocagem do material reciclável.</w:t>
      </w:r>
      <w:bookmarkEnd w:id="632"/>
    </w:p>
    <w:bookmarkEnd w:id="633"/>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849888" cy="3164619"/>
            <wp:effectExtent l="19050" t="19050" r="8255" b="0"/>
            <wp:docPr id="201" name="Imagem 201" descr="Diag-Aim-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Diag-Aim-0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866026" cy="3175149"/>
                    </a:xfrm>
                    <a:prstGeom prst="rect">
                      <a:avLst/>
                    </a:prstGeom>
                    <a:noFill/>
                    <a:ln w="9525" cmpd="sng">
                      <a:solidFill>
                        <a:srgbClr val="000000"/>
                      </a:solidFill>
                      <a:miter lim="800000"/>
                      <a:headEnd/>
                      <a:tailEnd/>
                    </a:ln>
                    <a:effectLst/>
                  </pic:spPr>
                </pic:pic>
              </a:graphicData>
            </a:graphic>
          </wp:inline>
        </w:drawing>
      </w:r>
    </w:p>
    <w:p w:rsidR="00E32574" w:rsidRPr="0090022C" w:rsidRDefault="009A1FE7" w:rsidP="009A1FE7">
      <w:pPr>
        <w:pStyle w:val="Fonte"/>
        <w:ind w:left="708"/>
      </w:pPr>
      <w:r>
        <w:t xml:space="preserve"> </w:t>
      </w:r>
      <w:r w:rsidR="00E32574" w:rsidRPr="0090022C">
        <w:t>Fonte: LOCI Planejamento e Projetos (Dezembro, 2004)</w:t>
      </w:r>
    </w:p>
    <w:p w:rsidR="00E32574" w:rsidRPr="008D43D2" w:rsidRDefault="00E32574" w:rsidP="00620CA4">
      <w:pPr>
        <w:spacing w:after="0" w:line="360" w:lineRule="auto"/>
        <w:ind w:firstLine="709"/>
        <w:jc w:val="both"/>
        <w:rPr>
          <w:lang w:eastAsia="pt-BR"/>
        </w:rPr>
      </w:pPr>
      <w:r w:rsidRPr="008D43D2">
        <w:rPr>
          <w:lang w:eastAsia="pt-BR"/>
        </w:rPr>
        <w:t>A UTC Aimorés conta com recursos humanos e equipamentos além de agregar recuperação de materiais recicláveis e produção de composto orgânico. O investimento em um aterro sanitário realizado conjunto à UTC permite receber os rejeitos não aproveitados para reciclagem.</w:t>
      </w:r>
    </w:p>
    <w:p w:rsidR="00E32574" w:rsidRPr="008D43D2" w:rsidRDefault="00E32574" w:rsidP="00620CA4">
      <w:pPr>
        <w:spacing w:after="0" w:line="360" w:lineRule="auto"/>
        <w:ind w:firstLine="709"/>
        <w:jc w:val="both"/>
        <w:rPr>
          <w:lang w:eastAsia="pt-BR"/>
        </w:rPr>
      </w:pPr>
      <w:r w:rsidRPr="008D43D2">
        <w:rPr>
          <w:lang w:eastAsia="pt-BR"/>
        </w:rPr>
        <w:t>O aterro de rejeitos ainda serve como alternativa segura para a destinação final dos RSS e animais mortos em valas apropriadas. Ou até mesmo em situações de emergência motivadas por interrupções eventuais do processamento nas instalações daquela UTC.</w:t>
      </w:r>
    </w:p>
    <w:p w:rsidR="00E32574" w:rsidRPr="008D43D2" w:rsidRDefault="00E32574" w:rsidP="00620CA4">
      <w:pPr>
        <w:spacing w:after="0" w:line="360" w:lineRule="auto"/>
        <w:ind w:firstLine="709"/>
        <w:jc w:val="both"/>
        <w:rPr>
          <w:lang w:eastAsia="pt-BR"/>
        </w:rPr>
      </w:pPr>
      <w:r w:rsidRPr="008D43D2">
        <w:rPr>
          <w:lang w:eastAsia="pt-BR"/>
        </w:rPr>
        <w:t>É importante evitar que esses RSS cheguem a UTC, levando riscos aos operadores que o manipulam. Também os resíduos provenientes da limpeza de logradouros ou da remoção de entulhos deve ser evitado no processamento da UTC porque é composto por outros materiais, tais como entulhos, galhadas e terra, que podem danificar equipamentos.</w:t>
      </w:r>
    </w:p>
    <w:p w:rsidR="00E32574" w:rsidRPr="008D43D2" w:rsidRDefault="00E32574" w:rsidP="00620CA4">
      <w:pPr>
        <w:spacing w:after="0" w:line="360" w:lineRule="auto"/>
        <w:ind w:firstLine="709"/>
        <w:jc w:val="both"/>
        <w:rPr>
          <w:lang w:eastAsia="pt-BR"/>
        </w:rPr>
      </w:pPr>
      <w:r w:rsidRPr="008D43D2">
        <w:rPr>
          <w:lang w:eastAsia="pt-BR"/>
        </w:rPr>
        <w:t>Várias são as vantagens de um aterro sanitário, tais como solução mais econômica e de baixos investimentos de operação, rapidez na sua implantação e tecnologia amplamente dominada. Acima de tudo, apresenta-se como um processo flexível que pode adaptar-se ao crescimento da população e ao incremento da produção de lixo.</w:t>
      </w:r>
    </w:p>
    <w:p w:rsidR="00E32574" w:rsidRPr="008D43D2" w:rsidRDefault="00E32574" w:rsidP="00620CA4">
      <w:pPr>
        <w:spacing w:after="0" w:line="360" w:lineRule="auto"/>
        <w:ind w:firstLine="709"/>
        <w:jc w:val="both"/>
        <w:rPr>
          <w:lang w:eastAsia="pt-BR"/>
        </w:rPr>
      </w:pPr>
      <w:r w:rsidRPr="008D43D2">
        <w:rPr>
          <w:lang w:eastAsia="pt-BR"/>
        </w:rPr>
        <w:lastRenderedPageBreak/>
        <w:t>Os bagulhos volumosos são aproveitados no galpão de reciclagem dos materiais. A operação satisfatória depende da implantação de um sólido Programa de Mobilização dos Agentes Geradores e Coletores de Entulho que, de modo geral, deve abranger toda a comunidade e, em especial, os agentes que lidam diretamente com a questão dos RSU tais como, empresas da construção civil, pequenos geradores e carroceiros.</w:t>
      </w:r>
    </w:p>
    <w:p w:rsidR="00E32574" w:rsidRDefault="00E32574" w:rsidP="00620CA4">
      <w:pPr>
        <w:spacing w:after="0" w:line="360" w:lineRule="auto"/>
        <w:ind w:firstLine="709"/>
        <w:jc w:val="both"/>
        <w:rPr>
          <w:lang w:eastAsia="pt-BR"/>
        </w:rPr>
      </w:pPr>
      <w:r w:rsidRPr="008D43D2">
        <w:rPr>
          <w:lang w:eastAsia="pt-BR"/>
        </w:rPr>
        <w:t>Essas ações têm um forte componente socioeconômico, pois permitem a formalização da atividade dos carroceiros, considerados parceiros prioritários da Prefeitura na coleta e transporte de pequenas quantidades de entulhos (até 2m</w:t>
      </w:r>
      <w:r w:rsidRPr="001277BE">
        <w:rPr>
          <w:vertAlign w:val="superscript"/>
          <w:lang w:eastAsia="pt-BR"/>
        </w:rPr>
        <w:t>3</w:t>
      </w:r>
      <w:r w:rsidRPr="008D43D2">
        <w:rPr>
          <w:lang w:eastAsia="pt-BR"/>
        </w:rPr>
        <w:t>) e materiais recicláveis.</w:t>
      </w:r>
    </w:p>
    <w:p w:rsidR="00E32574" w:rsidRPr="00620CA4" w:rsidRDefault="00620CA4" w:rsidP="00971B37">
      <w:pPr>
        <w:pStyle w:val="Titulo"/>
      </w:pPr>
      <w:bookmarkStart w:id="634" w:name="_Toc110226414"/>
      <w:bookmarkStart w:id="635" w:name="_Toc372559179"/>
      <w:bookmarkStart w:id="636" w:name="_Toc372789610"/>
      <w:r w:rsidRPr="00620CA4">
        <w:t>13.1</w:t>
      </w:r>
      <w:r w:rsidR="005B71E7">
        <w:t>4</w:t>
      </w:r>
      <w:r w:rsidRPr="00620CA4">
        <w:t xml:space="preserve"> </w:t>
      </w:r>
      <w:r w:rsidR="00E32574" w:rsidRPr="00620CA4">
        <w:t>Localização da UTC</w:t>
      </w:r>
      <w:bookmarkEnd w:id="634"/>
      <w:r w:rsidR="00E32574" w:rsidRPr="00620CA4">
        <w:t>/Aterro controlado</w:t>
      </w:r>
      <w:bookmarkEnd w:id="635"/>
      <w:bookmarkEnd w:id="636"/>
    </w:p>
    <w:p w:rsidR="00E32574" w:rsidRPr="008D43D2" w:rsidRDefault="00E32574" w:rsidP="00620CA4">
      <w:pPr>
        <w:spacing w:after="0" w:line="360" w:lineRule="auto"/>
        <w:ind w:firstLine="709"/>
        <w:jc w:val="both"/>
        <w:rPr>
          <w:lang w:eastAsia="pt-BR"/>
        </w:rPr>
      </w:pPr>
      <w:r w:rsidRPr="008D43D2">
        <w:rPr>
          <w:lang w:eastAsia="pt-BR"/>
        </w:rPr>
        <w:t xml:space="preserve">Como não foi estabelecida pelo poder público municipal nenhuma legislação definindo critérios restringindo uso e ocupação do solo entorno do UTC e do aterro controlado, vem ocorrendo a expansão urbana da cidade de Aimorés, a exemplo da construção do Bairro Sossego I </w:t>
      </w:r>
    </w:p>
    <w:p w:rsidR="00E32574" w:rsidRPr="008D43D2" w:rsidRDefault="00E32574" w:rsidP="00620CA4">
      <w:pPr>
        <w:spacing w:after="0" w:line="360" w:lineRule="auto"/>
        <w:ind w:firstLine="709"/>
        <w:jc w:val="both"/>
        <w:rPr>
          <w:lang w:eastAsia="pt-BR"/>
        </w:rPr>
      </w:pPr>
      <w:r w:rsidRPr="008D43D2">
        <w:rPr>
          <w:lang w:eastAsia="pt-BR"/>
        </w:rPr>
        <w:t>O limite deste loteamento, inserido no contexto de um dos vetores de crescimento da cidade de Aimorés, está localizado a menos de 0,5 km do aterro sanitário e UTC, aspecto indesejável sob o ponto de vista sanitário e de saúde pública considerando a incompatibilidade entre a localização do núcleo urbano e a UTC / aterro sanitário (Figura 17</w:t>
      </w:r>
      <w:r w:rsidR="00620CA4">
        <w:rPr>
          <w:lang w:eastAsia="pt-BR"/>
        </w:rPr>
        <w:t>9</w:t>
      </w:r>
      <w:r w:rsidRPr="008D43D2">
        <w:rPr>
          <w:lang w:eastAsia="pt-BR"/>
        </w:rPr>
        <w:t>).</w:t>
      </w:r>
    </w:p>
    <w:p w:rsidR="00E32574" w:rsidRPr="008D43D2" w:rsidRDefault="00E32574" w:rsidP="00620CA4">
      <w:pPr>
        <w:spacing w:after="0" w:line="360" w:lineRule="auto"/>
        <w:ind w:firstLine="709"/>
        <w:jc w:val="both"/>
        <w:rPr>
          <w:lang w:eastAsia="pt-BR"/>
        </w:rPr>
      </w:pPr>
      <w:r w:rsidRPr="008D43D2">
        <w:rPr>
          <w:lang w:eastAsia="pt-BR"/>
        </w:rPr>
        <w:t>Neste particular não foi observado o aspecto da precaução, razão pela qual o empreendimento não está suficientemente afastado de zonas habitadas, dada a relativa proximidade ao centro de massa, de produção e coleta dos RSU.</w:t>
      </w:r>
    </w:p>
    <w:p w:rsidR="00E32574" w:rsidRPr="008D43D2" w:rsidRDefault="00E32574" w:rsidP="00620CA4">
      <w:pPr>
        <w:spacing w:after="0" w:line="360" w:lineRule="auto"/>
        <w:ind w:firstLine="709"/>
        <w:jc w:val="both"/>
        <w:rPr>
          <w:lang w:eastAsia="pt-BR"/>
        </w:rPr>
      </w:pPr>
      <w:r w:rsidRPr="008D43D2">
        <w:rPr>
          <w:lang w:eastAsia="pt-BR"/>
        </w:rPr>
        <w:t>Apesar de o município ter apresentado decréscimo populacional nos últimos anos, sua área urbana teve pequeno crescimento no mesmo período e será necessário que, no âmbito do arcabouço legal do sistema de limpeza urbana, a Prefeitura busque, junto ao legislativo municipal, um zoneamento com restrições para o parcelamento e a ocupação do solo nas áreas do entorno da UTC para fins de residenciais.</w:t>
      </w:r>
    </w:p>
    <w:p w:rsidR="00E32574" w:rsidRPr="0090022C" w:rsidRDefault="00E32574" w:rsidP="00E32574">
      <w:pPr>
        <w:pStyle w:val="Corpodetexto"/>
        <w:spacing w:after="0" w:line="360" w:lineRule="auto"/>
        <w:rPr>
          <w:szCs w:val="24"/>
        </w:rPr>
      </w:pPr>
    </w:p>
    <w:p w:rsidR="00E32574" w:rsidRPr="0090022C" w:rsidRDefault="00E32574" w:rsidP="00E32574">
      <w:pPr>
        <w:pStyle w:val="Corpodetexto"/>
        <w:spacing w:after="0" w:line="360" w:lineRule="auto"/>
        <w:rPr>
          <w:szCs w:val="24"/>
        </w:rPr>
        <w:sectPr w:rsidR="00E32574" w:rsidRPr="0090022C">
          <w:headerReference w:type="first" r:id="rId251"/>
          <w:pgSz w:w="11907" w:h="16840" w:code="9"/>
          <w:pgMar w:top="1701" w:right="1134" w:bottom="1134" w:left="1701" w:header="851" w:footer="964" w:gutter="0"/>
          <w:cols w:space="720"/>
          <w:titlePg/>
        </w:sectPr>
      </w:pPr>
    </w:p>
    <w:p w:rsidR="009A1FE7" w:rsidRPr="00620CA4" w:rsidRDefault="00291A25" w:rsidP="00291A25">
      <w:pPr>
        <w:pStyle w:val="Legenda"/>
        <w:rPr>
          <w:b w:val="0"/>
        </w:rPr>
      </w:pPr>
      <w:bookmarkStart w:id="637" w:name="_Toc372740262"/>
      <w:r>
        <w:lastRenderedPageBreak/>
        <w:t xml:space="preserve">Figura </w:t>
      </w:r>
      <w:fldSimple w:instr=" SEQ Figura \* ARABIC ">
        <w:r w:rsidR="004F77E2">
          <w:rPr>
            <w:noProof/>
          </w:rPr>
          <w:t>179</w:t>
        </w:r>
      </w:fldSimple>
      <w:r>
        <w:t xml:space="preserve"> - </w:t>
      </w:r>
      <w:r w:rsidRPr="00E05B93">
        <w:rPr>
          <w:noProof/>
        </w:rPr>
        <w:t>Vista área da área da UTC e aterro controlado (19° 30’ 19.10’’ S e 41° 03’ 35.06” W) delimitado com círculo em vermelho no contexto da zona urbana de Aimorés.</w:t>
      </w:r>
      <w:bookmarkEnd w:id="637"/>
    </w:p>
    <w:p w:rsidR="00E32574" w:rsidRPr="000B3308" w:rsidRDefault="00986205" w:rsidP="000B3308">
      <w:pPr>
        <w:spacing w:after="0" w:line="240" w:lineRule="auto"/>
        <w:jc w:val="center"/>
        <w:rPr>
          <w:noProof/>
          <w:lang w:eastAsia="pt-BR"/>
        </w:rPr>
      </w:pPr>
      <w:r>
        <w:rPr>
          <w:noProof/>
          <w:lang w:eastAsia="pt-BR"/>
        </w:rPr>
        <mc:AlternateContent>
          <mc:Choice Requires="wps">
            <w:drawing>
              <wp:anchor distT="0" distB="0" distL="114300" distR="114300" simplePos="0" relativeHeight="251677696" behindDoc="0" locked="0" layoutInCell="1" allowOverlap="1">
                <wp:simplePos x="0" y="0"/>
                <wp:positionH relativeFrom="column">
                  <wp:posOffset>7406005</wp:posOffset>
                </wp:positionH>
                <wp:positionV relativeFrom="paragraph">
                  <wp:posOffset>2836545</wp:posOffset>
                </wp:positionV>
                <wp:extent cx="1457960" cy="1146810"/>
                <wp:effectExtent l="0" t="0" r="27940" b="15240"/>
                <wp:wrapNone/>
                <wp:docPr id="11"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146810"/>
                        </a:xfrm>
                        <a:prstGeom prst="flowChartConnector">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A0798E" id="AutoShape 18" o:spid="_x0000_s1026" type="#_x0000_t120" style="position:absolute;margin-left:583.15pt;margin-top:223.35pt;width:114.8pt;height:90.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" filled="f" strokecolor="red" strokeweight="1.5pt"/>
            </w:pict>
          </mc:Fallback>
        </mc:AlternateContent>
      </w:r>
      <w:r w:rsidR="00E32574" w:rsidRPr="000B3308">
        <w:rPr>
          <w:noProof/>
          <w:lang w:eastAsia="pt-BR"/>
        </w:rPr>
        <w:drawing>
          <wp:inline distT="0" distB="0" distL="0" distR="0">
            <wp:extent cx="8881745" cy="4460875"/>
            <wp:effectExtent l="0" t="0" r="0" b="0"/>
            <wp:docPr id="200" name="Image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8881745" cy="4460875"/>
                    </a:xfrm>
                    <a:prstGeom prst="rect">
                      <a:avLst/>
                    </a:prstGeom>
                    <a:noFill/>
                    <a:ln>
                      <a:noFill/>
                    </a:ln>
                  </pic:spPr>
                </pic:pic>
              </a:graphicData>
            </a:graphic>
          </wp:inline>
        </w:drawing>
      </w:r>
    </w:p>
    <w:p w:rsidR="00E32574" w:rsidRPr="0090022C" w:rsidRDefault="00E32574" w:rsidP="009A1FE7">
      <w:pPr>
        <w:pStyle w:val="Fonte"/>
      </w:pPr>
      <w:r w:rsidRPr="0090022C">
        <w:t>Fonte: Google earth (Acessado em: 04 nov. 2013)</w:t>
      </w:r>
    </w:p>
    <w:p w:rsidR="00E32574" w:rsidRPr="0090022C" w:rsidRDefault="00E32574" w:rsidP="00E32574">
      <w:pPr>
        <w:pStyle w:val="Corpodetexto"/>
        <w:spacing w:after="0" w:line="360" w:lineRule="auto"/>
        <w:rPr>
          <w:szCs w:val="24"/>
        </w:rPr>
        <w:sectPr w:rsidR="00E32574" w:rsidRPr="0090022C" w:rsidSect="00E32574">
          <w:pgSz w:w="16840" w:h="11907" w:orient="landscape" w:code="9"/>
          <w:pgMar w:top="1701" w:right="1701" w:bottom="1134" w:left="1134" w:header="851" w:footer="964" w:gutter="0"/>
          <w:cols w:space="720"/>
          <w:titlePg/>
          <w:docGrid w:linePitch="326"/>
        </w:sectPr>
      </w:pPr>
    </w:p>
    <w:p w:rsidR="00E32574" w:rsidRPr="008D43D2" w:rsidRDefault="00E32574" w:rsidP="00620CA4">
      <w:pPr>
        <w:spacing w:after="0" w:line="360" w:lineRule="auto"/>
        <w:ind w:firstLine="709"/>
        <w:jc w:val="both"/>
        <w:rPr>
          <w:lang w:eastAsia="pt-BR"/>
        </w:rPr>
      </w:pPr>
      <w:r w:rsidRPr="008D43D2">
        <w:rPr>
          <w:lang w:eastAsia="pt-BR"/>
        </w:rPr>
        <w:lastRenderedPageBreak/>
        <w:t>Embora localizada em área rural do município, observa-se que a UTC /aterro controlado está de 320 m de distância do bairro Barra do Sossego e do Distrito Industrial (Figura 18</w:t>
      </w:r>
      <w:r w:rsidR="00620CA4">
        <w:rPr>
          <w:lang w:eastAsia="pt-BR"/>
        </w:rPr>
        <w:t>0</w:t>
      </w:r>
      <w:r w:rsidRPr="008D43D2">
        <w:rPr>
          <w:lang w:eastAsia="pt-BR"/>
        </w:rPr>
        <w:t>).</w:t>
      </w:r>
    </w:p>
    <w:p w:rsidR="009A1FE7" w:rsidRPr="00620CA4" w:rsidRDefault="00291A25" w:rsidP="00291A25">
      <w:pPr>
        <w:pStyle w:val="Legenda"/>
        <w:rPr>
          <w:b w:val="0"/>
        </w:rPr>
      </w:pPr>
      <w:bookmarkStart w:id="638" w:name="_Toc372740263"/>
      <w:r>
        <w:t xml:space="preserve">Figura </w:t>
      </w:r>
      <w:fldSimple w:instr=" SEQ Figura \* ARABIC ">
        <w:r w:rsidR="004F77E2">
          <w:rPr>
            <w:noProof/>
          </w:rPr>
          <w:t>180</w:t>
        </w:r>
      </w:fldSimple>
      <w:r>
        <w:t xml:space="preserve"> - </w:t>
      </w:r>
      <w:r w:rsidRPr="00D476DA">
        <w:rPr>
          <w:noProof/>
        </w:rPr>
        <w:t>Vista parcial do Bairro Saudade I (fundo) observado da UTC, aspecto que ilustra a proximidade da UTC/aterro controlado com a zona urbana.</w:t>
      </w:r>
      <w:bookmarkEnd w:id="638"/>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636109" cy="3023810"/>
            <wp:effectExtent l="0" t="0" r="0" b="5715"/>
            <wp:docPr id="199" name="Imagem 199" descr="..\..\fase01-Diagnóstico\01-Aimorés\Fotos-Aimorés\Diag-Aim-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9" descr="..\..\fase01-Diagnóstico\01-Aimorés\Fotos-Aimorés\Diag-Aim-27.jpg"/>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650538" cy="3033221"/>
                    </a:xfrm>
                    <a:prstGeom prst="rect">
                      <a:avLst/>
                    </a:prstGeom>
                    <a:noFill/>
                    <a:ln>
                      <a:noFill/>
                    </a:ln>
                  </pic:spPr>
                </pic:pic>
              </a:graphicData>
            </a:graphic>
          </wp:inline>
        </w:drawing>
      </w:r>
    </w:p>
    <w:p w:rsidR="00E32574" w:rsidRPr="0090022C" w:rsidRDefault="00620CA4" w:rsidP="00620CA4">
      <w:pPr>
        <w:pStyle w:val="Fonte"/>
        <w:ind w:left="708" w:firstLine="1"/>
        <w:rPr>
          <w:szCs w:val="24"/>
        </w:rPr>
      </w:pPr>
      <w:r w:rsidRPr="0090022C">
        <w:t xml:space="preserve">Fonte: </w:t>
      </w:r>
      <w:r>
        <w:t xml:space="preserve">Fundação Educacional de Caratinga </w:t>
      </w:r>
      <w:r w:rsidRPr="0090022C">
        <w:t>(2013)</w:t>
      </w:r>
    </w:p>
    <w:p w:rsidR="00E32574" w:rsidRDefault="00E32574" w:rsidP="00620CA4">
      <w:pPr>
        <w:spacing w:after="0" w:line="360" w:lineRule="auto"/>
        <w:ind w:firstLine="709"/>
        <w:jc w:val="both"/>
        <w:rPr>
          <w:lang w:eastAsia="pt-BR"/>
        </w:rPr>
      </w:pPr>
      <w:r w:rsidRPr="008D43D2">
        <w:rPr>
          <w:lang w:eastAsia="pt-BR"/>
        </w:rPr>
        <w:t>No que diz respeito ao horizonte de projeto do aterro para a destinação do RSU o mesmo já se encontra no limite da vida útil, a integralidade da área já foi ocupada e já não dispõe no local, de material em quantidade adequada para cobertura dos resíduos.</w:t>
      </w:r>
    </w:p>
    <w:p w:rsidR="00E32574" w:rsidRPr="00620CA4" w:rsidRDefault="00620CA4" w:rsidP="00971B37">
      <w:pPr>
        <w:pStyle w:val="Titulo"/>
      </w:pPr>
      <w:bookmarkStart w:id="639" w:name="_Toc110334846"/>
      <w:bookmarkStart w:id="640" w:name="_Toc372559180"/>
      <w:bookmarkStart w:id="641" w:name="_Toc372789611"/>
      <w:r w:rsidRPr="00620CA4">
        <w:t>13.1</w:t>
      </w:r>
      <w:r w:rsidR="005B71E7">
        <w:t>5</w:t>
      </w:r>
      <w:r w:rsidRPr="00620CA4">
        <w:t xml:space="preserve"> </w:t>
      </w:r>
      <w:r w:rsidR="00E32574" w:rsidRPr="00620CA4">
        <w:t>Comunicação e Mobilização Social</w:t>
      </w:r>
      <w:bookmarkEnd w:id="639"/>
      <w:bookmarkEnd w:id="640"/>
      <w:bookmarkEnd w:id="641"/>
    </w:p>
    <w:p w:rsidR="00E32574" w:rsidRPr="008D43D2" w:rsidRDefault="00E32574" w:rsidP="00620CA4">
      <w:pPr>
        <w:spacing w:after="0" w:line="360" w:lineRule="auto"/>
        <w:ind w:firstLine="709"/>
        <w:jc w:val="both"/>
        <w:rPr>
          <w:lang w:eastAsia="pt-BR"/>
        </w:rPr>
      </w:pPr>
      <w:r w:rsidRPr="008D43D2">
        <w:rPr>
          <w:lang w:eastAsia="pt-BR"/>
        </w:rPr>
        <w:t>Educação Ambiental, no âmbito do PROGRAMA LIXO &amp; CIDADANIA, é um importante instrumento para promover a mudança profunda nos valores culturais da comunidade, de forma a reverter à situação atual em que parte da população produz, consome e desperdiça, deixando para a municipalidade apenas o lixo gerado.</w:t>
      </w:r>
    </w:p>
    <w:p w:rsidR="00E32574" w:rsidRPr="008D43D2" w:rsidRDefault="00E32574" w:rsidP="00620CA4">
      <w:pPr>
        <w:spacing w:after="0" w:line="360" w:lineRule="auto"/>
        <w:ind w:firstLine="709"/>
        <w:jc w:val="both"/>
        <w:rPr>
          <w:lang w:eastAsia="pt-BR"/>
        </w:rPr>
      </w:pPr>
      <w:r w:rsidRPr="008D43D2">
        <w:rPr>
          <w:lang w:eastAsia="pt-BR"/>
        </w:rPr>
        <w:t>Um dos fundamentos da mobilização e comunicação social no gerenciamento de resíduos sólidos é que o poder público não deve atuar simplesmente como provedor de um serviço de limpeza urbana, suprindo apenas a materialidade contida no serviço.</w:t>
      </w:r>
    </w:p>
    <w:p w:rsidR="00E32574" w:rsidRPr="008D43D2" w:rsidRDefault="00E32574" w:rsidP="00620CA4">
      <w:pPr>
        <w:spacing w:after="0" w:line="360" w:lineRule="auto"/>
        <w:ind w:firstLine="709"/>
        <w:jc w:val="both"/>
        <w:rPr>
          <w:lang w:eastAsia="pt-BR"/>
        </w:rPr>
      </w:pPr>
      <w:r w:rsidRPr="008D43D2">
        <w:rPr>
          <w:lang w:eastAsia="pt-BR"/>
        </w:rPr>
        <w:lastRenderedPageBreak/>
        <w:t>Portanto, cabe ao governo municipal assumir, de forma complementar, uma função educativa e de estímulo à participação social.</w:t>
      </w:r>
    </w:p>
    <w:p w:rsidR="00E32574" w:rsidRPr="008D43D2" w:rsidRDefault="00E32574" w:rsidP="00620CA4">
      <w:pPr>
        <w:spacing w:after="0" w:line="360" w:lineRule="auto"/>
        <w:ind w:firstLine="709"/>
        <w:jc w:val="both"/>
        <w:rPr>
          <w:lang w:eastAsia="pt-BR"/>
        </w:rPr>
      </w:pPr>
      <w:r w:rsidRPr="008D43D2">
        <w:rPr>
          <w:lang w:eastAsia="pt-BR"/>
        </w:rPr>
        <w:t>Trata-se de revisar valores, princípios e comportamentos. Em outras palavras, esse trabalho visa enfrentar um enorme desafio: o alheamento da sociedade em relação à limpeza pública, que se manifesta no constante jogar lixo em vias públicas e lotes vagos; na depredação dos equipamentos destinados à sua coleta; e no desconhecimento do cidadão quanto à sua responsabilidade com o resíduo que ela gera. Junte-se a isso, a sua total ignorância frente às limitações vividas pelo poder público no gerenciamento dos RSU.</w:t>
      </w:r>
    </w:p>
    <w:p w:rsidR="00E32574" w:rsidRPr="008D43D2" w:rsidRDefault="00E32574" w:rsidP="00620CA4">
      <w:pPr>
        <w:spacing w:after="0" w:line="360" w:lineRule="auto"/>
        <w:ind w:firstLine="709"/>
        <w:jc w:val="both"/>
        <w:rPr>
          <w:lang w:eastAsia="pt-BR"/>
        </w:rPr>
      </w:pPr>
      <w:r w:rsidRPr="008D43D2">
        <w:rPr>
          <w:lang w:eastAsia="pt-BR"/>
        </w:rPr>
        <w:t>Em última análise, objetiva-se mudar conceitos e hábitos culturais arraigados, visando alterações na forma de perceber e lidar com o lixo. Pretende-se alterar a percepção errônea que se tem do lixo como algo repugnante e desprovido de valor, e do qual se quer simplesmente livrar-se, afastar do campo de visão. É essencial que a população passe a questionar os padrões insustentáveis de produção e consumo.</w:t>
      </w:r>
    </w:p>
    <w:p w:rsidR="00E32574" w:rsidRPr="008D43D2" w:rsidRDefault="00E32574" w:rsidP="00620CA4">
      <w:pPr>
        <w:spacing w:after="0" w:line="360" w:lineRule="auto"/>
        <w:ind w:firstLine="709"/>
        <w:jc w:val="both"/>
        <w:rPr>
          <w:lang w:eastAsia="pt-BR"/>
        </w:rPr>
      </w:pPr>
      <w:r w:rsidRPr="008D43D2">
        <w:rPr>
          <w:lang w:eastAsia="pt-BR"/>
        </w:rPr>
        <w:t>Para promover a mudança cultural necessária é preciso definir estratégias apropriadas, que conciliem o repasse de informações e conhecimento sobre os problemas com a sensibilização das pessoas para com a injustiça que se revela na forma como a comunidade lida com o seu lixo.</w:t>
      </w:r>
    </w:p>
    <w:p w:rsidR="00E32574" w:rsidRPr="008D43D2" w:rsidRDefault="00E32574" w:rsidP="00620CA4">
      <w:pPr>
        <w:spacing w:after="0" w:line="360" w:lineRule="auto"/>
        <w:ind w:firstLine="709"/>
        <w:jc w:val="both"/>
        <w:rPr>
          <w:lang w:eastAsia="pt-BR"/>
        </w:rPr>
      </w:pPr>
      <w:r w:rsidRPr="008D43D2">
        <w:rPr>
          <w:lang w:eastAsia="pt-BR"/>
        </w:rPr>
        <w:t>Cabe fazer com que as pessoas saibam, percebam e sintam que todo o problema do lixo na cidade começa dentro da casa de cada um. E que as soluções também.</w:t>
      </w:r>
    </w:p>
    <w:p w:rsidR="00E32574" w:rsidRPr="008D43D2" w:rsidRDefault="00E32574" w:rsidP="00620CA4">
      <w:pPr>
        <w:spacing w:after="0" w:line="360" w:lineRule="auto"/>
        <w:ind w:firstLine="709"/>
        <w:jc w:val="both"/>
        <w:rPr>
          <w:lang w:eastAsia="pt-BR"/>
        </w:rPr>
      </w:pPr>
      <w:r w:rsidRPr="008D43D2">
        <w:rPr>
          <w:lang w:eastAsia="pt-BR"/>
        </w:rPr>
        <w:t>Do ponto de vista operacional, deve-se considerar que a educação ambiental tem caráter contínuo. O processo educativo deve atingir toda a sociedade, devendo-se atuar, especialmente, nas escolas, buscando atingir as crianças e adolescentes que são mais propícios a aceitar mudanças e que têm um grande potencial de “educar os pais”.</w:t>
      </w:r>
    </w:p>
    <w:p w:rsidR="00E32574" w:rsidRPr="008D43D2" w:rsidRDefault="00E32574" w:rsidP="00620CA4">
      <w:pPr>
        <w:spacing w:after="0" w:line="360" w:lineRule="auto"/>
        <w:ind w:firstLine="709"/>
        <w:jc w:val="both"/>
        <w:rPr>
          <w:lang w:eastAsia="pt-BR"/>
        </w:rPr>
      </w:pPr>
      <w:r w:rsidRPr="008D43D2">
        <w:rPr>
          <w:lang w:eastAsia="pt-BR"/>
        </w:rPr>
        <w:t>Portanto a mobilização e a comunicação social para a limpeza urbana em Aimorés, tem a atribuição de articular soluções integradas entre a prefeitura e a comunidade, especialmente aquelas ligadas à minimização da geração de resíduos e à sua segregação na fonte, visando a máxima reutilização e reciclagem dentro dos princípios da sustentabilidade.</w:t>
      </w:r>
    </w:p>
    <w:p w:rsidR="00E32574" w:rsidRPr="008D43D2" w:rsidRDefault="00E32574" w:rsidP="00620CA4">
      <w:pPr>
        <w:spacing w:after="0" w:line="360" w:lineRule="auto"/>
        <w:ind w:firstLine="709"/>
        <w:jc w:val="both"/>
        <w:rPr>
          <w:lang w:eastAsia="pt-BR"/>
        </w:rPr>
      </w:pPr>
      <w:r w:rsidRPr="008D43D2">
        <w:rPr>
          <w:lang w:eastAsia="pt-BR"/>
        </w:rPr>
        <w:lastRenderedPageBreak/>
        <w:t>Para viabilizar a mudança cultural proposta, a gestão de resíduos sólidos deve estabelecer novas formas de abordagem básicas:</w:t>
      </w:r>
    </w:p>
    <w:p w:rsidR="00E32574" w:rsidRPr="00620CA4" w:rsidRDefault="00E32574" w:rsidP="0053477A">
      <w:pPr>
        <w:pStyle w:val="Corpodetexto2"/>
        <w:numPr>
          <w:ilvl w:val="0"/>
          <w:numId w:val="41"/>
        </w:numPr>
        <w:spacing w:after="0" w:line="360" w:lineRule="auto"/>
        <w:ind w:left="567" w:hanging="283"/>
        <w:jc w:val="both"/>
        <w:rPr>
          <w:szCs w:val="24"/>
        </w:rPr>
      </w:pPr>
      <w:r w:rsidRPr="00620CA4">
        <w:rPr>
          <w:szCs w:val="24"/>
        </w:rPr>
        <w:t>Na primeira, a atuação se dá pela via da conscientização com o repasse de informações, conhecimentos e experiências, buscando a mudança de mentalidade através do ensino, da educação. Os instrumentos privilegiados de trabalho contemplam cartilhas, informativos folhetos, vídeos, cursos, seminários, treinamento, conhecimento de outras experiências, entre outros;</w:t>
      </w:r>
    </w:p>
    <w:p w:rsidR="00E32574" w:rsidRPr="00620CA4" w:rsidRDefault="00E32574" w:rsidP="0053477A">
      <w:pPr>
        <w:pStyle w:val="Corpodetexto2"/>
        <w:numPr>
          <w:ilvl w:val="0"/>
          <w:numId w:val="41"/>
        </w:numPr>
        <w:spacing w:after="0" w:line="360" w:lineRule="auto"/>
        <w:ind w:left="567" w:hanging="283"/>
        <w:jc w:val="both"/>
        <w:rPr>
          <w:szCs w:val="24"/>
        </w:rPr>
      </w:pPr>
      <w:r w:rsidRPr="00620CA4">
        <w:rPr>
          <w:szCs w:val="24"/>
        </w:rPr>
        <w:t>A outra forma de intervir no sistema de valores sociais usa a arte como ferramenta, visando atingir o simbólico. Busca a sensibilização das pessoas por intermédio de situações lúdicas, com humor e entretenimento. Usa de linguagens variadas como teatro de rua, dança, teatro de bonecas, teatro convencional, shows musicais e artes plásticas. Esquetes teatrais ligadas à temática ambiental são de grande impacto e trazem resultados significativos ao processo;</w:t>
      </w:r>
    </w:p>
    <w:p w:rsidR="00E32574" w:rsidRPr="0090022C" w:rsidRDefault="00E32574" w:rsidP="0053477A">
      <w:pPr>
        <w:pStyle w:val="Corpodetexto2"/>
        <w:numPr>
          <w:ilvl w:val="0"/>
          <w:numId w:val="41"/>
        </w:numPr>
        <w:spacing w:after="0" w:line="360" w:lineRule="auto"/>
        <w:ind w:left="567" w:hanging="283"/>
        <w:jc w:val="both"/>
      </w:pPr>
      <w:r w:rsidRPr="00620CA4">
        <w:rPr>
          <w:szCs w:val="24"/>
        </w:rPr>
        <w:t>O processo passa também pela capacitação e valorização dos servidores do serviço de Limpeza Urbana, propiciando o seu envolvimento na ação educativa com a população</w:t>
      </w:r>
      <w:r w:rsidRPr="0090022C">
        <w:t>.</w:t>
      </w:r>
    </w:p>
    <w:p w:rsidR="00E32574" w:rsidRPr="008D43D2" w:rsidRDefault="00E32574" w:rsidP="00620CA4">
      <w:pPr>
        <w:spacing w:after="0" w:line="360" w:lineRule="auto"/>
        <w:ind w:firstLine="709"/>
        <w:jc w:val="both"/>
        <w:rPr>
          <w:lang w:eastAsia="pt-BR"/>
        </w:rPr>
      </w:pPr>
      <w:r w:rsidRPr="008D43D2">
        <w:rPr>
          <w:lang w:eastAsia="pt-BR"/>
        </w:rPr>
        <w:t xml:space="preserve">A mobilização social é uma ação permanente que busca envolver com entusiasmo os amplos setores da população, dando-lhes um sentido de pertencimento, de satisfação em colaborar com a coisa pública, valorizando as várias culturas, especialmente as manifestações populares (PEREIRA et al., 2004). </w:t>
      </w:r>
    </w:p>
    <w:p w:rsidR="00E32574" w:rsidRPr="008D43D2" w:rsidRDefault="00E32574" w:rsidP="00620CA4">
      <w:pPr>
        <w:spacing w:after="0" w:line="360" w:lineRule="auto"/>
        <w:ind w:firstLine="709"/>
        <w:jc w:val="both"/>
        <w:rPr>
          <w:lang w:eastAsia="pt-BR"/>
        </w:rPr>
      </w:pPr>
      <w:r w:rsidRPr="008D43D2">
        <w:rPr>
          <w:lang w:eastAsia="pt-BR"/>
        </w:rPr>
        <w:t>Ações de curta duração não são suficientes. Os resultados não são imediatos e se baseiam principalmente na paciência e na constância de todos os envolvidos, de forma participante e coordenada. É necessária a atuação conscientemente, anônima e silenciosa da parte de cada cidadão, optando por uma conduta mais disciplinada e visando o bem coletivo.</w:t>
      </w:r>
    </w:p>
    <w:p w:rsidR="00E32574" w:rsidRPr="008D43D2" w:rsidRDefault="00E32574" w:rsidP="00620CA4">
      <w:pPr>
        <w:spacing w:after="0" w:line="360" w:lineRule="auto"/>
        <w:ind w:firstLine="709"/>
        <w:jc w:val="both"/>
        <w:rPr>
          <w:lang w:eastAsia="pt-BR"/>
        </w:rPr>
      </w:pPr>
      <w:r w:rsidRPr="008D43D2">
        <w:rPr>
          <w:lang w:eastAsia="pt-BR"/>
        </w:rPr>
        <w:t xml:space="preserve">Na coleta seletiva, boa parte das responsabilidades recai sobre a própria população beneficiada, a quem compete a separação dos materiais, a lavagem dos recipientes, o acondicionamento, o armazenamento e, finalmente, a colocação dos materiais nos dias e horários estabelecidos. Por isso, uma boa divulgação do serviço a ser implantado, as </w:t>
      </w:r>
      <w:r w:rsidRPr="008D43D2">
        <w:rPr>
          <w:lang w:eastAsia="pt-BR"/>
        </w:rPr>
        <w:lastRenderedPageBreak/>
        <w:t>tarefas e benefícios envolvidos, é condição de vital importância para que o mesmo seja bem sucedido.</w:t>
      </w:r>
    </w:p>
    <w:p w:rsidR="00E32574" w:rsidRDefault="00E32574" w:rsidP="00620CA4">
      <w:pPr>
        <w:spacing w:after="0" w:line="360" w:lineRule="auto"/>
        <w:ind w:firstLine="709"/>
        <w:jc w:val="both"/>
        <w:rPr>
          <w:lang w:eastAsia="pt-BR"/>
        </w:rPr>
      </w:pPr>
      <w:r w:rsidRPr="008D43D2">
        <w:rPr>
          <w:lang w:eastAsia="pt-BR"/>
        </w:rPr>
        <w:t>A coleta seletiva, de fato, mobiliza toda a comunidade. Contudo, caso não seja realizada uma preparação anterior que resulte na sensibilização da população, serão grandes os riscos de esmorecimento e a perda de objetivos, com desgaste para a administração municipal e, o que é pior, possibilitando a criação de uma imagem negativa para a coleta seletiva, que hoje já é considerada como uma atividade imprescindível para o futuro do planeta.</w:t>
      </w:r>
    </w:p>
    <w:p w:rsidR="00E32574" w:rsidRPr="0090022C" w:rsidRDefault="00620CA4" w:rsidP="00971B37">
      <w:pPr>
        <w:pStyle w:val="Titulo"/>
      </w:pPr>
      <w:bookmarkStart w:id="642" w:name="_Toc110334847"/>
      <w:bookmarkStart w:id="643" w:name="_Toc372559181"/>
      <w:bookmarkStart w:id="644" w:name="_Toc372789612"/>
      <w:r>
        <w:t>13.1</w:t>
      </w:r>
      <w:r w:rsidR="005B71E7">
        <w:t>6</w:t>
      </w:r>
      <w:r>
        <w:t xml:space="preserve"> </w:t>
      </w:r>
      <w:r w:rsidR="00E32574" w:rsidRPr="0090022C">
        <w:t xml:space="preserve">Projetos a serem </w:t>
      </w:r>
      <w:r w:rsidR="00E32574" w:rsidRPr="00852409">
        <w:t>desenvolvidos</w:t>
      </w:r>
      <w:r w:rsidR="00E32574" w:rsidRPr="0090022C">
        <w:t xml:space="preserve"> em Aimorés</w:t>
      </w:r>
      <w:bookmarkEnd w:id="642"/>
      <w:bookmarkEnd w:id="643"/>
      <w:bookmarkEnd w:id="644"/>
    </w:p>
    <w:p w:rsidR="00E32574" w:rsidRDefault="00E32574" w:rsidP="00620CA4">
      <w:pPr>
        <w:spacing w:after="0" w:line="360" w:lineRule="auto"/>
        <w:ind w:firstLine="709"/>
        <w:jc w:val="both"/>
        <w:rPr>
          <w:lang w:eastAsia="pt-BR"/>
        </w:rPr>
      </w:pPr>
      <w:r w:rsidRPr="008D43D2">
        <w:rPr>
          <w:lang w:eastAsia="pt-BR"/>
        </w:rPr>
        <w:t>Os projetos de mobilização e comunicação social a serem implementados no município devem ser discutidos com segmentos organizados serão definidos conforme o modelo de GIRS, e podem ser agrupados em três frentes de atuação: Educação para a limpeza urbana; Mobilização para programas de reciclagem de resíduos; Mobilização em outros projetos.</w:t>
      </w:r>
    </w:p>
    <w:p w:rsidR="00E32574" w:rsidRPr="00A369F0" w:rsidRDefault="00620CA4" w:rsidP="00971B37">
      <w:pPr>
        <w:pStyle w:val="Titulo"/>
      </w:pPr>
      <w:bookmarkStart w:id="645" w:name="_Toc110334848"/>
      <w:bookmarkStart w:id="646" w:name="_Toc372559182"/>
      <w:bookmarkStart w:id="647" w:name="_Toc372789613"/>
      <w:r w:rsidRPr="00A369F0">
        <w:t>13.1</w:t>
      </w:r>
      <w:r w:rsidR="005B71E7">
        <w:t>6</w:t>
      </w:r>
      <w:r w:rsidRPr="00A369F0">
        <w:t>.1</w:t>
      </w:r>
      <w:r w:rsidR="009A1FE7" w:rsidRPr="00A369F0">
        <w:t xml:space="preserve"> </w:t>
      </w:r>
      <w:r w:rsidR="00E32574" w:rsidRPr="00A369F0">
        <w:t>Educação para a limpeza urbana</w:t>
      </w:r>
      <w:bookmarkEnd w:id="645"/>
      <w:bookmarkEnd w:id="646"/>
      <w:bookmarkEnd w:id="647"/>
    </w:p>
    <w:p w:rsidR="00E32574" w:rsidRDefault="00E32574" w:rsidP="00620CA4">
      <w:pPr>
        <w:spacing w:after="0" w:line="360" w:lineRule="auto"/>
        <w:ind w:firstLine="709"/>
        <w:jc w:val="both"/>
        <w:rPr>
          <w:lang w:eastAsia="pt-BR"/>
        </w:rPr>
      </w:pPr>
      <w:r w:rsidRPr="008D43D2">
        <w:rPr>
          <w:lang w:eastAsia="pt-BR"/>
        </w:rPr>
        <w:t>A educação para a limpeza urbana tem as seguintes subdivisões: educação para a limpeza urbana nas áreas centrais; recuperação de áreas degradadas pela deposição inadequada de resíduos sólidos; e educação para a conservação dos rios e cursos d’água de Aimorés.</w:t>
      </w:r>
    </w:p>
    <w:p w:rsidR="00E32574" w:rsidRPr="00A369F0" w:rsidRDefault="00620CA4" w:rsidP="00971B37">
      <w:pPr>
        <w:pStyle w:val="Titulo"/>
      </w:pPr>
      <w:bookmarkStart w:id="648" w:name="_Toc110334849"/>
      <w:bookmarkStart w:id="649" w:name="_Toc372559183"/>
      <w:bookmarkStart w:id="650" w:name="_Toc372789614"/>
      <w:r w:rsidRPr="00A369F0">
        <w:t>13.1</w:t>
      </w:r>
      <w:r w:rsidR="005B71E7">
        <w:t>6</w:t>
      </w:r>
      <w:r w:rsidRPr="00A369F0">
        <w:t>.2</w:t>
      </w:r>
      <w:r w:rsidR="009A1FE7" w:rsidRPr="00A369F0">
        <w:t xml:space="preserve"> </w:t>
      </w:r>
      <w:r w:rsidR="00E32574" w:rsidRPr="00A369F0">
        <w:t>Mobilização para os programas de reciclagem de resíduos</w:t>
      </w:r>
      <w:bookmarkEnd w:id="648"/>
      <w:bookmarkEnd w:id="649"/>
      <w:bookmarkEnd w:id="650"/>
    </w:p>
    <w:p w:rsidR="00E32574" w:rsidRPr="008D43D2" w:rsidRDefault="00E32574" w:rsidP="002E6C52">
      <w:pPr>
        <w:spacing w:after="0" w:line="360" w:lineRule="auto"/>
        <w:ind w:firstLine="709"/>
        <w:jc w:val="both"/>
        <w:rPr>
          <w:lang w:eastAsia="pt-BR"/>
        </w:rPr>
      </w:pPr>
      <w:r w:rsidRPr="008D43D2">
        <w:rPr>
          <w:lang w:eastAsia="pt-BR"/>
        </w:rPr>
        <w:t>Neste primeiro momento o município dará prioridade ao programa de coleta seletiva para a matéria orgânica, papel, metal, vidro e plástico. Num segundo momento, a reciclagem de entulho da construção civil e de sucatas.</w:t>
      </w:r>
    </w:p>
    <w:p w:rsidR="00E32574" w:rsidRDefault="00E32574" w:rsidP="002E6C52">
      <w:pPr>
        <w:spacing w:after="0" w:line="360" w:lineRule="auto"/>
        <w:ind w:firstLine="709"/>
        <w:jc w:val="both"/>
        <w:rPr>
          <w:lang w:eastAsia="pt-BR"/>
        </w:rPr>
      </w:pPr>
      <w:r w:rsidRPr="008D43D2">
        <w:rPr>
          <w:lang w:eastAsia="pt-BR"/>
        </w:rPr>
        <w:t xml:space="preserve">O processo educativo para a coleta seletiva deve priorizar as escolas, associações, igrejas e instituições em geral por serem locais propícios para a formação de agentes multiplicadores. A mobilização se faz para o envolvimento da população na separação do material em casa ou nos locais de trabalho e os resíduos potencialmente recicláveis são recolhidos pela prefeitura ou comunidade e levados ao galpão da UTC para serem triados </w:t>
      </w:r>
      <w:r w:rsidRPr="008D43D2">
        <w:rPr>
          <w:lang w:eastAsia="pt-BR"/>
        </w:rPr>
        <w:lastRenderedPageBreak/>
        <w:t>pelos agentes ambientais (associação a ser constituída com parcela carente da comunidade local).</w:t>
      </w:r>
    </w:p>
    <w:p w:rsidR="00E32574" w:rsidRPr="00A369F0" w:rsidRDefault="002E6C52" w:rsidP="00F109BC">
      <w:pPr>
        <w:pStyle w:val="Titulo"/>
        <w:spacing w:before="120"/>
      </w:pPr>
      <w:bookmarkStart w:id="651" w:name="_Toc110334850"/>
      <w:bookmarkStart w:id="652" w:name="_Toc372559184"/>
      <w:bookmarkStart w:id="653" w:name="_Toc372789615"/>
      <w:r w:rsidRPr="00A369F0">
        <w:t>13.1</w:t>
      </w:r>
      <w:r w:rsidR="005B71E7">
        <w:t>6</w:t>
      </w:r>
      <w:r w:rsidRPr="00A369F0">
        <w:t>.3</w:t>
      </w:r>
      <w:r w:rsidR="009A1FE7" w:rsidRPr="00A369F0">
        <w:t xml:space="preserve"> </w:t>
      </w:r>
      <w:r w:rsidR="00E32574" w:rsidRPr="00A369F0">
        <w:t>Mobilização para outros projetos</w:t>
      </w:r>
      <w:bookmarkEnd w:id="651"/>
      <w:bookmarkEnd w:id="652"/>
      <w:bookmarkEnd w:id="653"/>
    </w:p>
    <w:p w:rsidR="00E32574" w:rsidRPr="009A1FE7" w:rsidRDefault="00E32574" w:rsidP="002E6C52">
      <w:pPr>
        <w:spacing w:after="0" w:line="360" w:lineRule="auto"/>
        <w:ind w:firstLine="709"/>
        <w:jc w:val="both"/>
        <w:rPr>
          <w:lang w:eastAsia="pt-BR"/>
        </w:rPr>
      </w:pPr>
      <w:r w:rsidRPr="009A1FE7">
        <w:rPr>
          <w:lang w:eastAsia="pt-BR"/>
        </w:rPr>
        <w:t>Deverão ser realizados treinamentos para os professores da rede pública municipal e estadual e da rede privada, com o com o objetivo de promover o aprimoramento teórico e conceitual para formar reeditores e implementar novos projetos ligados à problemática dos RSU.</w:t>
      </w:r>
    </w:p>
    <w:p w:rsidR="00E32574" w:rsidRDefault="00E32574" w:rsidP="002E6C52">
      <w:pPr>
        <w:spacing w:after="0" w:line="360" w:lineRule="auto"/>
        <w:ind w:firstLine="709"/>
        <w:jc w:val="both"/>
        <w:rPr>
          <w:lang w:eastAsia="pt-BR"/>
        </w:rPr>
      </w:pPr>
      <w:r w:rsidRPr="009A1FE7">
        <w:rPr>
          <w:lang w:eastAsia="pt-BR"/>
        </w:rPr>
        <w:t>O objetivo é desenvolver um senso de cidadania para as questões ecológicas, especialmente ligadas a limpeza urbana, e estimular a criação de conselhos ambientais para a implantação da coleta seletiva e captação de recursos com parcerias.</w:t>
      </w:r>
    </w:p>
    <w:p w:rsidR="00E32574" w:rsidRPr="0090022C" w:rsidRDefault="002E6C52" w:rsidP="00971B37">
      <w:pPr>
        <w:pStyle w:val="Titulo"/>
      </w:pPr>
      <w:bookmarkStart w:id="654" w:name="_Toc110334851"/>
      <w:bookmarkStart w:id="655" w:name="_Toc372559185"/>
      <w:bookmarkStart w:id="656" w:name="_Toc372789616"/>
      <w:r>
        <w:t>13.1</w:t>
      </w:r>
      <w:r w:rsidR="005B71E7">
        <w:t>7</w:t>
      </w:r>
      <w:r w:rsidR="009A1FE7">
        <w:t xml:space="preserve"> </w:t>
      </w:r>
      <w:r w:rsidR="00E32574" w:rsidRPr="00852409">
        <w:t>Comunicação</w:t>
      </w:r>
      <w:r w:rsidR="00E32574" w:rsidRPr="0090022C">
        <w:t xml:space="preserve"> Social</w:t>
      </w:r>
      <w:bookmarkEnd w:id="654"/>
      <w:bookmarkEnd w:id="655"/>
      <w:bookmarkEnd w:id="656"/>
    </w:p>
    <w:p w:rsidR="00E32574" w:rsidRPr="009A1FE7" w:rsidRDefault="00E32574" w:rsidP="002E6C52">
      <w:pPr>
        <w:spacing w:after="0" w:line="360" w:lineRule="auto"/>
        <w:ind w:firstLine="708"/>
        <w:jc w:val="both"/>
        <w:rPr>
          <w:lang w:eastAsia="pt-BR"/>
        </w:rPr>
      </w:pPr>
      <w:r w:rsidRPr="009A1FE7">
        <w:rPr>
          <w:lang w:eastAsia="pt-BR"/>
        </w:rPr>
        <w:t>Como suporte ao trabalho mobilizatório, deverão ser produzidos materiais educativos, como cartazes, folhetos, bótons, adesivos, estandartes, painéis, saquinhos plásticos, brindes, sacolas entre outras peças informativas e de publicidade social.</w:t>
      </w:r>
    </w:p>
    <w:p w:rsidR="00E32574" w:rsidRPr="009A1FE7" w:rsidRDefault="00E32574" w:rsidP="002E6C52">
      <w:pPr>
        <w:spacing w:after="0" w:line="360" w:lineRule="auto"/>
        <w:ind w:firstLine="708"/>
        <w:jc w:val="both"/>
        <w:rPr>
          <w:lang w:eastAsia="pt-BR"/>
        </w:rPr>
      </w:pPr>
      <w:r w:rsidRPr="009A1FE7">
        <w:rPr>
          <w:lang w:eastAsia="pt-BR"/>
        </w:rPr>
        <w:t>A coleta seletiva é um programa que deve ser implantado com ações educativas junto à comunidade, para que possa ser eficiente e provocar as mudanças comportamentais esperadas.</w:t>
      </w:r>
    </w:p>
    <w:p w:rsidR="00E32574" w:rsidRPr="009A1FE7" w:rsidRDefault="00E32574" w:rsidP="002E6C52">
      <w:pPr>
        <w:spacing w:after="0" w:line="360" w:lineRule="auto"/>
        <w:ind w:firstLine="708"/>
        <w:jc w:val="both"/>
        <w:rPr>
          <w:lang w:eastAsia="pt-BR"/>
        </w:rPr>
      </w:pPr>
      <w:r w:rsidRPr="009A1FE7">
        <w:rPr>
          <w:lang w:eastAsia="pt-BR"/>
        </w:rPr>
        <w:t>As ações de educação ambiental propostas no PGIRS referem-se primeiramente ao fortalecimento da participação social no projeto. Outras atividades de educação para a limpeza urbana devem ser implementadas ao longo da implantação do Plano, de forma a dar o devido suporte às ações do mesmo.</w:t>
      </w:r>
    </w:p>
    <w:p w:rsidR="00E32574" w:rsidRPr="009A1FE7" w:rsidRDefault="00E32574" w:rsidP="002E6C52">
      <w:pPr>
        <w:spacing w:after="0" w:line="360" w:lineRule="auto"/>
        <w:ind w:firstLine="708"/>
        <w:jc w:val="both"/>
        <w:rPr>
          <w:lang w:eastAsia="pt-BR"/>
        </w:rPr>
      </w:pPr>
      <w:r w:rsidRPr="009A1FE7">
        <w:rPr>
          <w:lang w:eastAsia="pt-BR"/>
        </w:rPr>
        <w:t>Ações de educação ambiental propostas visam a:</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t>Programação de visitas orientadas das escolas e de outros grupos a UTC e aterro de Aimorés visando dar visibilidade ao projeto de coleta seletiva e valorizar o trabalho dos servidores da Limpeza Urbana;</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t>Articulação de parcerias com instituições públicas e privadas buscando a integração de programas afins junto ao Instituto Terra, EMATER, IEF, CVRD;</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t>Implantação de oficinas de reaproveitamento dos alimentos;</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t>Implantação de oficinas de papel artesanal;</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lastRenderedPageBreak/>
        <w:t>Capacitação e formação de agentes multiplicadores;</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t>Elaboração e implementação de projetos específicos para cada segmento da sociedade (escolas, secretarias, clubes etc.);</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t>Constituição de uma equipe de mobilização e comunicação social tendo à frente um coordenador com experiência em mobilização social e estagiários para atenderam a demanda de capacitação dos diversos setores;</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t>O apelo à solidariedade e demonstrando que há muito desperdício por um lado, e há os que ficam na miséria do outro;</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t xml:space="preserve">Incorporação do princípio dos 5 R’s: </w:t>
      </w:r>
      <w:r w:rsidRPr="009A1FE7">
        <w:rPr>
          <w:b/>
          <w:bCs/>
          <w:szCs w:val="24"/>
        </w:rPr>
        <w:t>R</w:t>
      </w:r>
      <w:r w:rsidRPr="009A1FE7">
        <w:rPr>
          <w:szCs w:val="24"/>
        </w:rPr>
        <w:t xml:space="preserve">eduzir o consumo dos produtos e o desperdício; </w:t>
      </w:r>
      <w:r w:rsidRPr="009A1FE7">
        <w:rPr>
          <w:b/>
          <w:bCs/>
          <w:szCs w:val="24"/>
        </w:rPr>
        <w:t>R</w:t>
      </w:r>
      <w:r w:rsidRPr="009A1FE7">
        <w:rPr>
          <w:szCs w:val="24"/>
        </w:rPr>
        <w:t xml:space="preserve">eutilizar; </w:t>
      </w:r>
      <w:r w:rsidRPr="009A1FE7">
        <w:rPr>
          <w:b/>
          <w:bCs/>
          <w:szCs w:val="24"/>
        </w:rPr>
        <w:t>R</w:t>
      </w:r>
      <w:r w:rsidRPr="009A1FE7">
        <w:rPr>
          <w:szCs w:val="24"/>
        </w:rPr>
        <w:t xml:space="preserve">eciclar os materiais que tenham potencial para tal; Repensar e Recusar; </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t>Intervenção junto a instituições públicas e privadas para a implantação da Coleta Seletiva;</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t>Promoção de eventos educativos e gincana;</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t>Divulgação dos resultados do programa, através de periódico específico e na mídia;</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t>Realização de concursos de música, de desenho, redação, dentro outros, sobre o tema nas escolas;</w:t>
      </w:r>
    </w:p>
    <w:p w:rsidR="00E32574" w:rsidRPr="009A1FE7" w:rsidRDefault="00E32574" w:rsidP="0053477A">
      <w:pPr>
        <w:pStyle w:val="Corpodetexto2"/>
        <w:numPr>
          <w:ilvl w:val="0"/>
          <w:numId w:val="42"/>
        </w:numPr>
        <w:spacing w:after="0" w:line="360" w:lineRule="auto"/>
        <w:ind w:left="567" w:hanging="283"/>
        <w:jc w:val="both"/>
        <w:rPr>
          <w:szCs w:val="24"/>
        </w:rPr>
      </w:pPr>
      <w:r w:rsidRPr="009A1FE7">
        <w:rPr>
          <w:szCs w:val="24"/>
        </w:rPr>
        <w:t xml:space="preserve">Elaboração de material informativo e de divulgação para os diversos programas, valorizando o trabalho das comunidades. </w:t>
      </w:r>
    </w:p>
    <w:p w:rsidR="00E32574" w:rsidRDefault="00E32574" w:rsidP="0053477A">
      <w:pPr>
        <w:pStyle w:val="Corpodetexto2"/>
        <w:numPr>
          <w:ilvl w:val="0"/>
          <w:numId w:val="42"/>
        </w:numPr>
        <w:spacing w:after="0" w:line="360" w:lineRule="auto"/>
        <w:ind w:left="567" w:hanging="283"/>
        <w:jc w:val="both"/>
        <w:rPr>
          <w:szCs w:val="24"/>
        </w:rPr>
      </w:pPr>
      <w:r w:rsidRPr="009A1FE7">
        <w:rPr>
          <w:szCs w:val="24"/>
        </w:rPr>
        <w:t>Reavaliação constante do programa.</w:t>
      </w:r>
    </w:p>
    <w:p w:rsidR="00E32574" w:rsidRPr="00A369F0" w:rsidRDefault="002E6C52" w:rsidP="00F109BC">
      <w:pPr>
        <w:pStyle w:val="Titulo"/>
        <w:spacing w:before="120"/>
      </w:pPr>
      <w:bookmarkStart w:id="657" w:name="_Toc110334852"/>
      <w:bookmarkStart w:id="658" w:name="_Toc372559186"/>
      <w:bookmarkStart w:id="659" w:name="_Toc372789617"/>
      <w:r w:rsidRPr="00A369F0">
        <w:t>13.1</w:t>
      </w:r>
      <w:r w:rsidR="005B71E7">
        <w:t>7</w:t>
      </w:r>
      <w:r w:rsidRPr="00A369F0">
        <w:t xml:space="preserve">.1 </w:t>
      </w:r>
      <w:r w:rsidR="00E32574" w:rsidRPr="00A369F0">
        <w:t>Capacitando a equipe de mobilização social</w:t>
      </w:r>
      <w:bookmarkEnd w:id="657"/>
      <w:bookmarkEnd w:id="658"/>
      <w:bookmarkEnd w:id="659"/>
    </w:p>
    <w:p w:rsidR="00E32574" w:rsidRPr="009A1FE7" w:rsidRDefault="00E32574" w:rsidP="002E6C52">
      <w:pPr>
        <w:spacing w:after="0" w:line="360" w:lineRule="auto"/>
        <w:ind w:firstLine="709"/>
        <w:jc w:val="both"/>
        <w:rPr>
          <w:lang w:eastAsia="pt-BR"/>
        </w:rPr>
      </w:pPr>
      <w:r w:rsidRPr="009A1FE7">
        <w:rPr>
          <w:lang w:eastAsia="pt-BR"/>
        </w:rPr>
        <w:t>A equipe técnica da prefeitura deve promover reuniões com os diversos setores da administração municipal para maior interface do programa junto às diversas secretarias e departamentos visando o estabelecimento de ações conjuntas.</w:t>
      </w:r>
    </w:p>
    <w:p w:rsidR="00E32574" w:rsidRPr="009A1FE7" w:rsidRDefault="00E32574" w:rsidP="002E6C52">
      <w:pPr>
        <w:spacing w:after="0" w:line="360" w:lineRule="auto"/>
        <w:ind w:firstLine="709"/>
        <w:jc w:val="both"/>
        <w:rPr>
          <w:lang w:eastAsia="pt-BR"/>
        </w:rPr>
      </w:pPr>
      <w:r w:rsidRPr="009A1FE7">
        <w:rPr>
          <w:lang w:eastAsia="pt-BR"/>
        </w:rPr>
        <w:t>A capacitação de parceiros sobre o tema e programa da coleta seletiva visa ampliar a participação popular e estabelecer representantes e interlocutor de cada quarteirão ou setor, abrangendo todo o município.</w:t>
      </w:r>
    </w:p>
    <w:p w:rsidR="00E32574" w:rsidRDefault="00E32574" w:rsidP="002E6C52">
      <w:pPr>
        <w:spacing w:after="0" w:line="360" w:lineRule="auto"/>
        <w:ind w:firstLine="709"/>
        <w:jc w:val="both"/>
        <w:rPr>
          <w:lang w:eastAsia="pt-BR"/>
        </w:rPr>
      </w:pPr>
      <w:r w:rsidRPr="009A1FE7">
        <w:rPr>
          <w:lang w:eastAsia="pt-BR"/>
        </w:rPr>
        <w:lastRenderedPageBreak/>
        <w:t>Cursos, palestras e simulações de atividades lúdicas e educativas serão desenvolvidas com a equipe de mobilização social para seu aprimoramento e preparação de ações.</w:t>
      </w:r>
    </w:p>
    <w:p w:rsidR="00E32574" w:rsidRPr="00A369F0" w:rsidRDefault="00A84DE6" w:rsidP="00F109BC">
      <w:pPr>
        <w:pStyle w:val="Titulo"/>
        <w:spacing w:before="120"/>
      </w:pPr>
      <w:bookmarkStart w:id="660" w:name="_Toc110334853"/>
      <w:bookmarkStart w:id="661" w:name="_Toc372559187"/>
      <w:bookmarkStart w:id="662" w:name="_Toc372789618"/>
      <w:r w:rsidRPr="00A369F0">
        <w:t>13.1</w:t>
      </w:r>
      <w:r w:rsidR="005B71E7">
        <w:t>7</w:t>
      </w:r>
      <w:r w:rsidRPr="00A369F0">
        <w:t>.2</w:t>
      </w:r>
      <w:r w:rsidR="009A1FE7" w:rsidRPr="00A369F0">
        <w:t xml:space="preserve"> </w:t>
      </w:r>
      <w:r w:rsidR="00E32574" w:rsidRPr="00A369F0">
        <w:t>Mobilização Comunitária</w:t>
      </w:r>
      <w:bookmarkEnd w:id="660"/>
      <w:bookmarkEnd w:id="661"/>
      <w:bookmarkEnd w:id="662"/>
    </w:p>
    <w:p w:rsidR="00E32574" w:rsidRPr="009A1FE7" w:rsidRDefault="00E32574" w:rsidP="00A84DE6">
      <w:pPr>
        <w:spacing w:after="0" w:line="360" w:lineRule="auto"/>
        <w:ind w:firstLine="708"/>
        <w:jc w:val="both"/>
        <w:rPr>
          <w:lang w:eastAsia="pt-BR"/>
        </w:rPr>
      </w:pPr>
      <w:r w:rsidRPr="009A1FE7">
        <w:rPr>
          <w:lang w:eastAsia="pt-BR"/>
        </w:rPr>
        <w:t>A proposta de Mobilização Comunitária apresentada pela Equipe Técnica da Consultoria Loci Planejamento e Projetos, quando da elaboração do Plano de Gestão Integrada de Resíduos Sólidos Urbanos do Município de Aimorés, foi considerada pela equipe responsável pela elaboração do PMSB de Aimorés como adequada para a realidade do município, levando-se em conta inclusive dos aspectos culturais.</w:t>
      </w:r>
    </w:p>
    <w:p w:rsidR="00E32574" w:rsidRPr="009A1FE7" w:rsidRDefault="00E32574" w:rsidP="00A84DE6">
      <w:pPr>
        <w:spacing w:after="0" w:line="360" w:lineRule="auto"/>
        <w:ind w:firstLine="708"/>
        <w:jc w:val="both"/>
        <w:rPr>
          <w:lang w:eastAsia="pt-BR"/>
        </w:rPr>
      </w:pPr>
      <w:r w:rsidRPr="009A1FE7">
        <w:rPr>
          <w:lang w:eastAsia="pt-BR"/>
        </w:rPr>
        <w:t>A mobilização e sensibilização da comunidade é a ação mais complexa de todo o programa e deve ser planejada em três etapas, objetivando um alcance maior do que seria possível com ações exclusivas da Prefeitura Municipal de Aimorés.</w:t>
      </w:r>
    </w:p>
    <w:p w:rsidR="00E32574" w:rsidRPr="009A1FE7" w:rsidRDefault="00E32574" w:rsidP="00A84DE6">
      <w:pPr>
        <w:spacing w:after="0" w:line="360" w:lineRule="auto"/>
        <w:ind w:firstLine="708"/>
        <w:jc w:val="both"/>
        <w:rPr>
          <w:lang w:eastAsia="pt-BR"/>
        </w:rPr>
      </w:pPr>
      <w:r w:rsidRPr="009A1FE7">
        <w:rPr>
          <w:lang w:eastAsia="pt-BR"/>
        </w:rPr>
        <w:t>As atividades são denominadas “ondas” porque as ações mobilizatórias partem de um núcleo restrito de pessoas e vão irradiando até atingir o conjunto da população. Estas ações têm conteúdo educativo e informativo e podem ser descritas em três etapas: núcleo gestor, multiplicadores e população em geral.</w:t>
      </w:r>
      <w:bookmarkStart w:id="663" w:name="_Toc110334854"/>
    </w:p>
    <w:p w:rsidR="00E32574" w:rsidRPr="009A1FE7" w:rsidRDefault="00E32574" w:rsidP="00A84DE6">
      <w:pPr>
        <w:spacing w:after="0" w:line="360" w:lineRule="auto"/>
        <w:ind w:firstLine="708"/>
        <w:jc w:val="both"/>
        <w:rPr>
          <w:lang w:eastAsia="pt-BR"/>
        </w:rPr>
      </w:pPr>
      <w:r w:rsidRPr="009A1FE7">
        <w:rPr>
          <w:lang w:eastAsia="pt-BR"/>
        </w:rPr>
        <w:t>O Núcleo Gestor</w:t>
      </w:r>
      <w:bookmarkEnd w:id="663"/>
      <w:r w:rsidRPr="009A1FE7">
        <w:rPr>
          <w:lang w:eastAsia="pt-BR"/>
        </w:rPr>
        <w:t xml:space="preserve"> deve ser formado com líderes ou representantes das regiões que, com sua experiência e conhecimento das realidades locais, discutem a melhor forma de implementar a coleta seletiva e de engajar os “multiplicadores” e a população. A composição deste núcleo é uma forma de aproximar a discussão e o planejamento das ações da comunidade que será contemplada com os serviços.</w:t>
      </w:r>
      <w:bookmarkStart w:id="664" w:name="_Toc110334855"/>
    </w:p>
    <w:p w:rsidR="00E32574" w:rsidRPr="009A1FE7" w:rsidRDefault="00E32574" w:rsidP="00A84DE6">
      <w:pPr>
        <w:spacing w:after="0" w:line="360" w:lineRule="auto"/>
        <w:ind w:firstLine="708"/>
        <w:jc w:val="both"/>
        <w:rPr>
          <w:lang w:eastAsia="pt-BR"/>
        </w:rPr>
      </w:pPr>
      <w:r w:rsidRPr="009A1FE7">
        <w:rPr>
          <w:lang w:eastAsia="pt-BR"/>
        </w:rPr>
        <w:t>Os Multiplicadores</w:t>
      </w:r>
      <w:bookmarkEnd w:id="664"/>
      <w:r w:rsidRPr="009A1FE7">
        <w:rPr>
          <w:lang w:eastAsia="pt-BR"/>
        </w:rPr>
        <w:t xml:space="preserve"> são os agentes e lideranças locais que se interessam pelo tema ambiental e social e que são os multiplicadores das atividades em cada lugar onde se realiza a coleta seletiva, fazendo chegar à população as informações e os esclarecimentos necessários à implantação e permanência do programa. Entre os multiplicadores estão os agentes de saúde, os representantes e funcionários da Prefeitura, representantes de escolas, representantes de centro de saúde, líderes religiosos, esportivos e comunitários, representantes empresariais, políticos e estudantis.</w:t>
      </w:r>
    </w:p>
    <w:p w:rsidR="00E32574" w:rsidRPr="009A1FE7" w:rsidRDefault="00E32574" w:rsidP="00A84DE6">
      <w:pPr>
        <w:spacing w:after="0" w:line="360" w:lineRule="auto"/>
        <w:ind w:firstLine="708"/>
        <w:jc w:val="both"/>
        <w:rPr>
          <w:lang w:eastAsia="pt-BR"/>
        </w:rPr>
      </w:pPr>
      <w:r w:rsidRPr="009A1FE7">
        <w:rPr>
          <w:lang w:eastAsia="pt-BR"/>
        </w:rPr>
        <w:lastRenderedPageBreak/>
        <w:t>A mobilização do conjunto da população deverá ser realizada pela equipe de mobilização social e educação ambiental com apoio dos agentes do núcleo gestor e dos multiplicadores.</w:t>
      </w:r>
    </w:p>
    <w:p w:rsidR="00E32574" w:rsidRPr="009A1FE7" w:rsidRDefault="00E32574" w:rsidP="00A84DE6">
      <w:pPr>
        <w:spacing w:after="0" w:line="360" w:lineRule="auto"/>
        <w:ind w:firstLine="708"/>
        <w:jc w:val="both"/>
        <w:rPr>
          <w:lang w:eastAsia="pt-BR"/>
        </w:rPr>
      </w:pPr>
      <w:r w:rsidRPr="009A1FE7">
        <w:rPr>
          <w:lang w:eastAsia="pt-BR"/>
        </w:rPr>
        <w:t>Deve-se estabelecer em conjunto as atividades mobilizatórias e educativas mais adequadas para fazer o programa chegar ao público, através de campanha de esclarecimento e divulgação e desenvolvimento de atividades:</w:t>
      </w:r>
    </w:p>
    <w:p w:rsidR="00E32574" w:rsidRPr="009A1FE7" w:rsidRDefault="00E32574" w:rsidP="0053477A">
      <w:pPr>
        <w:pStyle w:val="Corpodetexto2"/>
        <w:numPr>
          <w:ilvl w:val="0"/>
          <w:numId w:val="43"/>
        </w:numPr>
        <w:spacing w:after="0" w:line="360" w:lineRule="auto"/>
        <w:ind w:left="567" w:hanging="283"/>
        <w:jc w:val="both"/>
        <w:rPr>
          <w:szCs w:val="24"/>
        </w:rPr>
      </w:pPr>
      <w:r w:rsidRPr="009A1FE7">
        <w:rPr>
          <w:szCs w:val="24"/>
        </w:rPr>
        <w:t>Intervenções lúdicas e educativas em igrejas/templos;</w:t>
      </w:r>
    </w:p>
    <w:p w:rsidR="00E32574" w:rsidRPr="009A1FE7" w:rsidRDefault="00E32574" w:rsidP="0053477A">
      <w:pPr>
        <w:pStyle w:val="Corpodetexto2"/>
        <w:numPr>
          <w:ilvl w:val="0"/>
          <w:numId w:val="43"/>
        </w:numPr>
        <w:spacing w:after="0" w:line="360" w:lineRule="auto"/>
        <w:ind w:left="567" w:hanging="283"/>
        <w:jc w:val="both"/>
        <w:rPr>
          <w:szCs w:val="24"/>
        </w:rPr>
      </w:pPr>
      <w:r w:rsidRPr="009A1FE7">
        <w:rPr>
          <w:szCs w:val="24"/>
        </w:rPr>
        <w:t>Contato regular com adotantes dos Pontos de Entrega Voluntária-PEVs;</w:t>
      </w:r>
    </w:p>
    <w:p w:rsidR="00E32574" w:rsidRPr="009A1FE7" w:rsidRDefault="00E32574" w:rsidP="0053477A">
      <w:pPr>
        <w:pStyle w:val="Corpodetexto2"/>
        <w:numPr>
          <w:ilvl w:val="0"/>
          <w:numId w:val="43"/>
        </w:numPr>
        <w:spacing w:after="0" w:line="360" w:lineRule="auto"/>
        <w:ind w:left="567" w:hanging="283"/>
        <w:jc w:val="both"/>
        <w:rPr>
          <w:szCs w:val="24"/>
        </w:rPr>
      </w:pPr>
      <w:r w:rsidRPr="009A1FE7">
        <w:rPr>
          <w:szCs w:val="24"/>
        </w:rPr>
        <w:t>Acompanhamento dos PEVs para avaliar e identificar usuários;</w:t>
      </w:r>
    </w:p>
    <w:p w:rsidR="00E32574" w:rsidRPr="009A1FE7" w:rsidRDefault="00E32574" w:rsidP="0053477A">
      <w:pPr>
        <w:pStyle w:val="Corpodetexto2"/>
        <w:numPr>
          <w:ilvl w:val="0"/>
          <w:numId w:val="43"/>
        </w:numPr>
        <w:spacing w:after="0" w:line="360" w:lineRule="auto"/>
        <w:ind w:left="567" w:hanging="283"/>
        <w:jc w:val="both"/>
        <w:rPr>
          <w:szCs w:val="24"/>
        </w:rPr>
      </w:pPr>
      <w:r w:rsidRPr="009A1FE7">
        <w:rPr>
          <w:szCs w:val="24"/>
        </w:rPr>
        <w:t>Realização de campanha educativa em eventos na cidade;</w:t>
      </w:r>
    </w:p>
    <w:p w:rsidR="00E32574" w:rsidRPr="009A1FE7" w:rsidRDefault="00E32574" w:rsidP="0053477A">
      <w:pPr>
        <w:pStyle w:val="Corpodetexto2"/>
        <w:numPr>
          <w:ilvl w:val="0"/>
          <w:numId w:val="43"/>
        </w:numPr>
        <w:spacing w:after="0" w:line="360" w:lineRule="auto"/>
        <w:ind w:left="567" w:hanging="283"/>
        <w:jc w:val="both"/>
        <w:rPr>
          <w:szCs w:val="24"/>
        </w:rPr>
      </w:pPr>
      <w:r w:rsidRPr="009A1FE7">
        <w:rPr>
          <w:szCs w:val="24"/>
        </w:rPr>
        <w:t>Participação em cursos de formação de agentes ambientais;</w:t>
      </w:r>
    </w:p>
    <w:p w:rsidR="00E32574" w:rsidRPr="009A1FE7" w:rsidRDefault="00E32574" w:rsidP="0053477A">
      <w:pPr>
        <w:pStyle w:val="Corpodetexto2"/>
        <w:numPr>
          <w:ilvl w:val="0"/>
          <w:numId w:val="43"/>
        </w:numPr>
        <w:spacing w:after="0" w:line="360" w:lineRule="auto"/>
        <w:ind w:left="567" w:hanging="283"/>
        <w:jc w:val="both"/>
        <w:rPr>
          <w:szCs w:val="24"/>
        </w:rPr>
      </w:pPr>
      <w:r w:rsidRPr="009A1FE7">
        <w:rPr>
          <w:szCs w:val="24"/>
        </w:rPr>
        <w:t>Palestras e oficinas em escolas, simpósios, prédios públicos e onde houver demanda;</w:t>
      </w:r>
    </w:p>
    <w:p w:rsidR="00E32574" w:rsidRPr="009A1FE7" w:rsidRDefault="00E32574" w:rsidP="0053477A">
      <w:pPr>
        <w:pStyle w:val="Corpodetexto2"/>
        <w:numPr>
          <w:ilvl w:val="0"/>
          <w:numId w:val="43"/>
        </w:numPr>
        <w:spacing w:after="0" w:line="360" w:lineRule="auto"/>
        <w:ind w:left="567" w:hanging="283"/>
        <w:jc w:val="both"/>
        <w:rPr>
          <w:szCs w:val="24"/>
        </w:rPr>
      </w:pPr>
      <w:r w:rsidRPr="009A1FE7">
        <w:rPr>
          <w:szCs w:val="24"/>
        </w:rPr>
        <w:t>Intervenções lúdicas em escolas, inseridas no tema da coleta seletiva, buscando a disseminação e informação sobre o programa;</w:t>
      </w:r>
    </w:p>
    <w:p w:rsidR="00E32574" w:rsidRPr="009A1FE7" w:rsidRDefault="00E32574" w:rsidP="0053477A">
      <w:pPr>
        <w:pStyle w:val="Corpodetexto2"/>
        <w:numPr>
          <w:ilvl w:val="0"/>
          <w:numId w:val="43"/>
        </w:numPr>
        <w:spacing w:after="0" w:line="360" w:lineRule="auto"/>
        <w:ind w:left="567" w:hanging="283"/>
        <w:jc w:val="both"/>
        <w:rPr>
          <w:szCs w:val="24"/>
        </w:rPr>
      </w:pPr>
      <w:r w:rsidRPr="009A1FE7">
        <w:rPr>
          <w:szCs w:val="24"/>
        </w:rPr>
        <w:t>Reforço do trabalho de mobilização nos locais da sede, bairros ou distritos onde o monitoramento identifica problemas na adesão e engajamento na coleta seletiva;</w:t>
      </w:r>
    </w:p>
    <w:p w:rsidR="00E32574" w:rsidRPr="00E526B0" w:rsidRDefault="00E32574" w:rsidP="0053477A">
      <w:pPr>
        <w:pStyle w:val="Corpodetexto2"/>
        <w:numPr>
          <w:ilvl w:val="0"/>
          <w:numId w:val="43"/>
        </w:numPr>
        <w:spacing w:after="0" w:line="360" w:lineRule="auto"/>
        <w:ind w:left="567" w:hanging="283"/>
        <w:jc w:val="both"/>
        <w:rPr>
          <w:b/>
          <w:szCs w:val="24"/>
        </w:rPr>
      </w:pPr>
      <w:r w:rsidRPr="009A1FE7">
        <w:rPr>
          <w:szCs w:val="24"/>
        </w:rPr>
        <w:t>Criação de brinquedos com materiais recicláveis e de brincadeiras educativas para utilização nas ações mobilizatórias.</w:t>
      </w:r>
    </w:p>
    <w:p w:rsidR="00E32574" w:rsidRPr="00A84DE6" w:rsidRDefault="00A84DE6" w:rsidP="005B71E7">
      <w:pPr>
        <w:pStyle w:val="Titulo"/>
        <w:ind w:left="709" w:hanging="709"/>
      </w:pPr>
      <w:bookmarkStart w:id="665" w:name="_Toc372559188"/>
      <w:bookmarkStart w:id="666" w:name="_Toc372789619"/>
      <w:r w:rsidRPr="00A84DE6">
        <w:t>13.1</w:t>
      </w:r>
      <w:r w:rsidR="005B71E7">
        <w:t>8</w:t>
      </w:r>
      <w:r w:rsidRPr="00A84DE6">
        <w:t xml:space="preserve"> </w:t>
      </w:r>
      <w:r w:rsidR="00E32574" w:rsidRPr="00A84DE6">
        <w:t>Alguns problemas levantados pela comunidade durante a realização das audiências públicas do PMSB</w:t>
      </w:r>
      <w:bookmarkEnd w:id="665"/>
      <w:bookmarkEnd w:id="666"/>
    </w:p>
    <w:p w:rsidR="00E32574" w:rsidRPr="006C26A1" w:rsidRDefault="00E32574" w:rsidP="0053477A">
      <w:pPr>
        <w:pStyle w:val="Corpodetexto2"/>
        <w:numPr>
          <w:ilvl w:val="0"/>
          <w:numId w:val="44"/>
        </w:numPr>
        <w:spacing w:after="0" w:line="360" w:lineRule="auto"/>
        <w:ind w:left="567" w:hanging="283"/>
        <w:jc w:val="both"/>
        <w:rPr>
          <w:szCs w:val="24"/>
        </w:rPr>
      </w:pPr>
      <w:r w:rsidRPr="006C26A1">
        <w:rPr>
          <w:szCs w:val="24"/>
        </w:rPr>
        <w:t>Há disparidade entre a receita e as despesas para a operação do sistema de limpeza urbana no município. Cabe pois, uma melhor avaliação das taxas cobradas como também da eficiência de funcionamento deste sistema, passando pelo pessoal empregado até os equipamentos necessários.</w:t>
      </w:r>
    </w:p>
    <w:p w:rsidR="00E32574" w:rsidRPr="006C26A1" w:rsidRDefault="00E32574" w:rsidP="0053477A">
      <w:pPr>
        <w:pStyle w:val="Corpodetexto2"/>
        <w:numPr>
          <w:ilvl w:val="0"/>
          <w:numId w:val="44"/>
        </w:numPr>
        <w:spacing w:after="0" w:line="360" w:lineRule="auto"/>
        <w:ind w:left="567" w:hanging="283"/>
        <w:jc w:val="both"/>
        <w:rPr>
          <w:szCs w:val="24"/>
        </w:rPr>
      </w:pPr>
      <w:r w:rsidRPr="006C26A1">
        <w:rPr>
          <w:szCs w:val="24"/>
        </w:rPr>
        <w:t>Necessidade urgente de outra área para a implantação do aterro sanitário;</w:t>
      </w:r>
    </w:p>
    <w:p w:rsidR="00E32574" w:rsidRPr="006C26A1" w:rsidRDefault="00E32574" w:rsidP="0053477A">
      <w:pPr>
        <w:pStyle w:val="Corpodetexto2"/>
        <w:numPr>
          <w:ilvl w:val="0"/>
          <w:numId w:val="44"/>
        </w:numPr>
        <w:spacing w:after="0" w:line="360" w:lineRule="auto"/>
        <w:ind w:left="567" w:hanging="283"/>
        <w:jc w:val="both"/>
        <w:rPr>
          <w:szCs w:val="24"/>
        </w:rPr>
      </w:pPr>
      <w:r w:rsidRPr="006C26A1">
        <w:rPr>
          <w:szCs w:val="24"/>
        </w:rPr>
        <w:t>Melhorar os serviços prestados pela Secretaria de Transporte e Limpeza Pública nos distritos;</w:t>
      </w:r>
    </w:p>
    <w:p w:rsidR="00E32574" w:rsidRPr="006C26A1" w:rsidRDefault="00E32574" w:rsidP="0053477A">
      <w:pPr>
        <w:pStyle w:val="Corpodetexto2"/>
        <w:numPr>
          <w:ilvl w:val="0"/>
          <w:numId w:val="44"/>
        </w:numPr>
        <w:spacing w:after="0" w:line="360" w:lineRule="auto"/>
        <w:ind w:left="567" w:hanging="283"/>
        <w:jc w:val="both"/>
        <w:rPr>
          <w:szCs w:val="24"/>
        </w:rPr>
      </w:pPr>
      <w:r w:rsidRPr="006C26A1">
        <w:rPr>
          <w:szCs w:val="24"/>
        </w:rPr>
        <w:lastRenderedPageBreak/>
        <w:t>Nos bairros periféricos, o entulho proveniente da capina não é recolhido adequadamente. Quando chove torna-se um problema grave para a população;</w:t>
      </w:r>
    </w:p>
    <w:p w:rsidR="00E32574" w:rsidRPr="006C26A1" w:rsidRDefault="00E32574" w:rsidP="0053477A">
      <w:pPr>
        <w:pStyle w:val="Corpodetexto2"/>
        <w:numPr>
          <w:ilvl w:val="0"/>
          <w:numId w:val="44"/>
        </w:numPr>
        <w:spacing w:after="0" w:line="360" w:lineRule="auto"/>
        <w:ind w:left="567" w:hanging="283"/>
        <w:jc w:val="both"/>
        <w:rPr>
          <w:szCs w:val="24"/>
        </w:rPr>
      </w:pPr>
      <w:r w:rsidRPr="006C26A1">
        <w:rPr>
          <w:szCs w:val="24"/>
        </w:rPr>
        <w:t>A população faz a separação do material reciclável e a coleta recolhe tudo misturado, acarretando com isso o descrédito da população em relação à coleta seletiva;</w:t>
      </w:r>
    </w:p>
    <w:p w:rsidR="00E32574" w:rsidRPr="006C26A1" w:rsidRDefault="00E32574" w:rsidP="0053477A">
      <w:pPr>
        <w:pStyle w:val="Corpodetexto2"/>
        <w:numPr>
          <w:ilvl w:val="0"/>
          <w:numId w:val="44"/>
        </w:numPr>
        <w:spacing w:after="0" w:line="360" w:lineRule="auto"/>
        <w:ind w:left="567" w:hanging="283"/>
        <w:jc w:val="both"/>
        <w:rPr>
          <w:szCs w:val="24"/>
        </w:rPr>
      </w:pPr>
      <w:r w:rsidRPr="006C26A1">
        <w:rPr>
          <w:szCs w:val="24"/>
        </w:rPr>
        <w:t>O Bairro da Igrejinha não possui uma coleta adequada de lixo;</w:t>
      </w:r>
    </w:p>
    <w:p w:rsidR="00E32574" w:rsidRPr="006C26A1" w:rsidRDefault="00E32574" w:rsidP="0053477A">
      <w:pPr>
        <w:pStyle w:val="Corpodetexto2"/>
        <w:numPr>
          <w:ilvl w:val="0"/>
          <w:numId w:val="44"/>
        </w:numPr>
        <w:spacing w:after="0" w:line="360" w:lineRule="auto"/>
        <w:ind w:left="567" w:hanging="283"/>
        <w:jc w:val="both"/>
        <w:rPr>
          <w:szCs w:val="24"/>
        </w:rPr>
      </w:pPr>
      <w:r w:rsidRPr="006C26A1">
        <w:rPr>
          <w:szCs w:val="24"/>
        </w:rPr>
        <w:t>A Rua José Domingos não possui coleta, varrição e nem tão pouco capina regulamentar, e, quando é capinada, os resíduos não são recolhidos. A população, através da Associação já se manifestou em “abaixo assinado”, mas nenhuma providência foi tomada de acordo com os depoimentos;</w:t>
      </w:r>
    </w:p>
    <w:p w:rsidR="00E32574" w:rsidRPr="006C26A1" w:rsidRDefault="00E32574" w:rsidP="0053477A">
      <w:pPr>
        <w:pStyle w:val="Corpodetexto2"/>
        <w:numPr>
          <w:ilvl w:val="0"/>
          <w:numId w:val="44"/>
        </w:numPr>
        <w:spacing w:after="0" w:line="360" w:lineRule="auto"/>
        <w:ind w:left="567" w:hanging="283"/>
        <w:jc w:val="both"/>
        <w:rPr>
          <w:szCs w:val="24"/>
        </w:rPr>
      </w:pPr>
      <w:r w:rsidRPr="006C26A1">
        <w:rPr>
          <w:szCs w:val="24"/>
        </w:rPr>
        <w:t>A implantação da coleta seletiva no município há de ter como parceiros principais os próprios funcionários da limpeza urbana, os quais após qualificação, executarão também o papel de interlocutores com a comunidade para a separação correta dos materiais, visto que pela comercialização dos recicláveis obtém-se trabalho e renda para a comunidade;</w:t>
      </w:r>
    </w:p>
    <w:p w:rsidR="00E32574" w:rsidRPr="006C26A1" w:rsidRDefault="00E32574" w:rsidP="0053477A">
      <w:pPr>
        <w:pStyle w:val="Corpodetexto2"/>
        <w:numPr>
          <w:ilvl w:val="0"/>
          <w:numId w:val="44"/>
        </w:numPr>
        <w:spacing w:after="0" w:line="360" w:lineRule="auto"/>
        <w:ind w:left="567" w:hanging="283"/>
        <w:jc w:val="both"/>
        <w:rPr>
          <w:szCs w:val="24"/>
        </w:rPr>
      </w:pPr>
      <w:r w:rsidRPr="006C26A1">
        <w:rPr>
          <w:szCs w:val="24"/>
        </w:rPr>
        <w:t>Em Aimorés UTC em operação desde 1999 ainda não está licenciada junto ao órgão competente;</w:t>
      </w:r>
    </w:p>
    <w:p w:rsidR="00E32574" w:rsidRPr="006C26A1" w:rsidRDefault="00E32574" w:rsidP="0053477A">
      <w:pPr>
        <w:pStyle w:val="Corpodetexto2"/>
        <w:numPr>
          <w:ilvl w:val="0"/>
          <w:numId w:val="44"/>
        </w:numPr>
        <w:spacing w:after="0" w:line="360" w:lineRule="auto"/>
        <w:ind w:left="567" w:hanging="283"/>
        <w:jc w:val="both"/>
        <w:rPr>
          <w:szCs w:val="24"/>
        </w:rPr>
      </w:pPr>
      <w:r w:rsidRPr="006C26A1">
        <w:rPr>
          <w:szCs w:val="24"/>
        </w:rPr>
        <w:t>Há exposição prolongada dos resíduos depositados no aterro de rejeitos favorecendo a proliferação de várias espécies de vetores responsáveis por um grande número de endemias, por falta de maquinário para recobertura e compactação diária do lixo depositado;</w:t>
      </w:r>
    </w:p>
    <w:p w:rsidR="00E32574" w:rsidRPr="006C26A1" w:rsidRDefault="00E32574" w:rsidP="0053477A">
      <w:pPr>
        <w:pStyle w:val="Corpodetexto2"/>
        <w:numPr>
          <w:ilvl w:val="0"/>
          <w:numId w:val="44"/>
        </w:numPr>
        <w:spacing w:after="0" w:line="360" w:lineRule="auto"/>
        <w:ind w:left="567" w:hanging="283"/>
        <w:jc w:val="both"/>
        <w:rPr>
          <w:szCs w:val="24"/>
        </w:rPr>
      </w:pPr>
      <w:r w:rsidRPr="006C26A1">
        <w:rPr>
          <w:szCs w:val="24"/>
        </w:rPr>
        <w:t>Quando há maquinário (trator, pá-carregadeira e caminhão) disponível para o aterro ocorrem freqüentes deslocamento para outras obras e serviços da prefeitura, não cumprindo sua grade de tarefas diárias no local do aterro, ou muitas vezes até paralisados por problemas de manutenção cara.</w:t>
      </w:r>
    </w:p>
    <w:p w:rsidR="00E32574" w:rsidRPr="009A1FE7" w:rsidRDefault="00E32574" w:rsidP="00A84DE6">
      <w:pPr>
        <w:spacing w:after="0" w:line="360" w:lineRule="auto"/>
        <w:ind w:firstLine="709"/>
        <w:jc w:val="both"/>
        <w:rPr>
          <w:lang w:eastAsia="pt-BR"/>
        </w:rPr>
      </w:pPr>
      <w:r w:rsidRPr="009A1FE7">
        <w:rPr>
          <w:lang w:eastAsia="pt-BR"/>
        </w:rPr>
        <w:t xml:space="preserve">O diretor da UTCL e do aterro sanitário sinalizou para as seguintes demandas: </w:t>
      </w:r>
    </w:p>
    <w:p w:rsidR="00E32574" w:rsidRPr="006C26A1" w:rsidRDefault="00E32574" w:rsidP="0053477A">
      <w:pPr>
        <w:pStyle w:val="PargrafodaLista"/>
        <w:numPr>
          <w:ilvl w:val="0"/>
          <w:numId w:val="45"/>
        </w:numPr>
        <w:shd w:val="clear" w:color="auto" w:fill="FFFFFF"/>
        <w:spacing w:after="0" w:line="360" w:lineRule="auto"/>
        <w:ind w:left="567" w:hanging="283"/>
        <w:jc w:val="both"/>
        <w:rPr>
          <w:color w:val="222222"/>
          <w:szCs w:val="24"/>
          <w:shd w:val="clear" w:color="auto" w:fill="FFFFFF"/>
        </w:rPr>
      </w:pPr>
      <w:r w:rsidRPr="006C26A1">
        <w:rPr>
          <w:color w:val="222222"/>
          <w:szCs w:val="24"/>
          <w:shd w:val="clear" w:color="auto" w:fill="FFFFFF"/>
        </w:rPr>
        <w:t>Reforma da UTCL dotando-o de melhorias na infra-estrutura (construção de guarita e instalação de um sinalisador para facilitar a entrada e saída de veículos, devido a alguns acidentes ocorridos);</w:t>
      </w:r>
    </w:p>
    <w:p w:rsidR="00E32574" w:rsidRPr="006C26A1" w:rsidRDefault="00E32574" w:rsidP="0053477A">
      <w:pPr>
        <w:pStyle w:val="PargrafodaLista"/>
        <w:numPr>
          <w:ilvl w:val="0"/>
          <w:numId w:val="45"/>
        </w:numPr>
        <w:shd w:val="clear" w:color="auto" w:fill="FFFFFF"/>
        <w:spacing w:after="0" w:line="360" w:lineRule="auto"/>
        <w:ind w:left="567" w:hanging="283"/>
        <w:jc w:val="both"/>
        <w:rPr>
          <w:color w:val="222222"/>
          <w:szCs w:val="24"/>
          <w:shd w:val="clear" w:color="auto" w:fill="FFFFFF"/>
        </w:rPr>
      </w:pPr>
      <w:r w:rsidRPr="006C26A1">
        <w:rPr>
          <w:color w:val="222222"/>
          <w:szCs w:val="24"/>
          <w:shd w:val="clear" w:color="auto" w:fill="FFFFFF"/>
        </w:rPr>
        <w:t>Construção de novas valas para depósito de resíduos sólidos de serviço de saúde;</w:t>
      </w:r>
    </w:p>
    <w:p w:rsidR="00E32574" w:rsidRPr="006C26A1" w:rsidRDefault="00E32574" w:rsidP="0053477A">
      <w:pPr>
        <w:pStyle w:val="PargrafodaLista"/>
        <w:numPr>
          <w:ilvl w:val="0"/>
          <w:numId w:val="45"/>
        </w:numPr>
        <w:shd w:val="clear" w:color="auto" w:fill="FFFFFF"/>
        <w:spacing w:after="0" w:line="360" w:lineRule="auto"/>
        <w:ind w:left="567" w:hanging="283"/>
        <w:jc w:val="both"/>
        <w:rPr>
          <w:color w:val="222222"/>
          <w:szCs w:val="24"/>
          <w:shd w:val="clear" w:color="auto" w:fill="FFFFFF"/>
        </w:rPr>
      </w:pPr>
      <w:r w:rsidRPr="006C26A1">
        <w:rPr>
          <w:color w:val="222222"/>
          <w:szCs w:val="24"/>
          <w:shd w:val="clear" w:color="auto" w:fill="FFFFFF"/>
        </w:rPr>
        <w:lastRenderedPageBreak/>
        <w:t>Aquisição de equipamentos (1 trator esteira, porque o que está em funcionamento frequentimente precisa de manutenção; 1 carreta reboque pois a atual está sucateada; 1 retroescavadeira e 1 caminhão basculante para transporte de terra para o aterro, visto que precisa pedir emprestado o caminhão a Secretaria de Transporte e Limpeza Urbana);</w:t>
      </w:r>
    </w:p>
    <w:p w:rsidR="00E32574" w:rsidRPr="006C26A1" w:rsidRDefault="00E32574" w:rsidP="0053477A">
      <w:pPr>
        <w:pStyle w:val="PargrafodaLista"/>
        <w:numPr>
          <w:ilvl w:val="0"/>
          <w:numId w:val="45"/>
        </w:numPr>
        <w:shd w:val="clear" w:color="auto" w:fill="FFFFFF"/>
        <w:spacing w:after="0" w:line="360" w:lineRule="auto"/>
        <w:ind w:left="567" w:hanging="283"/>
        <w:jc w:val="both"/>
        <w:rPr>
          <w:color w:val="222222"/>
          <w:szCs w:val="24"/>
          <w:shd w:val="clear" w:color="auto" w:fill="FFFFFF"/>
        </w:rPr>
      </w:pPr>
      <w:r w:rsidRPr="006C26A1">
        <w:rPr>
          <w:color w:val="222222"/>
          <w:szCs w:val="24"/>
          <w:shd w:val="clear" w:color="auto" w:fill="FFFFFF"/>
        </w:rPr>
        <w:t xml:space="preserve">Estudo para identificar um novo local para o aterro, visto que o mesmo encontra-se em fase de termino da vida útil. </w:t>
      </w:r>
    </w:p>
    <w:p w:rsidR="00E32574" w:rsidRDefault="00E32574">
      <w:pPr>
        <w:spacing w:after="200" w:line="276" w:lineRule="auto"/>
        <w:rPr>
          <w:color w:val="222222"/>
          <w:szCs w:val="24"/>
        </w:rPr>
      </w:pPr>
      <w:r>
        <w:rPr>
          <w:color w:val="222222"/>
          <w:szCs w:val="24"/>
        </w:rPr>
        <w:br w:type="page"/>
      </w:r>
    </w:p>
    <w:p w:rsidR="00E32574" w:rsidRPr="00C92BF5" w:rsidRDefault="00E32574" w:rsidP="00971B37">
      <w:pPr>
        <w:pStyle w:val="Titulo"/>
      </w:pPr>
      <w:bookmarkStart w:id="667" w:name="_Toc372559189"/>
      <w:bookmarkStart w:id="668" w:name="_Toc372789620"/>
      <w:r w:rsidRPr="00C92BF5">
        <w:lastRenderedPageBreak/>
        <w:t>1</w:t>
      </w:r>
      <w:r w:rsidR="00A84DE6">
        <w:t>4</w:t>
      </w:r>
      <w:r w:rsidRPr="00C92BF5">
        <w:t xml:space="preserve"> DRENAGEM E MANEJO DAS ÁGUAS PLUVIAIS URBANAS</w:t>
      </w:r>
      <w:bookmarkEnd w:id="667"/>
      <w:bookmarkEnd w:id="668"/>
    </w:p>
    <w:p w:rsidR="00E32574" w:rsidRPr="00C92BF5" w:rsidRDefault="00C56A3B" w:rsidP="00971B37">
      <w:pPr>
        <w:pStyle w:val="Titulo"/>
      </w:pPr>
      <w:bookmarkStart w:id="669" w:name="_Toc372559190"/>
      <w:bookmarkStart w:id="670" w:name="_Toc372789621"/>
      <w:r>
        <w:t xml:space="preserve">14.1 </w:t>
      </w:r>
      <w:r w:rsidRPr="00C92BF5">
        <w:t>Introdução</w:t>
      </w:r>
      <w:bookmarkEnd w:id="669"/>
      <w:bookmarkEnd w:id="670"/>
    </w:p>
    <w:p w:rsidR="00E32574" w:rsidRPr="009A1FE7" w:rsidRDefault="00E32574" w:rsidP="00A84DE6">
      <w:pPr>
        <w:spacing w:after="0" w:line="360" w:lineRule="auto"/>
        <w:ind w:firstLine="709"/>
        <w:jc w:val="both"/>
        <w:rPr>
          <w:lang w:eastAsia="pt-BR"/>
        </w:rPr>
      </w:pPr>
      <w:r w:rsidRPr="009A1FE7">
        <w:rPr>
          <w:lang w:eastAsia="pt-BR"/>
        </w:rPr>
        <w:t>O comportamento do escoamento superficial direto sofre alterações substanciais em decorrência do processo de urbanização de uma bacia hidrográfica, principalmente como consequência da impermeabilização da superfície, o que produz maiores picos e vazões. Com isso, o crescimento urbano das cidades brasileiras tem provocado impactos na população e no meio ambiente, surgindo um aumento na frequência e no nível das inundações, prejudicando a qualidade da água, e aumento da presença de materiais sólidos no escoamento pluvial. Isto ocorre pela falta de planejamento, controle do uso do solo, ocupação de áreas de risco e sistemas de drenagem ineficientes.</w:t>
      </w:r>
    </w:p>
    <w:p w:rsidR="00E32574" w:rsidRPr="009A1FE7" w:rsidRDefault="00E32574" w:rsidP="00A84DE6">
      <w:pPr>
        <w:spacing w:after="0" w:line="360" w:lineRule="auto"/>
        <w:ind w:firstLine="709"/>
        <w:jc w:val="both"/>
        <w:rPr>
          <w:lang w:eastAsia="pt-BR"/>
        </w:rPr>
      </w:pPr>
      <w:r w:rsidRPr="009A1FE7">
        <w:rPr>
          <w:lang w:eastAsia="pt-BR"/>
        </w:rPr>
        <w:t>Com relação à drenagem urbana, pode-se dizer que existem duas condutas que tendem a agravar ainda mais a situação:</w:t>
      </w:r>
    </w:p>
    <w:p w:rsidR="00E32574" w:rsidRPr="00C92BF5" w:rsidRDefault="00E32574" w:rsidP="00A84DE6">
      <w:pPr>
        <w:spacing w:after="0" w:line="360" w:lineRule="auto"/>
        <w:ind w:left="567" w:hanging="283"/>
        <w:jc w:val="both"/>
        <w:rPr>
          <w:rFonts w:cs="Times New Roman"/>
          <w:szCs w:val="24"/>
        </w:rPr>
      </w:pPr>
      <w:r w:rsidRPr="00C92BF5">
        <w:rPr>
          <w:rFonts w:cs="Times New Roman"/>
          <w:szCs w:val="24"/>
        </w:rPr>
        <w:t>- Os projetos de drenagem urbana têm como filosofia escoar a água precipitada o mais rapidamente possível para jusante. Este critério aumenta em várias ordens de magnitude a vazão máxima, a frequência e o nível de inundação de jusante;</w:t>
      </w:r>
    </w:p>
    <w:p w:rsidR="00E32574" w:rsidRPr="00C92BF5" w:rsidRDefault="00E32574" w:rsidP="00A84DE6">
      <w:pPr>
        <w:spacing w:after="0" w:line="360" w:lineRule="auto"/>
        <w:ind w:left="567" w:hanging="283"/>
        <w:jc w:val="both"/>
        <w:rPr>
          <w:rFonts w:cs="Times New Roman"/>
          <w:szCs w:val="24"/>
        </w:rPr>
      </w:pPr>
      <w:r w:rsidRPr="00C92BF5">
        <w:rPr>
          <w:rFonts w:cs="Times New Roman"/>
          <w:szCs w:val="24"/>
        </w:rPr>
        <w:t>- As áreas ribeirinhas, que o rio utiliza durante os períodos chuvosos como zona de passagem da inundação, têm sido ocupadas pela população com construções e aterros, reduzindo a capacidade de escoamento. A ocupação destas áreas de risco resulta em prejuízos evidentes quando o rio inunda seu leito maior.</w:t>
      </w:r>
    </w:p>
    <w:p w:rsidR="00E32574" w:rsidRPr="009A1FE7" w:rsidRDefault="00E32574" w:rsidP="00A84DE6">
      <w:pPr>
        <w:spacing w:after="0" w:line="360" w:lineRule="auto"/>
        <w:ind w:firstLine="709"/>
        <w:jc w:val="both"/>
        <w:rPr>
          <w:lang w:eastAsia="pt-BR"/>
        </w:rPr>
      </w:pPr>
      <w:r w:rsidRPr="009A1FE7">
        <w:rPr>
          <w:lang w:eastAsia="pt-BR"/>
        </w:rPr>
        <w:t xml:space="preserve">O sistema tradicional de drenagem urbana deve ser considerado como composto por dois sistemas distintos que devem ser planejados e projetados sob critérios diferenciados: </w:t>
      </w:r>
    </w:p>
    <w:p w:rsidR="00A84DE6" w:rsidRDefault="00E32574" w:rsidP="00A84DE6">
      <w:pPr>
        <w:spacing w:after="0" w:line="360" w:lineRule="auto"/>
        <w:ind w:left="567" w:hanging="283"/>
        <w:jc w:val="both"/>
        <w:rPr>
          <w:rFonts w:cs="Times New Roman"/>
          <w:szCs w:val="24"/>
        </w:rPr>
      </w:pPr>
      <w:r w:rsidRPr="00C92BF5">
        <w:rPr>
          <w:rFonts w:cs="Times New Roman"/>
          <w:szCs w:val="24"/>
        </w:rPr>
        <w:t>- O Sistema inicial de Drenagem, ou Microdrenagem, composto pelos pavimentos das ruas, guias e sarjetas, bocas de lobo, rede de galerias de águas pluviais e, também, canais de pequenas dimensões, dimensionado para o escoamento de vazões de 2 a 10 anos de período de retorno;</w:t>
      </w:r>
    </w:p>
    <w:p w:rsidR="00E32574" w:rsidRPr="00C92BF5" w:rsidRDefault="00A84DE6" w:rsidP="00A84DE6">
      <w:pPr>
        <w:spacing w:after="0" w:line="360" w:lineRule="auto"/>
        <w:ind w:left="567" w:hanging="283"/>
        <w:jc w:val="both"/>
        <w:rPr>
          <w:rFonts w:cs="Times New Roman"/>
          <w:szCs w:val="24"/>
        </w:rPr>
      </w:pPr>
      <w:r>
        <w:rPr>
          <w:rFonts w:cs="Times New Roman"/>
          <w:szCs w:val="24"/>
        </w:rPr>
        <w:t>- O</w:t>
      </w:r>
      <w:r w:rsidR="00E32574" w:rsidRPr="00C92BF5">
        <w:rPr>
          <w:rFonts w:cs="Times New Roman"/>
          <w:szCs w:val="24"/>
        </w:rPr>
        <w:t xml:space="preserve"> Sistema de Macrodrenagem, constituído, em geral, por canais (abertos ou de contorno fechado) de maiores dimensões, projetado para vazões de 25 a 100 anos de período de retorno.</w:t>
      </w:r>
    </w:p>
    <w:p w:rsidR="00E32574" w:rsidRPr="00C92BF5" w:rsidRDefault="00E32574" w:rsidP="00A84DE6">
      <w:pPr>
        <w:spacing w:after="0" w:line="360" w:lineRule="auto"/>
        <w:ind w:firstLine="709"/>
        <w:jc w:val="both"/>
        <w:rPr>
          <w:rFonts w:cs="Times New Roman"/>
          <w:szCs w:val="24"/>
        </w:rPr>
      </w:pPr>
      <w:r w:rsidRPr="00C92BF5">
        <w:rPr>
          <w:rFonts w:cs="Times New Roman"/>
          <w:szCs w:val="24"/>
        </w:rPr>
        <w:lastRenderedPageBreak/>
        <w:t>Além desses dois sistemas tradicionais vem sendo difundido o uso de medidas chamadas sustentáveis que buscam o controle do escoamento na fonte, através da infiltração ou detenção no próprio lote ou loteamento do escoamento gerado pelas superf</w:t>
      </w:r>
      <w:r w:rsidR="00A84DE6">
        <w:rPr>
          <w:rFonts w:cs="Times New Roman"/>
          <w:szCs w:val="24"/>
        </w:rPr>
        <w:t>í</w:t>
      </w:r>
      <w:r w:rsidRPr="00C92BF5">
        <w:rPr>
          <w:rFonts w:cs="Times New Roman"/>
          <w:szCs w:val="24"/>
        </w:rPr>
        <w:t xml:space="preserve">cies impermeabilizadas, mantendo, assim, as condições naturais pré-existentes de vazão para um determinado risco definido </w:t>
      </w:r>
      <w:r w:rsidRPr="00A84DE6">
        <w:rPr>
          <w:rFonts w:cs="Times New Roman"/>
          <w:szCs w:val="24"/>
        </w:rPr>
        <w:t xml:space="preserve">(ABRH, 1995; </w:t>
      </w:r>
      <w:r w:rsidR="00843498" w:rsidRPr="00A84DE6">
        <w:rPr>
          <w:rFonts w:cs="Times New Roman"/>
          <w:szCs w:val="24"/>
        </w:rPr>
        <w:t>TUCCI</w:t>
      </w:r>
      <w:r w:rsidRPr="00A84DE6">
        <w:rPr>
          <w:rFonts w:cs="Times New Roman"/>
          <w:szCs w:val="24"/>
        </w:rPr>
        <w:t xml:space="preserve">, 1995; </w:t>
      </w:r>
      <w:r w:rsidR="00843498" w:rsidRPr="00A84DE6">
        <w:rPr>
          <w:rFonts w:cs="Times New Roman"/>
          <w:szCs w:val="24"/>
        </w:rPr>
        <w:t>PORTO &amp; BARROS</w:t>
      </w:r>
      <w:r w:rsidRPr="00A84DE6">
        <w:rPr>
          <w:rFonts w:cs="Times New Roman"/>
          <w:szCs w:val="24"/>
        </w:rPr>
        <w:t>, 1995).</w:t>
      </w:r>
    </w:p>
    <w:p w:rsidR="00E32574" w:rsidRPr="00C92BF5" w:rsidRDefault="00A84DE6" w:rsidP="00A84DE6">
      <w:pPr>
        <w:spacing w:after="0" w:line="360" w:lineRule="auto"/>
        <w:ind w:firstLine="709"/>
        <w:jc w:val="both"/>
        <w:rPr>
          <w:rFonts w:cs="Times New Roman"/>
          <w:szCs w:val="24"/>
        </w:rPr>
      </w:pPr>
      <w:r>
        <w:rPr>
          <w:rFonts w:cs="Times New Roman"/>
          <w:szCs w:val="24"/>
        </w:rPr>
        <w:t>N</w:t>
      </w:r>
      <w:r w:rsidR="00E32574" w:rsidRPr="00C92BF5">
        <w:rPr>
          <w:rFonts w:cs="Times New Roman"/>
          <w:szCs w:val="24"/>
        </w:rPr>
        <w:t xml:space="preserve">a fase do diagnóstico que trata </w:t>
      </w:r>
      <w:r>
        <w:rPr>
          <w:rFonts w:cs="Times New Roman"/>
          <w:szCs w:val="24"/>
        </w:rPr>
        <w:t xml:space="preserve">sobre </w:t>
      </w:r>
      <w:r w:rsidR="00E32574" w:rsidRPr="00C92BF5">
        <w:rPr>
          <w:rFonts w:cs="Times New Roman"/>
          <w:szCs w:val="24"/>
        </w:rPr>
        <w:t xml:space="preserve">a Drenagem e Manejo de Águas Pluviais, iremos analisar o sistema de drenagem natural, macrodrenagem e microdrenagem. </w:t>
      </w:r>
    </w:p>
    <w:p w:rsidR="00E32574" w:rsidRDefault="00E32574" w:rsidP="00A84DE6">
      <w:pPr>
        <w:spacing w:after="0" w:line="360" w:lineRule="auto"/>
        <w:ind w:firstLine="709"/>
        <w:jc w:val="both"/>
        <w:rPr>
          <w:rFonts w:cs="Times New Roman"/>
          <w:szCs w:val="24"/>
        </w:rPr>
      </w:pPr>
      <w:r w:rsidRPr="00C92BF5">
        <w:rPr>
          <w:rFonts w:cs="Times New Roman"/>
          <w:szCs w:val="24"/>
        </w:rPr>
        <w:t>Apontando as deficiências e potencialidades existentes atreladas á macro e microdrenagem, além da elaboração de cartas temáticas com base em dados secundários e na cartografia disponível para a região, destacando os seguintes temas: hidrografia, topografia, características de solos, uso atual das terras, índices de impermeabilização, cobertura vegetal e fluviométricas.</w:t>
      </w:r>
    </w:p>
    <w:p w:rsidR="00E32574" w:rsidRPr="00C92BF5" w:rsidRDefault="00A84DE6" w:rsidP="00971B37">
      <w:pPr>
        <w:pStyle w:val="Titulo"/>
      </w:pPr>
      <w:bookmarkStart w:id="671" w:name="_Toc372559191"/>
      <w:bookmarkStart w:id="672" w:name="_Toc372789622"/>
      <w:r>
        <w:t xml:space="preserve">14.2 </w:t>
      </w:r>
      <w:r w:rsidRPr="00E526B0">
        <w:t>Permeabilidade</w:t>
      </w:r>
      <w:r w:rsidRPr="00C92BF5">
        <w:t xml:space="preserve"> </w:t>
      </w:r>
      <w:r>
        <w:t>d</w:t>
      </w:r>
      <w:r w:rsidRPr="00C92BF5">
        <w:t>os Solos</w:t>
      </w:r>
      <w:bookmarkEnd w:id="671"/>
      <w:bookmarkEnd w:id="672"/>
    </w:p>
    <w:p w:rsidR="00E32574" w:rsidRPr="00C92BF5" w:rsidRDefault="00E32574" w:rsidP="00B064E0">
      <w:pPr>
        <w:spacing w:after="0" w:line="360" w:lineRule="auto"/>
        <w:ind w:firstLine="708"/>
        <w:jc w:val="both"/>
        <w:rPr>
          <w:rFonts w:cs="Times New Roman"/>
          <w:bCs/>
          <w:szCs w:val="24"/>
        </w:rPr>
      </w:pPr>
      <w:r w:rsidRPr="00C92BF5">
        <w:rPr>
          <w:rFonts w:cs="Times New Roman"/>
          <w:bCs/>
          <w:szCs w:val="24"/>
        </w:rPr>
        <w:t>O solo é constituído por uma fase sólida, uma líquida e outra gasosa. A sólida é formada pelos constituintes sólidos do solo e é relativamente estática. As fases líquida e gasosa, são extremamente dinâmicas e inversamente proporcionais, isto é, a medida que aumenta o conteúdo de umidade, diminui o de gases do solo e vice - versa. Os percentuais equivalentes às fases gasosa e líquida, dependem da porosidade total do solo. Desse modo, conhecendo-se a porosidade, é possível se ter uma estimativa das condições de aeração e umidade do solo.</w:t>
      </w:r>
    </w:p>
    <w:p w:rsidR="00E32574" w:rsidRPr="00C92BF5" w:rsidRDefault="00E32574" w:rsidP="00B064E0">
      <w:pPr>
        <w:spacing w:after="0" w:line="360" w:lineRule="auto"/>
        <w:ind w:firstLine="708"/>
        <w:jc w:val="both"/>
        <w:rPr>
          <w:rFonts w:cs="Times New Roman"/>
          <w:bCs/>
          <w:szCs w:val="24"/>
        </w:rPr>
      </w:pPr>
      <w:r w:rsidRPr="00C92BF5">
        <w:rPr>
          <w:rFonts w:cs="Times New Roman"/>
          <w:bCs/>
          <w:szCs w:val="24"/>
        </w:rPr>
        <w:t xml:space="preserve">A propriedade física do solo de maior importância em estudos de drenagem é a sua permeabilidade, que é definida como sendo a maior ou menor facilidade com que o solo se deixa atravessar pela água e pelos gases. Quantitativamente, a permeabilidade do solo é determinada sob dois aspectos: em termos de </w:t>
      </w:r>
      <w:r w:rsidRPr="00C92BF5">
        <w:rPr>
          <w:rFonts w:cs="Times New Roman"/>
          <w:b/>
          <w:bCs/>
          <w:szCs w:val="24"/>
        </w:rPr>
        <w:t>velocidade de infiltração</w:t>
      </w:r>
      <w:r w:rsidRPr="00C92BF5">
        <w:rPr>
          <w:rFonts w:cs="Times New Roman"/>
          <w:bCs/>
          <w:szCs w:val="24"/>
        </w:rPr>
        <w:t xml:space="preserve">, onde se considera a passagem da água da superfície para o seu interior no sentido vertical, em um meio não saturado, que nada mais é que a zona de aeração do solo; e em termos de </w:t>
      </w:r>
      <w:r w:rsidRPr="00C92BF5">
        <w:rPr>
          <w:rFonts w:cs="Times New Roman"/>
          <w:b/>
          <w:bCs/>
          <w:szCs w:val="24"/>
        </w:rPr>
        <w:t>condutividade hidráulica</w:t>
      </w:r>
      <w:r w:rsidRPr="00C92BF5">
        <w:rPr>
          <w:rFonts w:cs="Times New Roman"/>
          <w:bCs/>
          <w:szCs w:val="24"/>
        </w:rPr>
        <w:t xml:space="preserve">, onde se considera o movimento da água no interior do solo em todos os sentidos e direções, ou seja, no espaço tridimensional, em meio saturado, que é a zona de saturação do solo. </w:t>
      </w:r>
    </w:p>
    <w:p w:rsidR="00E32574" w:rsidRPr="00C92BF5" w:rsidRDefault="00E32574" w:rsidP="00B064E0">
      <w:pPr>
        <w:spacing w:after="0" w:line="360" w:lineRule="auto"/>
        <w:ind w:firstLine="708"/>
        <w:jc w:val="both"/>
        <w:rPr>
          <w:rFonts w:cs="Times New Roman"/>
          <w:bCs/>
          <w:szCs w:val="24"/>
        </w:rPr>
      </w:pPr>
      <w:r w:rsidRPr="00C92BF5">
        <w:rPr>
          <w:rFonts w:cs="Times New Roman"/>
          <w:bCs/>
          <w:szCs w:val="24"/>
        </w:rPr>
        <w:lastRenderedPageBreak/>
        <w:t>A quantificação da condutividade hidráulica pode ser feita por uma série de métodos, tanto de campo como de laboratório. Dentre esses métodos, os principais são os seguintes:</w:t>
      </w:r>
    </w:p>
    <w:p w:rsidR="00E32574" w:rsidRPr="006C26A1" w:rsidRDefault="00B064E0" w:rsidP="0053477A">
      <w:pPr>
        <w:pStyle w:val="PargrafodaLista"/>
        <w:numPr>
          <w:ilvl w:val="0"/>
          <w:numId w:val="46"/>
        </w:numPr>
        <w:spacing w:after="0" w:line="360" w:lineRule="auto"/>
        <w:ind w:left="567" w:hanging="283"/>
        <w:jc w:val="both"/>
        <w:rPr>
          <w:rFonts w:cs="Times New Roman"/>
          <w:bCs/>
          <w:szCs w:val="24"/>
        </w:rPr>
      </w:pPr>
      <w:r>
        <w:rPr>
          <w:rFonts w:cs="Times New Roman"/>
          <w:bCs/>
          <w:szCs w:val="24"/>
        </w:rPr>
        <w:t>E</w:t>
      </w:r>
      <w:r w:rsidR="00E32574" w:rsidRPr="006C26A1">
        <w:rPr>
          <w:rFonts w:cs="Times New Roman"/>
          <w:bCs/>
          <w:szCs w:val="24"/>
        </w:rPr>
        <w:t>stimativa pela composição granulométrica do solo;</w:t>
      </w:r>
    </w:p>
    <w:p w:rsidR="00E32574" w:rsidRPr="006C26A1" w:rsidRDefault="00B064E0" w:rsidP="0053477A">
      <w:pPr>
        <w:pStyle w:val="PargrafodaLista"/>
        <w:numPr>
          <w:ilvl w:val="0"/>
          <w:numId w:val="46"/>
        </w:numPr>
        <w:spacing w:after="0" w:line="360" w:lineRule="auto"/>
        <w:ind w:left="567" w:hanging="283"/>
        <w:jc w:val="both"/>
        <w:rPr>
          <w:rFonts w:cs="Times New Roman"/>
          <w:bCs/>
          <w:szCs w:val="24"/>
        </w:rPr>
      </w:pPr>
      <w:r>
        <w:rPr>
          <w:rFonts w:cs="Times New Roman"/>
          <w:bCs/>
          <w:szCs w:val="24"/>
        </w:rPr>
        <w:t>E</w:t>
      </w:r>
      <w:r w:rsidR="00E32574" w:rsidRPr="006C26A1">
        <w:rPr>
          <w:rFonts w:cs="Times New Roman"/>
          <w:bCs/>
          <w:szCs w:val="24"/>
        </w:rPr>
        <w:t>stimativa pela distribuição do tamanho de poros do solo;</w:t>
      </w:r>
    </w:p>
    <w:p w:rsidR="00E32574" w:rsidRPr="006C26A1" w:rsidRDefault="00B064E0" w:rsidP="0053477A">
      <w:pPr>
        <w:pStyle w:val="PargrafodaLista"/>
        <w:numPr>
          <w:ilvl w:val="0"/>
          <w:numId w:val="46"/>
        </w:numPr>
        <w:spacing w:after="0" w:line="360" w:lineRule="auto"/>
        <w:ind w:left="567" w:hanging="283"/>
        <w:jc w:val="both"/>
        <w:rPr>
          <w:rFonts w:cs="Times New Roman"/>
          <w:bCs/>
          <w:szCs w:val="24"/>
        </w:rPr>
      </w:pPr>
      <w:r>
        <w:rPr>
          <w:rFonts w:cs="Times New Roman"/>
          <w:bCs/>
          <w:szCs w:val="24"/>
        </w:rPr>
        <w:t>U</w:t>
      </w:r>
      <w:r w:rsidR="00E32574" w:rsidRPr="006C26A1">
        <w:rPr>
          <w:rFonts w:cs="Times New Roman"/>
          <w:bCs/>
          <w:szCs w:val="24"/>
        </w:rPr>
        <w:t>tilização de permeâmetro de carga constante;</w:t>
      </w:r>
    </w:p>
    <w:p w:rsidR="00E32574" w:rsidRDefault="00B064E0" w:rsidP="0053477A">
      <w:pPr>
        <w:pStyle w:val="PargrafodaLista"/>
        <w:numPr>
          <w:ilvl w:val="0"/>
          <w:numId w:val="46"/>
        </w:numPr>
        <w:spacing w:after="0" w:line="360" w:lineRule="auto"/>
        <w:ind w:left="567" w:hanging="283"/>
        <w:rPr>
          <w:rFonts w:cs="Times New Roman"/>
          <w:bCs/>
          <w:szCs w:val="24"/>
        </w:rPr>
      </w:pPr>
      <w:r>
        <w:rPr>
          <w:rFonts w:cs="Times New Roman"/>
          <w:bCs/>
          <w:szCs w:val="24"/>
        </w:rPr>
        <w:t>M</w:t>
      </w:r>
      <w:r w:rsidR="00E32574" w:rsidRPr="006C26A1">
        <w:rPr>
          <w:rFonts w:cs="Times New Roman"/>
          <w:bCs/>
          <w:szCs w:val="24"/>
        </w:rPr>
        <w:t>étodo do piezômetro dentre outros.</w:t>
      </w:r>
    </w:p>
    <w:p w:rsidR="00E32574" w:rsidRPr="00C92BF5" w:rsidRDefault="00E526B0" w:rsidP="005B71E7">
      <w:pPr>
        <w:pStyle w:val="Titulo"/>
        <w:ind w:left="567" w:hanging="567"/>
      </w:pPr>
      <w:bookmarkStart w:id="673" w:name="_Toc372559192"/>
      <w:bookmarkStart w:id="674" w:name="_Toc372789623"/>
      <w:r>
        <w:t>14.3</w:t>
      </w:r>
      <w:r w:rsidR="00B064E0">
        <w:t xml:space="preserve"> </w:t>
      </w:r>
      <w:r w:rsidR="00E32574" w:rsidRPr="00C92BF5">
        <w:t>Coeficientes de Escoamento Superficiais – Dados Bibliográficos para Tempo de Retorno de 25 Anos</w:t>
      </w:r>
      <w:bookmarkEnd w:id="673"/>
      <w:bookmarkEnd w:id="674"/>
    </w:p>
    <w:p w:rsidR="00E32574" w:rsidRPr="00C92BF5" w:rsidRDefault="00E32574" w:rsidP="00B064E0">
      <w:pPr>
        <w:spacing w:after="0" w:line="360" w:lineRule="auto"/>
        <w:ind w:firstLine="708"/>
        <w:jc w:val="both"/>
        <w:rPr>
          <w:rFonts w:cs="Times New Roman"/>
          <w:bCs/>
          <w:szCs w:val="24"/>
        </w:rPr>
      </w:pPr>
      <w:r w:rsidRPr="00C92BF5">
        <w:rPr>
          <w:rFonts w:cs="Times New Roman"/>
          <w:bCs/>
          <w:szCs w:val="24"/>
        </w:rPr>
        <w:t xml:space="preserve">O escoamento superficial tem origem, fundamentalmente, nas precipitações. Ao chegar ao solo, parte da água se infiltra, parte é retirada pelas depressões do terreno e parte se escoa pela superfície. Inicialmente a água se infiltra; tão logo a intensidade da chuva exceda a capacidade de infiltração do terreno, a água é coletada pelas pequenas depressões. Quando o nível à montante se eleva e superpõe o obstáculo (ou o destrói), o fluxo se inicia, seguindo as linhas de maior declive, formando sucessivamente as enxurradas, córregos, ribeirões, rios e reservatórios de acumulação </w:t>
      </w:r>
      <w:r w:rsidRPr="00B064E0">
        <w:rPr>
          <w:rFonts w:cs="Times New Roman"/>
          <w:bCs/>
          <w:szCs w:val="24"/>
        </w:rPr>
        <w:t>(SILVEIRA, 2000).</w:t>
      </w:r>
    </w:p>
    <w:p w:rsidR="00E32574" w:rsidRDefault="00E32574" w:rsidP="00B064E0">
      <w:pPr>
        <w:spacing w:after="0" w:line="360" w:lineRule="auto"/>
        <w:jc w:val="both"/>
        <w:rPr>
          <w:rFonts w:cs="Times New Roman"/>
          <w:bCs/>
          <w:szCs w:val="24"/>
        </w:rPr>
      </w:pPr>
      <w:r w:rsidRPr="00C92BF5">
        <w:rPr>
          <w:rFonts w:cs="Times New Roman"/>
          <w:bCs/>
          <w:szCs w:val="24"/>
        </w:rPr>
        <w:t>É, possivelmente, das fases básicas do ciclo hidrológico, a de maior importância para o engenheiro, pois a maioria dos estudos hidrológicos está ligada ao aproveitamento da água superficial e à proteção contra os efeitos causados pelo seu deslocamento.</w:t>
      </w:r>
    </w:p>
    <w:p w:rsidR="00E32574" w:rsidRPr="00A369F0" w:rsidRDefault="00A369F0" w:rsidP="00971B37">
      <w:pPr>
        <w:pStyle w:val="Titulo"/>
      </w:pPr>
      <w:bookmarkStart w:id="675" w:name="_Toc372559193"/>
      <w:bookmarkStart w:id="676" w:name="_Toc372789624"/>
      <w:r>
        <w:t>14.4.1 Ciclos d</w:t>
      </w:r>
      <w:r w:rsidR="00B064E0" w:rsidRPr="00A369F0">
        <w:t>o Escoamento</w:t>
      </w:r>
      <w:bookmarkEnd w:id="675"/>
      <w:bookmarkEnd w:id="676"/>
    </w:p>
    <w:p w:rsidR="00E32574" w:rsidRPr="00C92BF5" w:rsidRDefault="00E32574" w:rsidP="00B064E0">
      <w:pPr>
        <w:spacing w:after="0" w:line="360" w:lineRule="auto"/>
        <w:ind w:firstLine="709"/>
        <w:jc w:val="both"/>
        <w:rPr>
          <w:rFonts w:cs="Times New Roman"/>
          <w:bCs/>
          <w:szCs w:val="24"/>
        </w:rPr>
      </w:pPr>
      <w:r w:rsidRPr="00C92BF5">
        <w:rPr>
          <w:rFonts w:cs="Times New Roman"/>
          <w:bCs/>
          <w:szCs w:val="24"/>
        </w:rPr>
        <w:t>O ciclo do escoamento pode ser descrito em três fases: na primeira fase o solo está seco e as reservas de água estão baixas; na fase seguinte, iniciada a precipitação, ocorrem interceptação, infiltração e escoamento superficial; na última fase o sistema volta a seu estado normal, após a precipitação. Fatores como tipo de vegetação, tipo de solo, condições topográficas, ocupação e uso do solo, são fatores que determinam a relação entre vazão e precipitação. A seguir, são descritas as fases do ciclo do escoamento superficial em uma região úmida.</w:t>
      </w:r>
    </w:p>
    <w:p w:rsidR="00E32574" w:rsidRDefault="003702F8" w:rsidP="003702F8">
      <w:pPr>
        <w:spacing w:after="0" w:line="360" w:lineRule="auto"/>
        <w:ind w:firstLine="709"/>
        <w:rPr>
          <w:rFonts w:cs="Times New Roman"/>
          <w:szCs w:val="24"/>
        </w:rPr>
      </w:pPr>
      <w:r>
        <w:rPr>
          <w:rFonts w:cs="Times New Roman"/>
          <w:b/>
          <w:szCs w:val="24"/>
        </w:rPr>
        <w:t xml:space="preserve">Primeira </w:t>
      </w:r>
      <w:r w:rsidR="00E32574" w:rsidRPr="00E526B0">
        <w:rPr>
          <w:rFonts w:cs="Times New Roman"/>
          <w:b/>
          <w:szCs w:val="24"/>
        </w:rPr>
        <w:t>Fase:</w:t>
      </w:r>
      <w:r>
        <w:rPr>
          <w:rFonts w:cs="Times New Roman"/>
          <w:b/>
          <w:szCs w:val="24"/>
        </w:rPr>
        <w:t xml:space="preserve"> </w:t>
      </w:r>
      <w:r w:rsidR="00E32574" w:rsidRPr="00C92BF5">
        <w:rPr>
          <w:rFonts w:cs="Times New Roman"/>
          <w:szCs w:val="24"/>
        </w:rPr>
        <w:t xml:space="preserve">Após um período de estiagem, a vegetação e o solo estão com pouca umidade. Os cursos d’água existentes estão sendo alimentados pelo lençol d’água </w:t>
      </w:r>
      <w:r w:rsidR="00E32574" w:rsidRPr="00C92BF5">
        <w:rPr>
          <w:rFonts w:cs="Times New Roman"/>
          <w:szCs w:val="24"/>
        </w:rPr>
        <w:lastRenderedPageBreak/>
        <w:t>subterrâneo que mantém a vazão de base dos cursos d'água. Quando uma nova precipitação se inicia, boa parte da água é interceptada pela vegetação, e a chuva que chega ao chão é infiltrada no solo. Exceto pela parcela de chuva que cai diretamente sobre o curso d'água, não existe nenhuma contribuição para o escoamento nesta fase. Parte da água retida pela vegetação é evaporada (</w:t>
      </w:r>
      <w:r w:rsidR="00B064E0">
        <w:rPr>
          <w:rFonts w:cs="Times New Roman"/>
          <w:szCs w:val="24"/>
        </w:rPr>
        <w:t>Figura 181</w:t>
      </w:r>
      <w:r w:rsidR="00E32574" w:rsidRPr="00C92BF5">
        <w:rPr>
          <w:rFonts w:cs="Times New Roman"/>
          <w:szCs w:val="24"/>
        </w:rPr>
        <w:t>) (UFBA, 2012).</w:t>
      </w:r>
    </w:p>
    <w:p w:rsidR="00B064E0" w:rsidRPr="00C92BF5" w:rsidRDefault="00291A25" w:rsidP="00291A25">
      <w:pPr>
        <w:pStyle w:val="Legenda"/>
      </w:pPr>
      <w:bookmarkStart w:id="677" w:name="_Toc372740264"/>
      <w:r>
        <w:t xml:space="preserve">Figura </w:t>
      </w:r>
      <w:fldSimple w:instr=" SEQ Figura \* ARABIC ">
        <w:r w:rsidR="004F77E2">
          <w:rPr>
            <w:noProof/>
          </w:rPr>
          <w:t>181</w:t>
        </w:r>
      </w:fldSimple>
      <w:r>
        <w:t xml:space="preserve"> - </w:t>
      </w:r>
      <w:r w:rsidRPr="000A1A2D">
        <w:rPr>
          <w:noProof/>
        </w:rPr>
        <w:t>Primeira Fase do ciclo do escoamento.</w:t>
      </w:r>
      <w:bookmarkEnd w:id="677"/>
    </w:p>
    <w:p w:rsidR="00E32574" w:rsidRPr="003E1CEC" w:rsidRDefault="00E32574" w:rsidP="003E1CEC">
      <w:pPr>
        <w:pStyle w:val="TituloFiguras"/>
      </w:pPr>
      <w:r w:rsidRPr="000B3308">
        <w:rPr>
          <w:rFonts w:eastAsiaTheme="minorHAnsi" w:cstheme="minorBidi"/>
          <w:bCs w:val="0"/>
          <w:noProof/>
          <w:szCs w:val="22"/>
        </w:rPr>
        <w:drawing>
          <wp:inline distT="0" distB="0" distL="0" distR="0">
            <wp:extent cx="5300218" cy="3240000"/>
            <wp:effectExtent l="0" t="0" r="0" b="0"/>
            <wp:docPr id="220" name="Imagem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5300218" cy="3240000"/>
                    </a:xfrm>
                    <a:prstGeom prst="rect">
                      <a:avLst/>
                    </a:prstGeom>
                    <a:noFill/>
                    <a:ln>
                      <a:noFill/>
                    </a:ln>
                  </pic:spPr>
                </pic:pic>
              </a:graphicData>
            </a:graphic>
          </wp:inline>
        </w:drawing>
      </w:r>
      <w:r w:rsidRPr="003E1CEC">
        <w:t xml:space="preserve">             </w:t>
      </w:r>
    </w:p>
    <w:p w:rsidR="006C26A1" w:rsidRDefault="00B064E0" w:rsidP="00E32574">
      <w:pPr>
        <w:autoSpaceDE w:val="0"/>
        <w:autoSpaceDN w:val="0"/>
        <w:adjustRightInd w:val="0"/>
        <w:spacing w:after="0" w:line="240" w:lineRule="auto"/>
        <w:rPr>
          <w:rFonts w:cs="Times New Roman"/>
          <w:bCs/>
          <w:sz w:val="20"/>
          <w:szCs w:val="20"/>
        </w:rPr>
      </w:pPr>
      <w:r w:rsidRPr="00B064E0">
        <w:rPr>
          <w:rFonts w:cs="Times New Roman"/>
          <w:bCs/>
          <w:sz w:val="20"/>
          <w:szCs w:val="20"/>
        </w:rPr>
        <w:t>Fonte: UFBA (2012)</w:t>
      </w:r>
    </w:p>
    <w:p w:rsidR="00E526B0" w:rsidRPr="00B064E0" w:rsidRDefault="00E526B0" w:rsidP="00E32574">
      <w:pPr>
        <w:autoSpaceDE w:val="0"/>
        <w:autoSpaceDN w:val="0"/>
        <w:adjustRightInd w:val="0"/>
        <w:spacing w:after="0" w:line="240" w:lineRule="auto"/>
        <w:rPr>
          <w:rFonts w:cs="Times New Roman"/>
          <w:bCs/>
          <w:sz w:val="20"/>
          <w:szCs w:val="20"/>
        </w:rPr>
      </w:pPr>
    </w:p>
    <w:p w:rsidR="00E32574" w:rsidRPr="00C92BF5" w:rsidRDefault="003702F8" w:rsidP="003702F8">
      <w:pPr>
        <w:spacing w:after="0" w:line="360" w:lineRule="auto"/>
        <w:ind w:firstLine="709"/>
        <w:rPr>
          <w:rFonts w:cs="Times New Roman"/>
          <w:szCs w:val="24"/>
        </w:rPr>
      </w:pPr>
      <w:r>
        <w:rPr>
          <w:rFonts w:cs="Times New Roman"/>
          <w:b/>
          <w:szCs w:val="24"/>
        </w:rPr>
        <w:t xml:space="preserve">Segunda </w:t>
      </w:r>
      <w:r w:rsidR="00E32574" w:rsidRPr="00E526B0">
        <w:rPr>
          <w:rFonts w:cs="Times New Roman"/>
          <w:b/>
          <w:szCs w:val="24"/>
        </w:rPr>
        <w:t>Fase:</w:t>
      </w:r>
      <w:r>
        <w:rPr>
          <w:rFonts w:cs="Times New Roman"/>
          <w:b/>
          <w:szCs w:val="24"/>
        </w:rPr>
        <w:t xml:space="preserve"> </w:t>
      </w:r>
      <w:r w:rsidR="00E32574" w:rsidRPr="00C92BF5">
        <w:rPr>
          <w:rFonts w:cs="Times New Roman"/>
          <w:szCs w:val="24"/>
        </w:rPr>
        <w:t>Com a continuidade da precipitação, a capacidade de retenção da vegetação é esgotada, e a água cai sobre o solo. Se a precipitação persistir, a capacidade de infiltração do solo pode ser excedida, e a água começa a se acumular em depressões rasas, que em seguida se unem formando um filme de água sobre o solo, começando, então, a mover-se como escoamento superficial, na direção de um curso d'água. A água infiltrada no solo começa a percolar na direção dos aquíferos subterrâneos. Finalmente, se a chuva continuar, o escoamento superficial ocorrerá de forma contínua, na direção de um rio.</w:t>
      </w:r>
    </w:p>
    <w:p w:rsidR="00E32574" w:rsidRPr="00C92BF5" w:rsidRDefault="00E32574" w:rsidP="00B064E0">
      <w:pPr>
        <w:autoSpaceDE w:val="0"/>
        <w:autoSpaceDN w:val="0"/>
        <w:adjustRightInd w:val="0"/>
        <w:spacing w:after="0" w:line="360" w:lineRule="auto"/>
        <w:ind w:firstLine="709"/>
        <w:jc w:val="both"/>
        <w:rPr>
          <w:rFonts w:cs="Times New Roman"/>
          <w:szCs w:val="24"/>
        </w:rPr>
      </w:pPr>
      <w:r w:rsidRPr="00C92BF5">
        <w:rPr>
          <w:rFonts w:cs="Times New Roman"/>
          <w:szCs w:val="24"/>
        </w:rPr>
        <w:t>O nível do lençol freático poderá subir, fornecendo uma contribuição extra de água subterrânea ao escoamento.</w:t>
      </w:r>
    </w:p>
    <w:p w:rsidR="00E32574" w:rsidRPr="00C92BF5" w:rsidRDefault="00E32574" w:rsidP="00B064E0">
      <w:pPr>
        <w:autoSpaceDE w:val="0"/>
        <w:autoSpaceDN w:val="0"/>
        <w:adjustRightInd w:val="0"/>
        <w:spacing w:after="0" w:line="360" w:lineRule="auto"/>
        <w:ind w:firstLine="709"/>
        <w:jc w:val="both"/>
        <w:rPr>
          <w:rFonts w:cs="Times New Roman"/>
          <w:szCs w:val="24"/>
        </w:rPr>
      </w:pPr>
      <w:r w:rsidRPr="00C92BF5">
        <w:rPr>
          <w:rFonts w:cs="Times New Roman"/>
          <w:szCs w:val="24"/>
        </w:rPr>
        <w:lastRenderedPageBreak/>
        <w:t>Na maioria dos casos, a contribuição das águas subterrâneas para o escoamento superficial, devido à recarga pela chuva, ocorre quando a precipitação já cessou, devido à baixa velocidade do escoamento subterrâneo</w:t>
      </w:r>
      <w:r w:rsidR="008E5D92">
        <w:rPr>
          <w:rFonts w:cs="Times New Roman"/>
          <w:szCs w:val="24"/>
        </w:rPr>
        <w:t xml:space="preserve"> (Figura 182) </w:t>
      </w:r>
      <w:r w:rsidRPr="00C92BF5">
        <w:rPr>
          <w:rFonts w:cs="Times New Roman"/>
          <w:szCs w:val="24"/>
        </w:rPr>
        <w:t>(UFBA, 2012).</w:t>
      </w:r>
    </w:p>
    <w:p w:rsidR="00E32574" w:rsidRPr="00C92BF5" w:rsidRDefault="00291A25" w:rsidP="00291A25">
      <w:pPr>
        <w:pStyle w:val="Legenda"/>
      </w:pPr>
      <w:bookmarkStart w:id="678" w:name="_Toc372740265"/>
      <w:r>
        <w:t xml:space="preserve">Figura </w:t>
      </w:r>
      <w:fldSimple w:instr=" SEQ Figura \* ARABIC ">
        <w:r w:rsidR="004F77E2">
          <w:rPr>
            <w:noProof/>
          </w:rPr>
          <w:t>182</w:t>
        </w:r>
      </w:fldSimple>
      <w:r>
        <w:t xml:space="preserve"> - </w:t>
      </w:r>
      <w:r w:rsidRPr="00B27F74">
        <w:rPr>
          <w:noProof/>
        </w:rPr>
        <w:t xml:space="preserve"> Seg</w:t>
      </w:r>
      <w:r>
        <w:rPr>
          <w:noProof/>
        </w:rPr>
        <w:t>u</w:t>
      </w:r>
      <w:r w:rsidRPr="00B27F74">
        <w:rPr>
          <w:noProof/>
        </w:rPr>
        <w:t>nda Fase do ciclo do escoamento</w:t>
      </w:r>
      <w:r w:rsidR="00B064E0">
        <w:rPr>
          <w:b w:val="0"/>
        </w:rPr>
        <w:t>.</w:t>
      </w:r>
      <w:bookmarkEnd w:id="678"/>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5304476" cy="3240000"/>
            <wp:effectExtent l="0" t="0" r="0" b="0"/>
            <wp:docPr id="221" name="Imagem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304476" cy="3240000"/>
                    </a:xfrm>
                    <a:prstGeom prst="rect">
                      <a:avLst/>
                    </a:prstGeom>
                    <a:noFill/>
                    <a:ln>
                      <a:noFill/>
                    </a:ln>
                  </pic:spPr>
                </pic:pic>
              </a:graphicData>
            </a:graphic>
          </wp:inline>
        </w:drawing>
      </w:r>
    </w:p>
    <w:p w:rsidR="00B064E0" w:rsidRDefault="00B064E0" w:rsidP="00B064E0">
      <w:pPr>
        <w:autoSpaceDE w:val="0"/>
        <w:autoSpaceDN w:val="0"/>
        <w:adjustRightInd w:val="0"/>
        <w:spacing w:after="0" w:line="240" w:lineRule="auto"/>
        <w:rPr>
          <w:rFonts w:cs="Times New Roman"/>
          <w:bCs/>
          <w:sz w:val="20"/>
          <w:szCs w:val="20"/>
        </w:rPr>
      </w:pPr>
      <w:r w:rsidRPr="00B064E0">
        <w:rPr>
          <w:rFonts w:cs="Times New Roman"/>
          <w:bCs/>
          <w:sz w:val="20"/>
          <w:szCs w:val="20"/>
        </w:rPr>
        <w:t>Fonte: UFBA (2012)</w:t>
      </w:r>
    </w:p>
    <w:p w:rsidR="00E526B0" w:rsidRPr="00B064E0" w:rsidRDefault="00E526B0" w:rsidP="00B064E0">
      <w:pPr>
        <w:autoSpaceDE w:val="0"/>
        <w:autoSpaceDN w:val="0"/>
        <w:adjustRightInd w:val="0"/>
        <w:spacing w:after="0" w:line="240" w:lineRule="auto"/>
        <w:rPr>
          <w:rFonts w:cs="Times New Roman"/>
          <w:bCs/>
          <w:sz w:val="20"/>
          <w:szCs w:val="20"/>
        </w:rPr>
      </w:pPr>
    </w:p>
    <w:p w:rsidR="00E32574" w:rsidRPr="00C92BF5" w:rsidRDefault="003702F8" w:rsidP="003702F8">
      <w:pPr>
        <w:spacing w:after="0" w:line="360" w:lineRule="auto"/>
        <w:ind w:firstLine="709"/>
        <w:rPr>
          <w:rFonts w:cs="Times New Roman"/>
          <w:bCs/>
          <w:szCs w:val="24"/>
        </w:rPr>
      </w:pPr>
      <w:r>
        <w:rPr>
          <w:rFonts w:cs="Times New Roman"/>
          <w:b/>
          <w:szCs w:val="24"/>
        </w:rPr>
        <w:t>Terceira</w:t>
      </w:r>
      <w:r w:rsidR="00E32574" w:rsidRPr="00E526B0">
        <w:rPr>
          <w:rFonts w:cs="Times New Roman"/>
          <w:b/>
          <w:szCs w:val="24"/>
        </w:rPr>
        <w:t xml:space="preserve"> fase:</w:t>
      </w:r>
      <w:r>
        <w:rPr>
          <w:rFonts w:cs="Times New Roman"/>
          <w:b/>
          <w:szCs w:val="24"/>
        </w:rPr>
        <w:t xml:space="preserve"> </w:t>
      </w:r>
      <w:r w:rsidR="00E32574" w:rsidRPr="00C92BF5">
        <w:rPr>
          <w:rFonts w:cs="Times New Roman"/>
          <w:bCs/>
          <w:szCs w:val="24"/>
        </w:rPr>
        <w:t>Quando a precipitação para, o escoamento superficial rapidamente cessa, a evaporação e a infiltração continuam a retirar água da vegetação e de poças na superfície do solo. O nível do rio está agora mais alto do que no início da precipitação. A água que se infiltrou nas margens do rio, lentamente é liberada, na medida em que o nível do rio baixa até o nível em que permanece nos períodos secos</w:t>
      </w:r>
      <w:r w:rsidR="008E5D92">
        <w:rPr>
          <w:rFonts w:cs="Times New Roman"/>
          <w:bCs/>
          <w:szCs w:val="24"/>
        </w:rPr>
        <w:t xml:space="preserve"> (Figura 183)</w:t>
      </w:r>
      <w:r w:rsidR="00E32574" w:rsidRPr="00C92BF5">
        <w:rPr>
          <w:rFonts w:cs="Times New Roman"/>
          <w:bCs/>
          <w:szCs w:val="24"/>
        </w:rPr>
        <w:t>.</w:t>
      </w:r>
    </w:p>
    <w:p w:rsidR="00B064E0" w:rsidRDefault="00B064E0">
      <w:pPr>
        <w:spacing w:after="200" w:line="276" w:lineRule="auto"/>
        <w:rPr>
          <w:rFonts w:cs="Times New Roman"/>
          <w:b/>
          <w:bCs/>
          <w:szCs w:val="24"/>
        </w:rPr>
      </w:pPr>
      <w:r>
        <w:rPr>
          <w:rFonts w:cs="Times New Roman"/>
          <w:b/>
          <w:bCs/>
          <w:szCs w:val="24"/>
        </w:rPr>
        <w:br w:type="page"/>
      </w:r>
    </w:p>
    <w:p w:rsidR="00B064E0" w:rsidRPr="00C92BF5" w:rsidRDefault="00291A25" w:rsidP="00291A25">
      <w:pPr>
        <w:pStyle w:val="Legenda"/>
        <w:rPr>
          <w:rFonts w:cs="Times New Roman"/>
          <w:bCs w:val="0"/>
          <w:szCs w:val="24"/>
        </w:rPr>
      </w:pPr>
      <w:bookmarkStart w:id="679" w:name="_Toc372740266"/>
      <w:r>
        <w:lastRenderedPageBreak/>
        <w:t xml:space="preserve">Figura </w:t>
      </w:r>
      <w:fldSimple w:instr=" SEQ Figura \* ARABIC ">
        <w:r w:rsidR="004F77E2">
          <w:rPr>
            <w:noProof/>
          </w:rPr>
          <w:t>183</w:t>
        </w:r>
      </w:fldSimple>
      <w:r>
        <w:t xml:space="preserve"> - </w:t>
      </w:r>
      <w:r w:rsidRPr="00892AE5">
        <w:rPr>
          <w:noProof/>
        </w:rPr>
        <w:t>Terceira Fase do ciclo do escoamento.</w:t>
      </w:r>
      <w:bookmarkEnd w:id="679"/>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5266450" cy="3240000"/>
            <wp:effectExtent l="0" t="0" r="0" b="0"/>
            <wp:docPr id="222" name="Imagem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5266450" cy="3240000"/>
                    </a:xfrm>
                    <a:prstGeom prst="rect">
                      <a:avLst/>
                    </a:prstGeom>
                    <a:noFill/>
                    <a:ln>
                      <a:noFill/>
                    </a:ln>
                  </pic:spPr>
                </pic:pic>
              </a:graphicData>
            </a:graphic>
          </wp:inline>
        </w:drawing>
      </w:r>
    </w:p>
    <w:p w:rsidR="00B064E0" w:rsidRPr="00B064E0" w:rsidRDefault="00B064E0" w:rsidP="006E79AA">
      <w:pPr>
        <w:autoSpaceDE w:val="0"/>
        <w:autoSpaceDN w:val="0"/>
        <w:adjustRightInd w:val="0"/>
        <w:spacing w:after="240" w:line="240" w:lineRule="auto"/>
        <w:rPr>
          <w:rFonts w:cs="Times New Roman"/>
          <w:bCs/>
          <w:sz w:val="20"/>
          <w:szCs w:val="20"/>
        </w:rPr>
      </w:pPr>
      <w:r w:rsidRPr="00B064E0">
        <w:rPr>
          <w:rFonts w:cs="Times New Roman"/>
          <w:bCs/>
          <w:sz w:val="20"/>
          <w:szCs w:val="20"/>
        </w:rPr>
        <w:t>Fonte: UFBA (2012)</w:t>
      </w:r>
    </w:p>
    <w:p w:rsidR="00E32574" w:rsidRDefault="00E32574" w:rsidP="00C56A3B">
      <w:pPr>
        <w:spacing w:after="0" w:line="360" w:lineRule="auto"/>
        <w:ind w:firstLine="709"/>
        <w:jc w:val="both"/>
        <w:rPr>
          <w:rFonts w:cs="Times New Roman"/>
          <w:bCs/>
          <w:szCs w:val="24"/>
        </w:rPr>
      </w:pPr>
      <w:r w:rsidRPr="00C92BF5">
        <w:rPr>
          <w:rFonts w:cs="Times New Roman"/>
          <w:bCs/>
          <w:szCs w:val="24"/>
        </w:rPr>
        <w:t>O ciclo do escoamento em uma região árida ou semiárida é diferente do que ocorre em uma região úmida. Nas regiões árida e semiárida, a água subterrânea costuma estar em camadas muito profundas do solo, bem abaixo do leito dos rios. Por isso, a maior parte da vazão dos rios depende apenas da precipitação e, como longos períodos de estiagem separam os períodos chuvosos, os rios são intermitentes (UFBA, 2012).</w:t>
      </w:r>
    </w:p>
    <w:p w:rsidR="00E32574" w:rsidRPr="00C92BF5" w:rsidRDefault="00C56A3B" w:rsidP="00971B37">
      <w:pPr>
        <w:pStyle w:val="Titulo"/>
      </w:pPr>
      <w:bookmarkStart w:id="680" w:name="_Toc372559194"/>
      <w:bookmarkStart w:id="681" w:name="_Toc372789625"/>
      <w:r>
        <w:t xml:space="preserve">14.5 </w:t>
      </w:r>
      <w:r w:rsidRPr="00C92BF5">
        <w:t xml:space="preserve">Componentes </w:t>
      </w:r>
      <w:r>
        <w:t>d</w:t>
      </w:r>
      <w:r w:rsidRPr="00C92BF5">
        <w:t>o Escoamento</w:t>
      </w:r>
      <w:bookmarkEnd w:id="680"/>
      <w:bookmarkEnd w:id="681"/>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t xml:space="preserve">A água, uma vez precipitada sobre o solo, pode seguir três caminhos básicos para atingir o curso d’água: o escoamento superficial, o escoamento sub-superficial (hipodérmico) e o escoamento subterrâneo, sendo as duas últimas modalidades sob velocidades mais baixas. Observa-se que o deflúvio direto abrange o escoamento superficial e grande parte do sub-superficial, visto que este último atinge o curso d’água tão rapidamente que, comumente, é difícil distingui-lo do verdadeiro escoamento superficial. </w:t>
      </w:r>
    </w:p>
    <w:p w:rsidR="00E32574" w:rsidRDefault="00E32574" w:rsidP="00C56A3B">
      <w:pPr>
        <w:spacing w:after="0" w:line="360" w:lineRule="auto"/>
        <w:ind w:firstLine="709"/>
        <w:jc w:val="both"/>
        <w:rPr>
          <w:rFonts w:cs="Times New Roman"/>
          <w:bCs/>
          <w:szCs w:val="24"/>
        </w:rPr>
      </w:pPr>
      <w:r w:rsidRPr="00C92BF5">
        <w:rPr>
          <w:rFonts w:cs="Times New Roman"/>
          <w:bCs/>
          <w:szCs w:val="24"/>
        </w:rPr>
        <w:t>O escoamento de base, constituído basicamente do escoamento subterrâneo, é o responsável pela alimentação do curso d’água durante o período de estiagem.</w:t>
      </w:r>
    </w:p>
    <w:p w:rsidR="00E32574" w:rsidRPr="00A369F0" w:rsidRDefault="00C56A3B" w:rsidP="00971B37">
      <w:pPr>
        <w:pStyle w:val="Titulo"/>
      </w:pPr>
      <w:bookmarkStart w:id="682" w:name="_Toc372559195"/>
      <w:bookmarkStart w:id="683" w:name="_Toc372789626"/>
      <w:r w:rsidRPr="00A369F0">
        <w:lastRenderedPageBreak/>
        <w:t>14.5.1 Fatores que Influenciam no Escoamento Superficial</w:t>
      </w:r>
      <w:bookmarkEnd w:id="682"/>
      <w:bookmarkEnd w:id="683"/>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t xml:space="preserve">Os fatores podem ser de natureza climática, relacionados à precipitação ou de natureza fisiográfica ligados às características fisiográficas e morfométricas da bacia. </w:t>
      </w:r>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t>Dentre os fatores climáticos destacam-se a intensidade e a duração da precipitação, pois quanto maior a intensidade, mais rápido o solo atinge a sua capacidade de infiltração provocando um excesso de precipitação que escoará superficialmente. A duração também é diretamente proporcional ao escoamento, pois para chuvas de intensidade constante, haverá maior oportunidade de escoamento quanto maior for a duração. Outro fator climático importante é o da precipitação antecedente, pois uma precipitação que ocorre quando o solo está úmido devido a uma chuva anterior, terá maior facilidade de escoamento.</w:t>
      </w:r>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t>Dentre os fatores fisiográficos os mais importantes são a geologia (orientação das rochas-xistosidade), classes de solos (permeabilidade) e gradiente topográfico. Dentre as características morfométricas temos: a área, índice de forma, densidade de drenagem e hierarquia fluvial etc. Desenvolver cenários a partir das características fisiográficos e morfométricos para bacias hidrográficas mostram as fragilidades e potencialidades das mesmas.</w:t>
      </w:r>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t>A influência da área é clara, pois sua extensão está relacionada à maior ou menor quantidade de água que ela pode captar. A área é o elemento básico para o estudo das demais características físicas.</w:t>
      </w:r>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t>A permeabilidade do solo influi diretamente na capacidade de infiltração, ou seja, quanto mais permeável for o solo, maior será a quantidade de água que ele pode absorver, diminuindo assim a ocorrência de excesso de precipitação.</w:t>
      </w:r>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t>Outros fatores importantes são as obras hidráulicas construídas nas bacias, tal como uma barragem que, acumulando a água em um reservatório, reduz as vazões máximas do escoamento superficial e retarda a sua propagação. Em sentido contrário, pode-se retificar um rio aumentando a velocidade do escoamento superficial.</w:t>
      </w:r>
    </w:p>
    <w:p w:rsidR="00E32574" w:rsidRPr="001D1D58" w:rsidRDefault="00C56A3B" w:rsidP="00971B37">
      <w:pPr>
        <w:pStyle w:val="Titulo"/>
        <w:rPr>
          <w:i/>
        </w:rPr>
      </w:pPr>
      <w:r>
        <w:br w:type="page"/>
      </w:r>
      <w:bookmarkStart w:id="684" w:name="_Toc372559196"/>
      <w:bookmarkStart w:id="685" w:name="_Toc372789627"/>
      <w:r w:rsidRPr="00A369F0">
        <w:lastRenderedPageBreak/>
        <w:t>1</w:t>
      </w:r>
      <w:r w:rsidR="00031935">
        <w:t>4</w:t>
      </w:r>
      <w:r w:rsidRPr="00A369F0">
        <w:t>.5.2 Métodos de Avaliação do Escoamento Superficial</w:t>
      </w:r>
      <w:bookmarkEnd w:id="684"/>
      <w:bookmarkEnd w:id="685"/>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t xml:space="preserve">Dependendo dos objetivos e circunstâncias os métodos de avaliação do escoamento superficial (sobre a chuva que lhe dá origem serão aplicados). Métodos como dependendo da hipótese sustentada sobre a chuva que lhe dá origem: constante no tempo e no espaço, constante no espaço e variável no tempo, ou, ainda, variável no tempo e no espaço. Geralmente, em bacias pequenas pode-se assumir chuva constante no espaço e no tempo. Bacias de tamanho médio são aquelas nas quais é possível sustentar a hipótese de chuva constante no espaço, mas variável no tempo. No caso de bacias grandes, deve-se modelar o escoamento superficial admitindo a variabilidade espaço-temporal da chuva, incluindo o amortecimento. Alguns métodos que podem ser aplicados são: (TUCCI, 1998). </w:t>
      </w:r>
    </w:p>
    <w:p w:rsidR="00E32574" w:rsidRPr="00581F79" w:rsidRDefault="00E32574" w:rsidP="0053477A">
      <w:pPr>
        <w:pStyle w:val="PargrafodaLista"/>
        <w:numPr>
          <w:ilvl w:val="0"/>
          <w:numId w:val="47"/>
        </w:numPr>
        <w:spacing w:after="0" w:line="360" w:lineRule="auto"/>
        <w:ind w:left="567" w:hanging="283"/>
        <w:jc w:val="both"/>
        <w:rPr>
          <w:rFonts w:cs="Times New Roman"/>
          <w:bCs/>
          <w:szCs w:val="24"/>
        </w:rPr>
      </w:pPr>
      <w:r w:rsidRPr="00581F79">
        <w:rPr>
          <w:rFonts w:cs="Times New Roman"/>
          <w:bCs/>
          <w:szCs w:val="24"/>
        </w:rPr>
        <w:t xml:space="preserve">Coeficiente de </w:t>
      </w:r>
      <w:r w:rsidRPr="00466071">
        <w:rPr>
          <w:rFonts w:cs="Times New Roman"/>
          <w:bCs/>
          <w:i/>
          <w:szCs w:val="24"/>
        </w:rPr>
        <w:t>run off</w:t>
      </w:r>
      <w:r w:rsidRPr="00581F79">
        <w:rPr>
          <w:rFonts w:cs="Times New Roman"/>
          <w:bCs/>
          <w:szCs w:val="24"/>
        </w:rPr>
        <w:t xml:space="preserve">; </w:t>
      </w:r>
    </w:p>
    <w:p w:rsidR="00E32574" w:rsidRPr="00581F79" w:rsidRDefault="00E32574" w:rsidP="0053477A">
      <w:pPr>
        <w:pStyle w:val="PargrafodaLista"/>
        <w:numPr>
          <w:ilvl w:val="0"/>
          <w:numId w:val="47"/>
        </w:numPr>
        <w:spacing w:after="0" w:line="360" w:lineRule="auto"/>
        <w:ind w:left="567" w:hanging="283"/>
        <w:jc w:val="both"/>
        <w:rPr>
          <w:rFonts w:cs="Times New Roman"/>
          <w:bCs/>
          <w:szCs w:val="24"/>
        </w:rPr>
      </w:pPr>
      <w:r w:rsidRPr="00581F79">
        <w:rPr>
          <w:rFonts w:cs="Times New Roman"/>
          <w:bCs/>
          <w:szCs w:val="24"/>
        </w:rPr>
        <w:t xml:space="preserve">Índice Ø; </w:t>
      </w:r>
    </w:p>
    <w:p w:rsidR="00E32574" w:rsidRPr="00581F79" w:rsidRDefault="00E32574" w:rsidP="0053477A">
      <w:pPr>
        <w:pStyle w:val="PargrafodaLista"/>
        <w:numPr>
          <w:ilvl w:val="0"/>
          <w:numId w:val="47"/>
        </w:numPr>
        <w:spacing w:after="0" w:line="360" w:lineRule="auto"/>
        <w:ind w:left="567" w:hanging="283"/>
        <w:jc w:val="both"/>
        <w:rPr>
          <w:rFonts w:cs="Times New Roman"/>
          <w:bCs/>
          <w:szCs w:val="24"/>
        </w:rPr>
      </w:pPr>
      <w:r w:rsidRPr="00581F79">
        <w:rPr>
          <w:rFonts w:cs="Times New Roman"/>
          <w:bCs/>
          <w:szCs w:val="24"/>
        </w:rPr>
        <w:t>SCS (</w:t>
      </w:r>
      <w:r w:rsidRPr="00466071">
        <w:rPr>
          <w:rFonts w:cs="Times New Roman"/>
          <w:bCs/>
          <w:i/>
          <w:szCs w:val="24"/>
        </w:rPr>
        <w:t>Soil Conservation Service</w:t>
      </w:r>
      <w:r w:rsidRPr="00581F79">
        <w:rPr>
          <w:rFonts w:cs="Times New Roman"/>
          <w:bCs/>
          <w:szCs w:val="24"/>
        </w:rPr>
        <w:t xml:space="preserve">); </w:t>
      </w:r>
    </w:p>
    <w:p w:rsidR="00E32574" w:rsidRPr="00581F79" w:rsidRDefault="00E32574" w:rsidP="0053477A">
      <w:pPr>
        <w:pStyle w:val="PargrafodaLista"/>
        <w:numPr>
          <w:ilvl w:val="0"/>
          <w:numId w:val="47"/>
        </w:numPr>
        <w:spacing w:after="0" w:line="360" w:lineRule="auto"/>
        <w:ind w:left="567" w:hanging="283"/>
        <w:jc w:val="both"/>
        <w:rPr>
          <w:rFonts w:cs="Times New Roman"/>
          <w:bCs/>
          <w:szCs w:val="24"/>
        </w:rPr>
      </w:pPr>
      <w:r w:rsidRPr="00581F79">
        <w:rPr>
          <w:rFonts w:cs="Times New Roman"/>
          <w:bCs/>
          <w:szCs w:val="24"/>
        </w:rPr>
        <w:t xml:space="preserve">Horton; </w:t>
      </w:r>
    </w:p>
    <w:p w:rsidR="00E32574" w:rsidRPr="00581F79" w:rsidRDefault="00E32574" w:rsidP="0053477A">
      <w:pPr>
        <w:pStyle w:val="PargrafodaLista"/>
        <w:numPr>
          <w:ilvl w:val="0"/>
          <w:numId w:val="47"/>
        </w:numPr>
        <w:spacing w:after="0" w:line="360" w:lineRule="auto"/>
        <w:ind w:left="567" w:hanging="283"/>
        <w:jc w:val="both"/>
        <w:rPr>
          <w:rFonts w:cs="Times New Roman"/>
          <w:bCs/>
          <w:szCs w:val="24"/>
        </w:rPr>
      </w:pPr>
      <w:r w:rsidRPr="00581F79">
        <w:rPr>
          <w:rFonts w:cs="Times New Roman"/>
          <w:bCs/>
          <w:szCs w:val="24"/>
        </w:rPr>
        <w:t>Strahler</w:t>
      </w:r>
      <w:r w:rsidR="00C56A3B">
        <w:rPr>
          <w:rFonts w:cs="Times New Roman"/>
          <w:bCs/>
          <w:szCs w:val="24"/>
        </w:rPr>
        <w:t>.</w:t>
      </w:r>
      <w:r w:rsidRPr="00581F79">
        <w:rPr>
          <w:rFonts w:cs="Times New Roman"/>
          <w:bCs/>
          <w:szCs w:val="24"/>
        </w:rPr>
        <w:t xml:space="preserve"> </w:t>
      </w:r>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t xml:space="preserve">Para trabalhos atrelados </w:t>
      </w:r>
      <w:r w:rsidR="00C56A3B">
        <w:rPr>
          <w:rFonts w:cs="Times New Roman"/>
          <w:bCs/>
          <w:szCs w:val="24"/>
        </w:rPr>
        <w:t>à</w:t>
      </w:r>
      <w:r w:rsidRPr="00C92BF5">
        <w:rPr>
          <w:rFonts w:cs="Times New Roman"/>
          <w:bCs/>
          <w:szCs w:val="24"/>
        </w:rPr>
        <w:t xml:space="preserve"> microdrenagem urbana, o método mais aplicado é o do Coeficiente de run off. Este, consiste na utilização de valores tabelados de relação entre escoamento superficial e altura precipitada. Por exemplo, um coeficiente de run off de 0,70 significa que 70% da altura precipitada são escoadas superficialmente, e somente 30% são computados como infiltração ou perdas iniciais. É um método bastante simples e que não leva em conta perdas por evapotranspiração, acumulação em depressões da superfície etc. </w:t>
      </w:r>
      <w:r w:rsidRPr="00C56A3B">
        <w:rPr>
          <w:rFonts w:cs="Times New Roman"/>
          <w:bCs/>
          <w:szCs w:val="24"/>
        </w:rPr>
        <w:t>(IPH-UFRGS, 2005).</w:t>
      </w:r>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t xml:space="preserve">Este método de separação do escoamento é utilizado com um método de transformação de chuva em vazão, denominado de Método Racional. </w:t>
      </w:r>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t>A estimativa da vazão do escoamento produzido pelas chuvas em determinada área é fundamental para o dimensionamento dos canais coletores, interceptores ou drenos. Existem várias equações para estimar esta vazão, sendo muito conhecido o uso da equação racional. Método Racional é limitado a pequenas áreas (até 100 ha). Este método é utilizado quando se tem muitos dados de chuva e poucos dados de vazão.</w:t>
      </w:r>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lastRenderedPageBreak/>
        <w:t>A equação racional estima a vazão máxima de escoamento de uma determinada área sujeita a uma intensidade máxima de precipitação, com um determinado tempo de concentração, a qual é assim representada: (TUCCI, 1998).</w:t>
      </w:r>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t>Para áreas maiores, o método apresenta resultados confiáveis, superestimando a vazão de pico do hidrograma.</w:t>
      </w:r>
    </w:p>
    <w:p w:rsidR="00E32574" w:rsidRPr="00C92BF5" w:rsidRDefault="00E32574" w:rsidP="00C56A3B">
      <w:pPr>
        <w:spacing w:after="0" w:line="360" w:lineRule="auto"/>
        <w:ind w:firstLine="709"/>
        <w:jc w:val="both"/>
        <w:rPr>
          <w:rFonts w:cs="Times New Roman"/>
          <w:bCs/>
          <w:szCs w:val="24"/>
        </w:rPr>
      </w:pPr>
      <w:r w:rsidRPr="00C92BF5">
        <w:rPr>
          <w:rFonts w:cs="Times New Roman"/>
          <w:bCs/>
          <w:szCs w:val="24"/>
        </w:rPr>
        <w:t>Na tabela abaixo são apresentados os coeficientes de escoamento recomendado para as superfícies urbanas. N</w:t>
      </w:r>
      <w:r w:rsidR="00C56A3B">
        <w:rPr>
          <w:rFonts w:cs="Times New Roman"/>
          <w:bCs/>
          <w:szCs w:val="24"/>
        </w:rPr>
        <w:t>o Quadro 5</w:t>
      </w:r>
      <w:r w:rsidR="001277BE">
        <w:rPr>
          <w:rFonts w:cs="Times New Roman"/>
          <w:bCs/>
          <w:szCs w:val="24"/>
        </w:rPr>
        <w:t>5</w:t>
      </w:r>
      <w:r w:rsidRPr="00C92BF5">
        <w:rPr>
          <w:rFonts w:cs="Times New Roman"/>
          <w:bCs/>
          <w:szCs w:val="24"/>
        </w:rPr>
        <w:t xml:space="preserve"> são apresentados coeficientes de escoamento com base em superfícies de revestimento. Para os tempos de retorno utilizados na microdrenagem, não existe variação desse coeficiente com eles. A variação com a intensidade da precipitação também não é considerada, já que é uma das premissas utilizadas pelo método.</w:t>
      </w:r>
    </w:p>
    <w:p w:rsidR="00C56A3B" w:rsidRDefault="00C56A3B">
      <w:pPr>
        <w:spacing w:after="200" w:line="276" w:lineRule="auto"/>
        <w:rPr>
          <w:rFonts w:eastAsiaTheme="minorEastAsia" w:cs="Times New Roman"/>
          <w:bCs/>
          <w:szCs w:val="24"/>
          <w:lang w:eastAsia="pt-BR"/>
        </w:rPr>
      </w:pPr>
      <w:bookmarkStart w:id="686" w:name="_Toc372117311"/>
      <w:r>
        <w:br w:type="page"/>
      </w:r>
    </w:p>
    <w:p w:rsidR="00581F79" w:rsidRPr="008E5D92" w:rsidRDefault="0075744C" w:rsidP="0075744C">
      <w:pPr>
        <w:pStyle w:val="Legenda"/>
        <w:rPr>
          <w:b w:val="0"/>
        </w:rPr>
      </w:pPr>
      <w:bookmarkStart w:id="687" w:name="_Toc372740561"/>
      <w:bookmarkEnd w:id="686"/>
      <w:r>
        <w:lastRenderedPageBreak/>
        <w:t xml:space="preserve">Quadro </w:t>
      </w:r>
      <w:fldSimple w:instr=" SEQ Quadro \* ARABIC ">
        <w:r w:rsidR="004F77E2">
          <w:rPr>
            <w:noProof/>
          </w:rPr>
          <w:t>55</w:t>
        </w:r>
      </w:fldSimple>
      <w:r>
        <w:t xml:space="preserve"> - </w:t>
      </w:r>
      <w:r w:rsidRPr="00132119">
        <w:rPr>
          <w:noProof/>
        </w:rPr>
        <w:t>Valores de Coeficiente por tipo de ocupação (adaptado: Wilken, 1978).</w:t>
      </w:r>
      <w:bookmarkEnd w:id="687"/>
    </w:p>
    <w:tbl>
      <w:tblPr>
        <w:tblW w:w="9102" w:type="dxa"/>
        <w:tblBorders>
          <w:top w:val="nil"/>
          <w:left w:val="nil"/>
          <w:bottom w:val="nil"/>
          <w:right w:val="nil"/>
        </w:tblBorders>
        <w:tblLayout w:type="fixed"/>
        <w:tblLook w:val="0000" w:firstRow="0" w:lastRow="0" w:firstColumn="0" w:lastColumn="0" w:noHBand="0" w:noVBand="0"/>
      </w:tblPr>
      <w:tblGrid>
        <w:gridCol w:w="7265"/>
        <w:gridCol w:w="1837"/>
      </w:tblGrid>
      <w:tr w:rsidR="00E32574" w:rsidRPr="00C92BF5" w:rsidTr="00E32574">
        <w:trPr>
          <w:trHeight w:val="265"/>
        </w:trPr>
        <w:tc>
          <w:tcPr>
            <w:tcW w:w="7265" w:type="dxa"/>
            <w:tcBorders>
              <w:top w:val="single" w:sz="2" w:space="0" w:color="000000"/>
              <w:left w:val="single" w:sz="2" w:space="0" w:color="000000"/>
              <w:bottom w:val="single" w:sz="8" w:space="0" w:color="000000"/>
              <w:right w:val="single" w:sz="6" w:space="0" w:color="000000"/>
            </w:tcBorders>
            <w:shd w:val="clear" w:color="auto" w:fill="BFBFBF"/>
            <w:vAlign w:val="center"/>
          </w:tcPr>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b/>
                <w:bCs/>
                <w:color w:val="000000"/>
                <w:szCs w:val="24"/>
                <w:lang w:eastAsia="pt-BR"/>
              </w:rPr>
              <w:t xml:space="preserve">Zonas </w:t>
            </w:r>
          </w:p>
        </w:tc>
        <w:tc>
          <w:tcPr>
            <w:tcW w:w="1837" w:type="dxa"/>
            <w:tcBorders>
              <w:top w:val="single" w:sz="2" w:space="0" w:color="000000"/>
              <w:left w:val="single" w:sz="6" w:space="0" w:color="000000"/>
              <w:bottom w:val="single" w:sz="8" w:space="0" w:color="000000"/>
              <w:right w:val="single" w:sz="2" w:space="0" w:color="000000"/>
            </w:tcBorders>
            <w:shd w:val="clear" w:color="auto" w:fill="BFBFBF"/>
            <w:vAlign w:val="center"/>
          </w:tcPr>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b/>
                <w:bCs/>
                <w:color w:val="000000"/>
                <w:szCs w:val="24"/>
                <w:lang w:eastAsia="pt-BR"/>
              </w:rPr>
              <w:t xml:space="preserve">C </w:t>
            </w:r>
          </w:p>
        </w:tc>
      </w:tr>
      <w:tr w:rsidR="00E32574" w:rsidRPr="00C92BF5" w:rsidTr="00E32574">
        <w:trPr>
          <w:trHeight w:val="527"/>
        </w:trPr>
        <w:tc>
          <w:tcPr>
            <w:tcW w:w="7265" w:type="dxa"/>
            <w:tcBorders>
              <w:top w:val="single" w:sz="8" w:space="0" w:color="000000"/>
              <w:left w:val="single" w:sz="2" w:space="0" w:color="000000"/>
              <w:bottom w:val="single" w:sz="8" w:space="0" w:color="000000"/>
              <w:right w:val="single" w:sz="6" w:space="0" w:color="000000"/>
            </w:tcBorders>
            <w:vAlign w:val="center"/>
          </w:tcPr>
          <w:p w:rsidR="00E32574" w:rsidRPr="00C92BF5" w:rsidRDefault="00E32574" w:rsidP="008E5D92">
            <w:pPr>
              <w:widowControl w:val="0"/>
              <w:autoSpaceDE w:val="0"/>
              <w:autoSpaceDN w:val="0"/>
              <w:adjustRightInd w:val="0"/>
              <w:spacing w:before="120" w:after="120" w:line="240" w:lineRule="auto"/>
              <w:jc w:val="both"/>
              <w:rPr>
                <w:rFonts w:eastAsiaTheme="minorEastAsia" w:cs="Times New Roman"/>
                <w:color w:val="000000"/>
                <w:szCs w:val="24"/>
                <w:lang w:eastAsia="pt-BR"/>
              </w:rPr>
            </w:pPr>
            <w:r w:rsidRPr="00C92BF5">
              <w:rPr>
                <w:rFonts w:eastAsiaTheme="minorEastAsia" w:cs="Times New Roman"/>
                <w:color w:val="000000"/>
                <w:szCs w:val="24"/>
                <w:lang w:eastAsia="pt-BR"/>
              </w:rPr>
              <w:t>Área Comercial/Edificação muito densa: Partes centrais, densamente construídas de uma cidade com ruas e calçadas pavimentadas.</w:t>
            </w:r>
          </w:p>
        </w:tc>
        <w:tc>
          <w:tcPr>
            <w:tcW w:w="1837" w:type="dxa"/>
            <w:tcBorders>
              <w:top w:val="single" w:sz="8" w:space="0" w:color="000000"/>
              <w:left w:val="single" w:sz="6" w:space="0" w:color="000000"/>
              <w:bottom w:val="single" w:sz="8" w:space="0" w:color="000000"/>
              <w:right w:val="single" w:sz="2" w:space="0" w:color="000000"/>
            </w:tcBorders>
            <w:vAlign w:val="center"/>
          </w:tcPr>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 xml:space="preserve">0,70 -0,95 </w:t>
            </w:r>
          </w:p>
        </w:tc>
      </w:tr>
      <w:tr w:rsidR="00E32574" w:rsidRPr="00C92BF5" w:rsidTr="00E32574">
        <w:trPr>
          <w:trHeight w:val="522"/>
        </w:trPr>
        <w:tc>
          <w:tcPr>
            <w:tcW w:w="7265" w:type="dxa"/>
            <w:tcBorders>
              <w:top w:val="single" w:sz="8" w:space="0" w:color="000000"/>
              <w:left w:val="single" w:sz="2" w:space="0" w:color="000000"/>
              <w:bottom w:val="single" w:sz="8" w:space="0" w:color="000000"/>
              <w:right w:val="single" w:sz="6" w:space="0" w:color="000000"/>
            </w:tcBorders>
            <w:vAlign w:val="center"/>
          </w:tcPr>
          <w:p w:rsidR="00E32574" w:rsidRPr="00C92BF5" w:rsidRDefault="00E32574" w:rsidP="008E5D92">
            <w:pPr>
              <w:widowControl w:val="0"/>
              <w:autoSpaceDE w:val="0"/>
              <w:autoSpaceDN w:val="0"/>
              <w:adjustRightInd w:val="0"/>
              <w:spacing w:before="120" w:after="120" w:line="240" w:lineRule="auto"/>
              <w:jc w:val="both"/>
              <w:rPr>
                <w:rFonts w:eastAsiaTheme="minorEastAsia" w:cs="Times New Roman"/>
                <w:color w:val="000000"/>
                <w:szCs w:val="24"/>
                <w:lang w:eastAsia="pt-BR"/>
              </w:rPr>
            </w:pPr>
            <w:r w:rsidRPr="00C92BF5">
              <w:rPr>
                <w:rFonts w:eastAsiaTheme="minorEastAsia" w:cs="Times New Roman"/>
                <w:color w:val="000000"/>
                <w:szCs w:val="24"/>
                <w:lang w:eastAsia="pt-BR"/>
              </w:rPr>
              <w:t xml:space="preserve">Área Comercial/Edificação não muito densa: partes adjacentes ao centro, de menos densidade de habitações, mas com ruas e calçadas pavimentadas. </w:t>
            </w:r>
          </w:p>
        </w:tc>
        <w:tc>
          <w:tcPr>
            <w:tcW w:w="1837" w:type="dxa"/>
            <w:tcBorders>
              <w:top w:val="single" w:sz="8" w:space="0" w:color="000000"/>
              <w:left w:val="single" w:sz="6" w:space="0" w:color="000000"/>
              <w:bottom w:val="single" w:sz="8" w:space="0" w:color="000000"/>
              <w:right w:val="single" w:sz="2" w:space="0" w:color="000000"/>
            </w:tcBorders>
            <w:vAlign w:val="center"/>
          </w:tcPr>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 xml:space="preserve">0,60 -0,70 </w:t>
            </w:r>
          </w:p>
        </w:tc>
      </w:tr>
      <w:tr w:rsidR="00E32574" w:rsidRPr="00C92BF5" w:rsidTr="00E32574">
        <w:trPr>
          <w:trHeight w:val="527"/>
        </w:trPr>
        <w:tc>
          <w:tcPr>
            <w:tcW w:w="7265" w:type="dxa"/>
            <w:tcBorders>
              <w:top w:val="single" w:sz="8" w:space="0" w:color="000000"/>
              <w:left w:val="single" w:sz="2" w:space="0" w:color="000000"/>
              <w:bottom w:val="single" w:sz="8" w:space="0" w:color="000000"/>
              <w:right w:val="single" w:sz="6" w:space="0" w:color="000000"/>
            </w:tcBorders>
            <w:vAlign w:val="center"/>
          </w:tcPr>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Área Residencial:</w:t>
            </w:r>
          </w:p>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 xml:space="preserve">Residências isoladas; com muita superfície livre. </w:t>
            </w:r>
          </w:p>
        </w:tc>
        <w:tc>
          <w:tcPr>
            <w:tcW w:w="1837" w:type="dxa"/>
            <w:tcBorders>
              <w:top w:val="single" w:sz="8" w:space="0" w:color="000000"/>
              <w:left w:val="single" w:sz="6" w:space="0" w:color="000000"/>
              <w:bottom w:val="single" w:sz="8" w:space="0" w:color="000000"/>
              <w:right w:val="single" w:sz="2" w:space="0" w:color="000000"/>
            </w:tcBorders>
            <w:vAlign w:val="center"/>
          </w:tcPr>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0,35 - 0,50</w:t>
            </w:r>
          </w:p>
        </w:tc>
      </w:tr>
      <w:tr w:rsidR="00E32574" w:rsidRPr="00C92BF5" w:rsidTr="00E32574">
        <w:trPr>
          <w:trHeight w:val="527"/>
        </w:trPr>
        <w:tc>
          <w:tcPr>
            <w:tcW w:w="7265" w:type="dxa"/>
            <w:tcBorders>
              <w:top w:val="single" w:sz="8" w:space="0" w:color="000000"/>
              <w:left w:val="single" w:sz="2" w:space="0" w:color="000000"/>
              <w:bottom w:val="single" w:sz="8" w:space="0" w:color="000000"/>
              <w:right w:val="single" w:sz="6" w:space="0" w:color="000000"/>
            </w:tcBorders>
            <w:vAlign w:val="center"/>
          </w:tcPr>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Área Residencial:</w:t>
            </w:r>
          </w:p>
          <w:p w:rsidR="00E32574" w:rsidRPr="00C92BF5" w:rsidRDefault="00E32574" w:rsidP="008E5D92">
            <w:pPr>
              <w:widowControl w:val="0"/>
              <w:autoSpaceDE w:val="0"/>
              <w:autoSpaceDN w:val="0"/>
              <w:adjustRightInd w:val="0"/>
              <w:spacing w:before="120" w:after="120" w:line="240" w:lineRule="auto"/>
              <w:jc w:val="both"/>
              <w:rPr>
                <w:rFonts w:eastAsiaTheme="minorEastAsia" w:cs="Times New Roman"/>
                <w:color w:val="000000"/>
                <w:szCs w:val="24"/>
                <w:lang w:eastAsia="pt-BR"/>
              </w:rPr>
            </w:pPr>
            <w:r w:rsidRPr="00C92BF5">
              <w:rPr>
                <w:rFonts w:eastAsiaTheme="minorEastAsia" w:cs="Times New Roman"/>
                <w:color w:val="000000"/>
                <w:szCs w:val="24"/>
                <w:lang w:eastAsia="pt-BR"/>
              </w:rPr>
              <w:t xml:space="preserve">Unidades múltiplas (separadas); partes residenciais com ruas macadamizas ou pavimentadas. </w:t>
            </w:r>
          </w:p>
        </w:tc>
        <w:tc>
          <w:tcPr>
            <w:tcW w:w="1837" w:type="dxa"/>
            <w:tcBorders>
              <w:top w:val="single" w:sz="8" w:space="0" w:color="000000"/>
              <w:left w:val="single" w:sz="6" w:space="0" w:color="000000"/>
              <w:bottom w:val="single" w:sz="8" w:space="0" w:color="000000"/>
              <w:right w:val="single" w:sz="2" w:space="0" w:color="000000"/>
            </w:tcBorders>
            <w:vAlign w:val="center"/>
          </w:tcPr>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0,50 - 0,60</w:t>
            </w:r>
          </w:p>
        </w:tc>
      </w:tr>
      <w:tr w:rsidR="00E32574" w:rsidRPr="00C92BF5" w:rsidTr="00E32574">
        <w:trPr>
          <w:trHeight w:val="527"/>
        </w:trPr>
        <w:tc>
          <w:tcPr>
            <w:tcW w:w="7265" w:type="dxa"/>
            <w:tcBorders>
              <w:top w:val="single" w:sz="8" w:space="0" w:color="000000"/>
              <w:left w:val="single" w:sz="2" w:space="0" w:color="000000"/>
              <w:bottom w:val="single" w:sz="8" w:space="0" w:color="000000"/>
              <w:right w:val="single" w:sz="6" w:space="0" w:color="000000"/>
            </w:tcBorders>
            <w:vAlign w:val="center"/>
          </w:tcPr>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Área Residencial:</w:t>
            </w:r>
          </w:p>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Unidades múltiplas (conjugadas).</w:t>
            </w:r>
          </w:p>
        </w:tc>
        <w:tc>
          <w:tcPr>
            <w:tcW w:w="1837" w:type="dxa"/>
            <w:tcBorders>
              <w:top w:val="single" w:sz="8" w:space="0" w:color="000000"/>
              <w:left w:val="single" w:sz="6" w:space="0" w:color="000000"/>
              <w:bottom w:val="single" w:sz="8" w:space="0" w:color="000000"/>
              <w:right w:val="single" w:sz="2" w:space="0" w:color="000000"/>
            </w:tcBorders>
            <w:vAlign w:val="center"/>
          </w:tcPr>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0,60 - 0,75</w:t>
            </w:r>
          </w:p>
        </w:tc>
      </w:tr>
      <w:tr w:rsidR="00E32574" w:rsidRPr="00C92BF5" w:rsidTr="00E32574">
        <w:trPr>
          <w:trHeight w:val="527"/>
        </w:trPr>
        <w:tc>
          <w:tcPr>
            <w:tcW w:w="7265" w:type="dxa"/>
            <w:tcBorders>
              <w:top w:val="single" w:sz="8" w:space="0" w:color="000000"/>
              <w:left w:val="single" w:sz="2" w:space="0" w:color="000000"/>
              <w:bottom w:val="single" w:sz="8" w:space="0" w:color="000000"/>
              <w:right w:val="single" w:sz="6" w:space="0" w:color="000000"/>
            </w:tcBorders>
            <w:vAlign w:val="center"/>
          </w:tcPr>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Área Residencial:</w:t>
            </w:r>
          </w:p>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lotes com &gt; 2.000 m</w:t>
            </w:r>
            <w:r w:rsidRPr="00C92BF5">
              <w:rPr>
                <w:rFonts w:eastAsiaTheme="minorEastAsia" w:cs="Times New Roman"/>
                <w:color w:val="000000"/>
                <w:szCs w:val="24"/>
                <w:vertAlign w:val="superscript"/>
                <w:lang w:eastAsia="pt-BR"/>
              </w:rPr>
              <w:t>2</w:t>
            </w:r>
            <w:r w:rsidRPr="00C92BF5">
              <w:rPr>
                <w:rFonts w:eastAsiaTheme="minorEastAsia" w:cs="Times New Roman"/>
                <w:color w:val="000000"/>
                <w:szCs w:val="24"/>
                <w:lang w:eastAsia="pt-BR"/>
              </w:rPr>
              <w:t xml:space="preserve"> </w:t>
            </w:r>
          </w:p>
        </w:tc>
        <w:tc>
          <w:tcPr>
            <w:tcW w:w="1837" w:type="dxa"/>
            <w:tcBorders>
              <w:top w:val="single" w:sz="8" w:space="0" w:color="000000"/>
              <w:left w:val="single" w:sz="6" w:space="0" w:color="000000"/>
              <w:bottom w:val="single" w:sz="8" w:space="0" w:color="000000"/>
              <w:right w:val="single" w:sz="2" w:space="0" w:color="000000"/>
            </w:tcBorders>
            <w:vAlign w:val="center"/>
          </w:tcPr>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0,30 - 0,45</w:t>
            </w:r>
          </w:p>
        </w:tc>
      </w:tr>
      <w:tr w:rsidR="00E32574" w:rsidRPr="00C92BF5" w:rsidTr="00E32574">
        <w:trPr>
          <w:trHeight w:val="527"/>
        </w:trPr>
        <w:tc>
          <w:tcPr>
            <w:tcW w:w="7265" w:type="dxa"/>
            <w:tcBorders>
              <w:top w:val="single" w:sz="8" w:space="0" w:color="000000"/>
              <w:left w:val="single" w:sz="2" w:space="0" w:color="000000"/>
              <w:bottom w:val="single" w:sz="8" w:space="0" w:color="000000"/>
              <w:right w:val="single" w:sz="6" w:space="0" w:color="000000"/>
            </w:tcBorders>
            <w:vAlign w:val="center"/>
          </w:tcPr>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Áreas com apartamentos</w:t>
            </w:r>
          </w:p>
        </w:tc>
        <w:tc>
          <w:tcPr>
            <w:tcW w:w="1837" w:type="dxa"/>
            <w:tcBorders>
              <w:top w:val="single" w:sz="8" w:space="0" w:color="000000"/>
              <w:left w:val="single" w:sz="6" w:space="0" w:color="000000"/>
              <w:bottom w:val="single" w:sz="8" w:space="0" w:color="000000"/>
              <w:right w:val="single" w:sz="2" w:space="0" w:color="000000"/>
            </w:tcBorders>
            <w:vAlign w:val="center"/>
          </w:tcPr>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0,50 - 0,70</w:t>
            </w:r>
          </w:p>
        </w:tc>
      </w:tr>
      <w:tr w:rsidR="00E32574" w:rsidRPr="00C92BF5" w:rsidTr="00E32574">
        <w:trPr>
          <w:trHeight w:val="527"/>
        </w:trPr>
        <w:tc>
          <w:tcPr>
            <w:tcW w:w="7265" w:type="dxa"/>
            <w:tcBorders>
              <w:top w:val="single" w:sz="8" w:space="0" w:color="000000"/>
              <w:left w:val="single" w:sz="2" w:space="0" w:color="000000"/>
              <w:bottom w:val="single" w:sz="8" w:space="0" w:color="000000"/>
              <w:right w:val="single" w:sz="6" w:space="0" w:color="000000"/>
            </w:tcBorders>
            <w:vAlign w:val="center"/>
          </w:tcPr>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Área industrial:</w:t>
            </w:r>
          </w:p>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Indústrias leves</w:t>
            </w:r>
          </w:p>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Indústrias pesadas</w:t>
            </w:r>
          </w:p>
        </w:tc>
        <w:tc>
          <w:tcPr>
            <w:tcW w:w="1837" w:type="dxa"/>
            <w:tcBorders>
              <w:top w:val="single" w:sz="8" w:space="0" w:color="000000"/>
              <w:left w:val="single" w:sz="6" w:space="0" w:color="000000"/>
              <w:bottom w:val="single" w:sz="8" w:space="0" w:color="000000"/>
              <w:right w:val="single" w:sz="2" w:space="0" w:color="000000"/>
            </w:tcBorders>
            <w:vAlign w:val="center"/>
          </w:tcPr>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0,50 - 0,80</w:t>
            </w:r>
          </w:p>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0,60 - 0,90</w:t>
            </w:r>
          </w:p>
        </w:tc>
      </w:tr>
      <w:tr w:rsidR="00E32574" w:rsidRPr="00C92BF5" w:rsidTr="00E32574">
        <w:trPr>
          <w:trHeight w:val="527"/>
        </w:trPr>
        <w:tc>
          <w:tcPr>
            <w:tcW w:w="7265" w:type="dxa"/>
            <w:tcBorders>
              <w:top w:val="single" w:sz="8" w:space="0" w:color="000000"/>
              <w:left w:val="single" w:sz="2" w:space="0" w:color="000000"/>
              <w:bottom w:val="single" w:sz="8" w:space="0" w:color="000000"/>
              <w:right w:val="single" w:sz="6" w:space="0" w:color="000000"/>
            </w:tcBorders>
            <w:vAlign w:val="center"/>
          </w:tcPr>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Outros:</w:t>
            </w:r>
          </w:p>
          <w:p w:rsidR="00E32574" w:rsidRPr="00C92BF5" w:rsidRDefault="00E32574" w:rsidP="008E5D92">
            <w:pPr>
              <w:widowControl w:val="0"/>
              <w:autoSpaceDE w:val="0"/>
              <w:autoSpaceDN w:val="0"/>
              <w:adjustRightInd w:val="0"/>
              <w:spacing w:before="120" w:after="120" w:line="240" w:lineRule="auto"/>
              <w:jc w:val="both"/>
              <w:rPr>
                <w:rFonts w:eastAsiaTheme="minorEastAsia" w:cs="Times New Roman"/>
                <w:color w:val="000000"/>
                <w:szCs w:val="24"/>
                <w:lang w:eastAsia="pt-BR"/>
              </w:rPr>
            </w:pPr>
            <w:r w:rsidRPr="00C92BF5">
              <w:rPr>
                <w:rFonts w:eastAsiaTheme="minorEastAsia" w:cs="Times New Roman"/>
                <w:color w:val="000000"/>
                <w:szCs w:val="24"/>
                <w:lang w:eastAsia="pt-BR"/>
              </w:rPr>
              <w:t>Matas, parques e campos de esporte, partes rurais, áreas verdes, superfícies arborizadas e parques ajardinados.</w:t>
            </w:r>
          </w:p>
          <w:p w:rsidR="00E32574" w:rsidRPr="00C92BF5" w:rsidRDefault="00E32574" w:rsidP="008E5D92">
            <w:pPr>
              <w:widowControl w:val="0"/>
              <w:autoSpaceDE w:val="0"/>
              <w:autoSpaceDN w:val="0"/>
              <w:adjustRightInd w:val="0"/>
              <w:spacing w:before="120" w:after="120" w:line="240" w:lineRule="auto"/>
              <w:jc w:val="both"/>
              <w:rPr>
                <w:rFonts w:eastAsiaTheme="minorEastAsia" w:cs="Times New Roman"/>
                <w:color w:val="000000"/>
                <w:szCs w:val="24"/>
                <w:lang w:eastAsia="pt-BR"/>
              </w:rPr>
            </w:pPr>
            <w:r w:rsidRPr="00C92BF5">
              <w:rPr>
                <w:rFonts w:eastAsiaTheme="minorEastAsia" w:cs="Times New Roman"/>
                <w:color w:val="000000"/>
                <w:szCs w:val="24"/>
                <w:lang w:eastAsia="pt-BR"/>
              </w:rPr>
              <w:t xml:space="preserve">Parques, cemitérios; subúrbio com pequena densidade de construção, áreas rurais. </w:t>
            </w:r>
          </w:p>
          <w:p w:rsidR="00E32574" w:rsidRPr="00C92BF5" w:rsidRDefault="00E32574" w:rsidP="008E5D92">
            <w:pPr>
              <w:widowControl w:val="0"/>
              <w:autoSpaceDE w:val="0"/>
              <w:autoSpaceDN w:val="0"/>
              <w:adjustRightInd w:val="0"/>
              <w:spacing w:before="120" w:after="120" w:line="240" w:lineRule="auto"/>
              <w:jc w:val="both"/>
              <w:rPr>
                <w:rFonts w:eastAsiaTheme="minorEastAsia" w:cs="Times New Roman"/>
                <w:color w:val="000000"/>
                <w:szCs w:val="24"/>
                <w:lang w:eastAsia="pt-BR"/>
              </w:rPr>
            </w:pPr>
            <w:r w:rsidRPr="00C92BF5">
              <w:rPr>
                <w:rFonts w:eastAsiaTheme="minorEastAsia" w:cs="Times New Roman"/>
                <w:color w:val="000000"/>
                <w:szCs w:val="24"/>
                <w:lang w:eastAsia="pt-BR"/>
              </w:rPr>
              <w:t>Playgrounds.</w:t>
            </w:r>
          </w:p>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Pátios ferroviários</w:t>
            </w:r>
          </w:p>
          <w:p w:rsidR="00E32574" w:rsidRPr="00C92BF5" w:rsidRDefault="00E32574" w:rsidP="008E5D92">
            <w:pPr>
              <w:widowControl w:val="0"/>
              <w:autoSpaceDE w:val="0"/>
              <w:autoSpaceDN w:val="0"/>
              <w:adjustRightInd w:val="0"/>
              <w:spacing w:before="120" w:after="120" w:line="240" w:lineRule="auto"/>
              <w:rPr>
                <w:rFonts w:eastAsiaTheme="minorEastAsia" w:cs="Times New Roman"/>
                <w:color w:val="000000"/>
                <w:szCs w:val="24"/>
                <w:lang w:eastAsia="pt-BR"/>
              </w:rPr>
            </w:pPr>
            <w:r w:rsidRPr="00C92BF5">
              <w:rPr>
                <w:rFonts w:eastAsiaTheme="minorEastAsia" w:cs="Times New Roman"/>
                <w:color w:val="000000"/>
                <w:szCs w:val="24"/>
                <w:lang w:eastAsia="pt-BR"/>
              </w:rPr>
              <w:t>Áreas sem melhoramentos</w:t>
            </w:r>
          </w:p>
        </w:tc>
        <w:tc>
          <w:tcPr>
            <w:tcW w:w="1837" w:type="dxa"/>
            <w:tcBorders>
              <w:top w:val="single" w:sz="8" w:space="0" w:color="000000"/>
              <w:left w:val="single" w:sz="6" w:space="0" w:color="000000"/>
              <w:bottom w:val="single" w:sz="8" w:space="0" w:color="000000"/>
              <w:right w:val="single" w:sz="2" w:space="0" w:color="000000"/>
            </w:tcBorders>
            <w:vAlign w:val="center"/>
          </w:tcPr>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0,05 – 0,20</w:t>
            </w:r>
          </w:p>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p>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0,10 - 0,25</w:t>
            </w:r>
          </w:p>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p>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0,20 - 0,35</w:t>
            </w:r>
          </w:p>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0,20 - 0,40</w:t>
            </w:r>
          </w:p>
          <w:p w:rsidR="00E32574" w:rsidRPr="00C92BF5" w:rsidRDefault="00E32574" w:rsidP="008E5D92">
            <w:pPr>
              <w:widowControl w:val="0"/>
              <w:autoSpaceDE w:val="0"/>
              <w:autoSpaceDN w:val="0"/>
              <w:adjustRightInd w:val="0"/>
              <w:spacing w:before="120" w:after="120" w:line="240" w:lineRule="auto"/>
              <w:jc w:val="center"/>
              <w:rPr>
                <w:rFonts w:eastAsiaTheme="minorEastAsia" w:cs="Times New Roman"/>
                <w:color w:val="000000"/>
                <w:szCs w:val="24"/>
                <w:lang w:eastAsia="pt-BR"/>
              </w:rPr>
            </w:pPr>
            <w:r w:rsidRPr="00C92BF5">
              <w:rPr>
                <w:rFonts w:eastAsiaTheme="minorEastAsia" w:cs="Times New Roman"/>
                <w:color w:val="000000"/>
                <w:szCs w:val="24"/>
                <w:lang w:eastAsia="pt-BR"/>
              </w:rPr>
              <w:t>0,10 - 0,30</w:t>
            </w:r>
          </w:p>
        </w:tc>
      </w:tr>
    </w:tbl>
    <w:p w:rsidR="008E5D92" w:rsidRDefault="008E5D92" w:rsidP="005B71E7">
      <w:pPr>
        <w:pStyle w:val="TituloFiguras"/>
        <w:rPr>
          <w:rFonts w:cs="Arial"/>
          <w:b/>
          <w:bCs w:val="0"/>
        </w:rPr>
      </w:pPr>
      <w:r>
        <w:t>Fonte: Tucci (1998)</w:t>
      </w:r>
      <w:r>
        <w:br w:type="page"/>
      </w:r>
    </w:p>
    <w:p w:rsidR="00E32574" w:rsidRPr="00C92BF5" w:rsidRDefault="008E5D92" w:rsidP="00971B37">
      <w:pPr>
        <w:pStyle w:val="Titulo"/>
      </w:pPr>
      <w:bookmarkStart w:id="688" w:name="_Toc372559197"/>
      <w:bookmarkStart w:id="689" w:name="_Toc372789628"/>
      <w:r>
        <w:lastRenderedPageBreak/>
        <w:t>1</w:t>
      </w:r>
      <w:r w:rsidR="00031935">
        <w:t>4</w:t>
      </w:r>
      <w:r>
        <w:t xml:space="preserve">.6 </w:t>
      </w:r>
      <w:r w:rsidR="00A369F0">
        <w:t>Drenagem Urbana e</w:t>
      </w:r>
      <w:r w:rsidRPr="00C92BF5">
        <w:t>m Microbacias</w:t>
      </w:r>
      <w:bookmarkEnd w:id="688"/>
      <w:bookmarkEnd w:id="689"/>
    </w:p>
    <w:p w:rsidR="00E32574" w:rsidRPr="00C92BF5" w:rsidRDefault="00E32574" w:rsidP="008E5D92">
      <w:pPr>
        <w:spacing w:after="0" w:line="360" w:lineRule="auto"/>
        <w:ind w:firstLine="709"/>
        <w:jc w:val="both"/>
        <w:rPr>
          <w:rFonts w:cs="Times New Roman"/>
          <w:szCs w:val="24"/>
        </w:rPr>
      </w:pPr>
      <w:r w:rsidRPr="00C92BF5">
        <w:rPr>
          <w:rFonts w:cs="Times New Roman"/>
          <w:szCs w:val="24"/>
        </w:rPr>
        <w:t>Para os cálculos do sistema de microdrenagem, sugere-se a adoção da delimitação de pequenas bacias urbanas. Para isso, foi realizado o mapeamento destas microbacias para o Plano Municipal de Saneamento Básico de Aimorés</w:t>
      </w:r>
      <w:r w:rsidRPr="008E5D92">
        <w:rPr>
          <w:rFonts w:cs="Times New Roman"/>
          <w:szCs w:val="24"/>
        </w:rPr>
        <w:t xml:space="preserve">. A Figura </w:t>
      </w:r>
      <w:r w:rsidR="008E5D92" w:rsidRPr="008E5D92">
        <w:rPr>
          <w:rFonts w:cs="Times New Roman"/>
          <w:szCs w:val="24"/>
        </w:rPr>
        <w:t>1</w:t>
      </w:r>
      <w:r w:rsidR="008E5D92">
        <w:rPr>
          <w:rFonts w:cs="Times New Roman"/>
          <w:szCs w:val="24"/>
        </w:rPr>
        <w:t>8</w:t>
      </w:r>
      <w:r w:rsidR="008E5D92" w:rsidRPr="008E5D92">
        <w:rPr>
          <w:rFonts w:cs="Times New Roman"/>
          <w:szCs w:val="24"/>
        </w:rPr>
        <w:t>4</w:t>
      </w:r>
      <w:r w:rsidRPr="00C92BF5">
        <w:rPr>
          <w:rFonts w:cs="Times New Roman"/>
          <w:szCs w:val="24"/>
        </w:rPr>
        <w:t xml:space="preserve"> ilustra as microbacias.</w:t>
      </w:r>
    </w:p>
    <w:p w:rsidR="00E32574" w:rsidRPr="00C92BF5" w:rsidRDefault="00E32574" w:rsidP="008E5D92">
      <w:pPr>
        <w:spacing w:after="0" w:line="360" w:lineRule="auto"/>
        <w:ind w:firstLine="709"/>
        <w:jc w:val="both"/>
        <w:rPr>
          <w:rFonts w:cs="Times New Roman"/>
          <w:szCs w:val="24"/>
        </w:rPr>
      </w:pPr>
      <w:r w:rsidRPr="00C92BF5">
        <w:rPr>
          <w:rFonts w:cs="Times New Roman"/>
          <w:szCs w:val="24"/>
        </w:rPr>
        <w:t>Os estudos de precipitação são aplicados à quantificação do escoamento superficial, sendo aferidos por alguns métodos de avaliação.</w:t>
      </w:r>
    </w:p>
    <w:p w:rsidR="00E32574" w:rsidRDefault="00E32574" w:rsidP="008E5D92">
      <w:pPr>
        <w:spacing w:after="0" w:line="360" w:lineRule="auto"/>
        <w:ind w:firstLine="709"/>
        <w:jc w:val="both"/>
        <w:rPr>
          <w:rFonts w:cs="Times New Roman"/>
          <w:szCs w:val="24"/>
        </w:rPr>
      </w:pPr>
      <w:r w:rsidRPr="00C92BF5">
        <w:rPr>
          <w:rFonts w:cs="Times New Roman"/>
          <w:szCs w:val="24"/>
        </w:rPr>
        <w:t>A metodologia de cálculos hidrológicos para determinação das vazões de projeto será definida em função das áreas das bacias hidrográficas, conforme indicadas a seguir:</w:t>
      </w:r>
    </w:p>
    <w:p w:rsidR="00E32574" w:rsidRPr="00C92BF5" w:rsidRDefault="00E32574" w:rsidP="0053477A">
      <w:pPr>
        <w:pStyle w:val="PargrafodaLista"/>
        <w:numPr>
          <w:ilvl w:val="0"/>
          <w:numId w:val="48"/>
        </w:numPr>
        <w:spacing w:after="0" w:line="360" w:lineRule="auto"/>
        <w:ind w:left="567" w:hanging="283"/>
        <w:rPr>
          <w:rFonts w:cs="Times New Roman"/>
          <w:szCs w:val="24"/>
        </w:rPr>
      </w:pPr>
      <w:r w:rsidRPr="00C92BF5">
        <w:rPr>
          <w:rFonts w:cs="Times New Roman"/>
          <w:szCs w:val="24"/>
        </w:rPr>
        <w:t xml:space="preserve">Método Racional para bacias hidrográficas com áreas inferiores a &lt; 1,0 Km²; </w:t>
      </w:r>
    </w:p>
    <w:p w:rsidR="00E32574" w:rsidRPr="00C92BF5" w:rsidRDefault="00E32574" w:rsidP="0053477A">
      <w:pPr>
        <w:pStyle w:val="PargrafodaLista"/>
        <w:numPr>
          <w:ilvl w:val="0"/>
          <w:numId w:val="48"/>
        </w:numPr>
        <w:spacing w:after="0" w:line="360" w:lineRule="auto"/>
        <w:ind w:left="567" w:hanging="283"/>
        <w:rPr>
          <w:rFonts w:cs="Times New Roman"/>
          <w:szCs w:val="24"/>
        </w:rPr>
      </w:pPr>
      <w:r w:rsidRPr="00C92BF5">
        <w:rPr>
          <w:rFonts w:cs="Times New Roman"/>
          <w:szCs w:val="24"/>
        </w:rPr>
        <w:t xml:space="preserve">Método do </w:t>
      </w:r>
      <w:r w:rsidRPr="00466071">
        <w:rPr>
          <w:rFonts w:cs="Times New Roman"/>
          <w:i/>
          <w:szCs w:val="24"/>
        </w:rPr>
        <w:t>Ven Te Chow</w:t>
      </w:r>
      <w:r w:rsidRPr="00C92BF5">
        <w:rPr>
          <w:rFonts w:cs="Times New Roman"/>
          <w:szCs w:val="24"/>
        </w:rPr>
        <w:t xml:space="preserve"> ou </w:t>
      </w:r>
      <w:r w:rsidRPr="00466071">
        <w:rPr>
          <w:rFonts w:cs="Times New Roman"/>
          <w:i/>
          <w:szCs w:val="24"/>
        </w:rPr>
        <w:t>U.S. Soil Conservation Service</w:t>
      </w:r>
      <w:r w:rsidRPr="00C92BF5">
        <w:rPr>
          <w:rFonts w:cs="Times New Roman"/>
          <w:szCs w:val="24"/>
        </w:rPr>
        <w:t xml:space="preserve"> para bacias hidrográficas com áreas superiores &gt; 1,0 Km². </w:t>
      </w:r>
    </w:p>
    <w:p w:rsidR="00581F79" w:rsidRPr="008E5D92" w:rsidRDefault="00291A25" w:rsidP="00291A25">
      <w:pPr>
        <w:pStyle w:val="Legenda"/>
        <w:rPr>
          <w:b w:val="0"/>
        </w:rPr>
      </w:pPr>
      <w:bookmarkStart w:id="690" w:name="_Toc372740267"/>
      <w:r>
        <w:t xml:space="preserve">Figura </w:t>
      </w:r>
      <w:fldSimple w:instr=" SEQ Figura \* ARABIC ">
        <w:r w:rsidR="004F77E2">
          <w:rPr>
            <w:noProof/>
          </w:rPr>
          <w:t>184</w:t>
        </w:r>
      </w:fldSimple>
      <w:r>
        <w:t xml:space="preserve"> - </w:t>
      </w:r>
      <w:r w:rsidRPr="00071DD3">
        <w:t>Microbacias do município de Aimorés.</w:t>
      </w:r>
      <w:bookmarkEnd w:id="690"/>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5723068" cy="3474720"/>
            <wp:effectExtent l="0" t="0" r="0" b="0"/>
            <wp:docPr id="223" name="Imagem 223" descr="C:\Users\KLEBER\Desktop\MAPAS_ENTREGAR_PRONTOS\7_microdrenag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LEBER\Desktop\MAPAS_ENTREGAR_PRONTOS\7_microdrenagem.jpg"/>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730381" cy="3479160"/>
                    </a:xfrm>
                    <a:prstGeom prst="rect">
                      <a:avLst/>
                    </a:prstGeom>
                    <a:noFill/>
                    <a:ln>
                      <a:noFill/>
                    </a:ln>
                  </pic:spPr>
                </pic:pic>
              </a:graphicData>
            </a:graphic>
          </wp:inline>
        </w:drawing>
      </w:r>
    </w:p>
    <w:p w:rsidR="00E32574" w:rsidRPr="008E5D92" w:rsidRDefault="008E5D92" w:rsidP="00D86A05">
      <w:pPr>
        <w:spacing w:before="120"/>
        <w:rPr>
          <w:rFonts w:cs="Times New Roman"/>
          <w:sz w:val="20"/>
          <w:szCs w:val="20"/>
        </w:rPr>
      </w:pPr>
      <w:r w:rsidRPr="008E5D92">
        <w:rPr>
          <w:rFonts w:cs="Times New Roman"/>
          <w:sz w:val="20"/>
          <w:szCs w:val="20"/>
        </w:rPr>
        <w:t>Fonte: Fundação Educacional de Caratinga, 2013</w:t>
      </w:r>
    </w:p>
    <w:p w:rsidR="00D86A05" w:rsidRDefault="00D86A05">
      <w:pPr>
        <w:spacing w:after="200" w:line="276" w:lineRule="auto"/>
        <w:rPr>
          <w:rFonts w:eastAsiaTheme="minorEastAsia" w:cs="Arial"/>
          <w:b/>
          <w:bCs/>
          <w:lang w:eastAsia="pt-BR"/>
        </w:rPr>
      </w:pPr>
      <w:r>
        <w:br w:type="page"/>
      </w:r>
    </w:p>
    <w:p w:rsidR="00E32574" w:rsidRPr="00C92BF5" w:rsidRDefault="008E5D92" w:rsidP="00971B37">
      <w:pPr>
        <w:pStyle w:val="Titulo"/>
      </w:pPr>
      <w:bookmarkStart w:id="691" w:name="_Toc372559198"/>
      <w:bookmarkStart w:id="692" w:name="_Toc372789629"/>
      <w:r>
        <w:lastRenderedPageBreak/>
        <w:t>1</w:t>
      </w:r>
      <w:r w:rsidR="00031935">
        <w:t>4</w:t>
      </w:r>
      <w:r>
        <w:t>.7</w:t>
      </w:r>
      <w:r w:rsidRPr="00C92BF5">
        <w:t xml:space="preserve"> Microdrenagem: Cenário Existente</w:t>
      </w:r>
      <w:bookmarkEnd w:id="691"/>
      <w:bookmarkEnd w:id="692"/>
    </w:p>
    <w:p w:rsidR="00E32574" w:rsidRPr="00C92BF5" w:rsidRDefault="00E32574" w:rsidP="00D86A05">
      <w:pPr>
        <w:spacing w:after="0" w:line="360" w:lineRule="auto"/>
        <w:ind w:firstLine="709"/>
        <w:jc w:val="both"/>
        <w:rPr>
          <w:rFonts w:cs="Times New Roman"/>
          <w:szCs w:val="24"/>
        </w:rPr>
      </w:pPr>
      <w:r w:rsidRPr="00D86A05">
        <w:rPr>
          <w:rFonts w:cs="Times New Roman"/>
          <w:szCs w:val="24"/>
        </w:rPr>
        <w:t xml:space="preserve">O município de Aimorés não apresenta plano de manutenção e ampliação das redes pluviais. Apesar de possuir os equipamentos necessários para operação, os serviços de limpeza são feitos conforme a demanda. Consequentemente, o sistema possui diversas áreas caracterizadas como ponto extravasamento (gargalos) (Figura </w:t>
      </w:r>
      <w:r w:rsidR="00D86A05">
        <w:rPr>
          <w:rFonts w:cs="Times New Roman"/>
          <w:szCs w:val="24"/>
        </w:rPr>
        <w:t>185</w:t>
      </w:r>
      <w:r w:rsidRPr="00D86A05">
        <w:rPr>
          <w:rFonts w:cs="Times New Roman"/>
          <w:szCs w:val="24"/>
        </w:rPr>
        <w:t>) das redes em função de sua obstrução, ocasionada pelo arraste de sedimentos e diversos tipos de resíduos oriundos do comércio e residências lixo para o interior das galerias (microdrenagem).</w:t>
      </w:r>
    </w:p>
    <w:p w:rsidR="00121866" w:rsidRPr="00C92BF5" w:rsidRDefault="00291A25" w:rsidP="00291A25">
      <w:pPr>
        <w:pStyle w:val="Legenda"/>
      </w:pPr>
      <w:bookmarkStart w:id="693" w:name="_Toc372740268"/>
      <w:r>
        <w:t xml:space="preserve">Figura </w:t>
      </w:r>
      <w:fldSimple w:instr=" SEQ Figura \* ARABIC ">
        <w:r w:rsidR="004F77E2">
          <w:rPr>
            <w:noProof/>
          </w:rPr>
          <w:t>185</w:t>
        </w:r>
      </w:fldSimple>
      <w:r>
        <w:t xml:space="preserve"> - </w:t>
      </w:r>
      <w:r w:rsidRPr="00336EC4">
        <w:rPr>
          <w:noProof/>
        </w:rPr>
        <w:t>Avenida Brasil sem drenagem pluvial toda água precipitada escoa pela mesma.</w:t>
      </w:r>
      <w:bookmarkEnd w:id="693"/>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787849" cy="3591763"/>
            <wp:effectExtent l="0" t="0" r="0" b="8890"/>
            <wp:docPr id="224" name="Imagem 224" descr="C:\Users\KLEBER\Desktop\FOTOS_FINAL\DSCF4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LEBER\Desktop\FOTOS_FINAL\DSCF4611.JPG"/>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4807372" cy="3606409"/>
                    </a:xfrm>
                    <a:prstGeom prst="rect">
                      <a:avLst/>
                    </a:prstGeom>
                    <a:noFill/>
                    <a:ln>
                      <a:noFill/>
                    </a:ln>
                  </pic:spPr>
                </pic:pic>
              </a:graphicData>
            </a:graphic>
          </wp:inline>
        </w:drawing>
      </w:r>
    </w:p>
    <w:p w:rsidR="00D86A05" w:rsidRPr="008E5D92" w:rsidRDefault="00D86A05" w:rsidP="00D86A05">
      <w:pPr>
        <w:spacing w:before="120"/>
        <w:ind w:left="567"/>
        <w:rPr>
          <w:rFonts w:cs="Times New Roman"/>
          <w:sz w:val="20"/>
          <w:szCs w:val="20"/>
        </w:rPr>
      </w:pPr>
      <w:r w:rsidRPr="008E5D92">
        <w:rPr>
          <w:rFonts w:cs="Times New Roman"/>
          <w:sz w:val="20"/>
          <w:szCs w:val="20"/>
        </w:rPr>
        <w:t>Fonte: Fundação Educacional de Caratinga, 2013</w:t>
      </w:r>
    </w:p>
    <w:p w:rsidR="00E32574" w:rsidRPr="00C92BF5" w:rsidRDefault="00E32574" w:rsidP="00D86A05">
      <w:pPr>
        <w:spacing w:after="0" w:line="360" w:lineRule="auto"/>
        <w:ind w:firstLine="709"/>
        <w:jc w:val="both"/>
        <w:rPr>
          <w:rFonts w:cs="Times New Roman"/>
          <w:szCs w:val="24"/>
        </w:rPr>
      </w:pPr>
      <w:r w:rsidRPr="00C92BF5">
        <w:rPr>
          <w:rFonts w:cs="Times New Roman"/>
          <w:szCs w:val="24"/>
        </w:rPr>
        <w:t xml:space="preserve">Outro problema grave está atrelado ao fato de não existirem análises constantes quanto às características químicas e biológicas nos pontos de lançamento dos emissários pluviais. Dessa forma, é importante a realização de um levantamento destes pontos de emissão de águas pluviais para saber suas condições, uma vez que são pontos potenciais de poluição difusa, erosão e assoreamento de cursos d’água. </w:t>
      </w:r>
    </w:p>
    <w:p w:rsidR="00E32574" w:rsidRPr="00C92BF5" w:rsidRDefault="00E32574" w:rsidP="00D86A05">
      <w:pPr>
        <w:spacing w:after="0" w:line="360" w:lineRule="auto"/>
        <w:ind w:firstLine="709"/>
        <w:jc w:val="both"/>
        <w:rPr>
          <w:rFonts w:cs="Times New Roman"/>
          <w:szCs w:val="24"/>
        </w:rPr>
      </w:pPr>
      <w:r w:rsidRPr="00C92BF5">
        <w:rPr>
          <w:rFonts w:cs="Times New Roman"/>
          <w:szCs w:val="24"/>
        </w:rPr>
        <w:lastRenderedPageBreak/>
        <w:t>Qualquer atividade poluidora que ocorrer na área urbana e tiver seus resíduos carreados através da drenagem urbana, serão consequentemente depositados nos rios que são seus receptores naturais.</w:t>
      </w:r>
    </w:p>
    <w:p w:rsidR="00E32574" w:rsidRPr="00C92BF5" w:rsidRDefault="00E32574" w:rsidP="00D86A05">
      <w:pPr>
        <w:spacing w:after="0" w:line="360" w:lineRule="auto"/>
        <w:ind w:firstLine="709"/>
        <w:jc w:val="both"/>
        <w:rPr>
          <w:rFonts w:cs="Times New Roman"/>
          <w:szCs w:val="24"/>
        </w:rPr>
      </w:pPr>
      <w:r w:rsidRPr="00C92BF5">
        <w:rPr>
          <w:rFonts w:cs="Times New Roman"/>
          <w:szCs w:val="24"/>
        </w:rPr>
        <w:t xml:space="preserve">Pode-se citar, da mesma forma, a quantidade de efluentes domésticos que são lançados nas redes de drenagem do município, pois ainda não foram instaladas as redes interceptoras que direcionariam os mesmos para o tratamento. Em relação aos efluentes domésticos, é necessário considerar que existem domicílios no municípios de Aimorés que não estão ligados às redes coletoras de esgoto, lançando os efluentes na rede de drenagem, fossas negras ou em pequenos cursos d’água </w:t>
      </w:r>
      <w:r w:rsidRPr="00D86A05">
        <w:rPr>
          <w:rFonts w:cs="Times New Roman"/>
          <w:szCs w:val="24"/>
        </w:rPr>
        <w:t>(Figura</w:t>
      </w:r>
      <w:r w:rsidR="00D86A05" w:rsidRPr="00D86A05">
        <w:rPr>
          <w:rFonts w:cs="Times New Roman"/>
          <w:szCs w:val="24"/>
        </w:rPr>
        <w:t xml:space="preserve"> 186</w:t>
      </w:r>
      <w:r w:rsidRPr="00D86A05">
        <w:rPr>
          <w:rFonts w:cs="Times New Roman"/>
          <w:szCs w:val="24"/>
        </w:rPr>
        <w:t>).</w:t>
      </w:r>
    </w:p>
    <w:p w:rsidR="005B295F" w:rsidRPr="003E1CEC" w:rsidRDefault="00291A25" w:rsidP="00291A25">
      <w:pPr>
        <w:pStyle w:val="Legenda"/>
      </w:pPr>
      <w:bookmarkStart w:id="694" w:name="_Toc372740269"/>
      <w:r>
        <w:t xml:space="preserve">Figura </w:t>
      </w:r>
      <w:fldSimple w:instr=" SEQ Figura \* ARABIC ">
        <w:r w:rsidR="004F77E2">
          <w:rPr>
            <w:noProof/>
          </w:rPr>
          <w:t>186</w:t>
        </w:r>
      </w:fldSimple>
      <w:r>
        <w:t xml:space="preserve"> - </w:t>
      </w:r>
      <w:r w:rsidRPr="00357485">
        <w:rPr>
          <w:noProof/>
        </w:rPr>
        <w:t>Lançamento de esgoto in natura no córrego do Perdido na Rua Sercundino Cipriano – Distrito de Alto Capim – Aimorés.</w:t>
      </w:r>
      <w:bookmarkEnd w:id="694"/>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681728" cy="3511296"/>
            <wp:effectExtent l="0" t="0" r="5080" b="0"/>
            <wp:docPr id="225" name="Imagem 225" descr="C:\Users\KLEBER\Desktop\FOTOS_FINAL\Fotos Esgoto Distritos\Alto Capim\Foto 3 - Alto Capim -   Ponto 178 Lançamento de esgoto in natura no córrego do Perdido na Rua Sercundino Cipria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LEBER\Desktop\FOTOS_FINAL\Fotos Esgoto Distritos\Alto Capim\Foto 3 - Alto Capim -   Ponto 178 Lançamento de esgoto in natura no córrego do Perdido na Rua Sercundino Cipriano.JPG"/>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4689059" cy="3516794"/>
                    </a:xfrm>
                    <a:prstGeom prst="rect">
                      <a:avLst/>
                    </a:prstGeom>
                    <a:noFill/>
                    <a:ln>
                      <a:noFill/>
                    </a:ln>
                  </pic:spPr>
                </pic:pic>
              </a:graphicData>
            </a:graphic>
          </wp:inline>
        </w:drawing>
      </w:r>
    </w:p>
    <w:p w:rsidR="00D86A05" w:rsidRPr="008E5D92" w:rsidRDefault="00D86A05" w:rsidP="00D86A05">
      <w:pPr>
        <w:spacing w:before="120"/>
        <w:ind w:left="567"/>
        <w:rPr>
          <w:rFonts w:cs="Times New Roman"/>
          <w:sz w:val="20"/>
          <w:szCs w:val="20"/>
        </w:rPr>
      </w:pPr>
      <w:r w:rsidRPr="008E5D92">
        <w:rPr>
          <w:rFonts w:cs="Times New Roman"/>
          <w:sz w:val="20"/>
          <w:szCs w:val="20"/>
        </w:rPr>
        <w:t>Fonte: Fundação Educacional de Caratinga, 2013</w:t>
      </w:r>
    </w:p>
    <w:p w:rsidR="005B295F" w:rsidRDefault="00E32574" w:rsidP="00D86A05">
      <w:pPr>
        <w:spacing w:after="0" w:line="360" w:lineRule="auto"/>
        <w:ind w:firstLine="709"/>
        <w:jc w:val="both"/>
        <w:rPr>
          <w:rFonts w:eastAsiaTheme="minorEastAsia" w:cs="Times New Roman"/>
          <w:bCs/>
          <w:szCs w:val="24"/>
          <w:highlight w:val="yellow"/>
          <w:lang w:eastAsia="pt-BR"/>
        </w:rPr>
      </w:pPr>
      <w:r w:rsidRPr="00D86A05">
        <w:rPr>
          <w:rFonts w:cs="Times New Roman"/>
          <w:szCs w:val="24"/>
        </w:rPr>
        <w:t xml:space="preserve">Outro problema que foi detectado nos períodos de chuva é lançamento das águas de precipitação nas redes coletoras de esgoto ou vice-versa, podendo ocasionar sérios problemas de saúde </w:t>
      </w:r>
      <w:r w:rsidR="00466071" w:rsidRPr="00D86A05">
        <w:rPr>
          <w:rFonts w:cs="Times New Roman"/>
          <w:szCs w:val="24"/>
        </w:rPr>
        <w:t>à</w:t>
      </w:r>
      <w:r w:rsidRPr="00D86A05">
        <w:rPr>
          <w:rFonts w:cs="Times New Roman"/>
          <w:szCs w:val="24"/>
        </w:rPr>
        <w:t xml:space="preserve"> população devido ao contato direto ou pelas partículas em suspensão após secarem os sedimentos que ficam pelas ruas da cidade e distritos (Figura</w:t>
      </w:r>
      <w:r w:rsidR="00D86A05">
        <w:rPr>
          <w:rFonts w:cs="Times New Roman"/>
          <w:szCs w:val="24"/>
        </w:rPr>
        <w:t xml:space="preserve"> 187</w:t>
      </w:r>
      <w:r w:rsidRPr="00D86A05">
        <w:rPr>
          <w:rFonts w:cs="Times New Roman"/>
          <w:szCs w:val="24"/>
        </w:rPr>
        <w:t>).</w:t>
      </w:r>
    </w:p>
    <w:p w:rsidR="005B295F" w:rsidRPr="00C92BF5" w:rsidRDefault="00291A25" w:rsidP="00291A25">
      <w:pPr>
        <w:pStyle w:val="Legenda"/>
      </w:pPr>
      <w:bookmarkStart w:id="695" w:name="_Toc372740270"/>
      <w:r>
        <w:lastRenderedPageBreak/>
        <w:t xml:space="preserve">Figura </w:t>
      </w:r>
      <w:fldSimple w:instr=" SEQ Figura \* ARABIC ">
        <w:r w:rsidR="004F77E2">
          <w:rPr>
            <w:noProof/>
          </w:rPr>
          <w:t>187</w:t>
        </w:r>
      </w:fldSimple>
      <w:r>
        <w:t xml:space="preserve"> - </w:t>
      </w:r>
      <w:r w:rsidRPr="00B91C94">
        <w:rPr>
          <w:noProof/>
        </w:rPr>
        <w:t xml:space="preserve">Ponto lançamento de esgoto na rede pluvial rua Ailton Pereira da Costa </w:t>
      </w:r>
      <w:r>
        <w:rPr>
          <w:noProof/>
        </w:rPr>
        <w:t xml:space="preserve">n° </w:t>
      </w:r>
      <w:r w:rsidRPr="00B91C94">
        <w:rPr>
          <w:noProof/>
        </w:rPr>
        <w:t>152.</w:t>
      </w:r>
      <w:bookmarkEnd w:id="695"/>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418381" cy="3313786"/>
            <wp:effectExtent l="0" t="0" r="1270" b="1270"/>
            <wp:docPr id="226" name="Imagem 226" descr="C:\Users\KLEBER\Desktop\FOTOS_FINAL\FOTOS KLEBER\Foto 119 Ponto 150 Lançamento de esgoto na rede pluvial rua Ailton Pereira da Costa 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LEBER\Desktop\FOTOS_FINAL\FOTOS KLEBER\Foto 119 Ponto 150 Lançamento de esgoto na rede pluvial rua Ailton Pereira da Costa 152.JPG"/>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421497" cy="3316123"/>
                    </a:xfrm>
                    <a:prstGeom prst="rect">
                      <a:avLst/>
                    </a:prstGeom>
                    <a:noFill/>
                    <a:ln>
                      <a:noFill/>
                    </a:ln>
                  </pic:spPr>
                </pic:pic>
              </a:graphicData>
            </a:graphic>
          </wp:inline>
        </w:drawing>
      </w:r>
    </w:p>
    <w:p w:rsidR="007A6FD6" w:rsidRPr="008E5D92" w:rsidRDefault="007A6FD6" w:rsidP="00466071">
      <w:pPr>
        <w:spacing w:before="120"/>
        <w:ind w:left="709"/>
        <w:rPr>
          <w:rFonts w:cs="Times New Roman"/>
          <w:sz w:val="20"/>
          <w:szCs w:val="20"/>
        </w:rPr>
      </w:pPr>
      <w:r w:rsidRPr="008E5D92">
        <w:rPr>
          <w:rFonts w:cs="Times New Roman"/>
          <w:sz w:val="20"/>
          <w:szCs w:val="20"/>
        </w:rPr>
        <w:t>Fonte: Fundação Educacional de Caratinga, 2013</w:t>
      </w:r>
    </w:p>
    <w:p w:rsidR="00E32574" w:rsidRPr="00C92BF5" w:rsidRDefault="00E32574" w:rsidP="00BC05F5">
      <w:pPr>
        <w:spacing w:after="0" w:line="360" w:lineRule="auto"/>
        <w:ind w:firstLine="709"/>
        <w:jc w:val="both"/>
        <w:rPr>
          <w:rFonts w:cs="Times New Roman"/>
          <w:szCs w:val="24"/>
        </w:rPr>
      </w:pPr>
      <w:r w:rsidRPr="00C92BF5">
        <w:rPr>
          <w:rFonts w:cs="Times New Roman"/>
          <w:szCs w:val="24"/>
        </w:rPr>
        <w:t xml:space="preserve">Outro problema atrelado ás paisagens urbana e rural de Aimorés, e com mais intensidade nos distritos, é a geração de sedimentos oriundos de processos morfodinâmicos, que ocasionam o assoreamento e poluição (arraste de material orgânico e provenientes de agroquímicos) dos mananciais necessários ao abastecimento humano </w:t>
      </w:r>
      <w:r w:rsidRPr="00BC05F5">
        <w:rPr>
          <w:rFonts w:cs="Times New Roman"/>
          <w:szCs w:val="24"/>
        </w:rPr>
        <w:t xml:space="preserve">(Figura </w:t>
      </w:r>
      <w:r w:rsidR="00BC05F5" w:rsidRPr="00BC05F5">
        <w:rPr>
          <w:rFonts w:cs="Times New Roman"/>
          <w:szCs w:val="24"/>
        </w:rPr>
        <w:t>188</w:t>
      </w:r>
      <w:r w:rsidRPr="00BC05F5">
        <w:rPr>
          <w:rFonts w:cs="Times New Roman"/>
          <w:szCs w:val="24"/>
        </w:rPr>
        <w:t>).</w:t>
      </w:r>
    </w:p>
    <w:p w:rsidR="00E32574" w:rsidRPr="00C92BF5" w:rsidRDefault="00E32574" w:rsidP="00BC05F5">
      <w:pPr>
        <w:spacing w:after="0" w:line="360" w:lineRule="auto"/>
        <w:ind w:firstLine="709"/>
        <w:jc w:val="both"/>
        <w:rPr>
          <w:rFonts w:cs="Times New Roman"/>
          <w:szCs w:val="24"/>
        </w:rPr>
      </w:pPr>
    </w:p>
    <w:p w:rsidR="005B295F" w:rsidRDefault="005B295F">
      <w:pPr>
        <w:spacing w:after="200" w:line="276" w:lineRule="auto"/>
        <w:rPr>
          <w:rFonts w:eastAsiaTheme="minorEastAsia" w:cs="Times New Roman"/>
          <w:bCs/>
          <w:szCs w:val="24"/>
          <w:highlight w:val="yellow"/>
          <w:lang w:eastAsia="pt-BR"/>
        </w:rPr>
      </w:pPr>
      <w:r>
        <w:rPr>
          <w:highlight w:val="yellow"/>
        </w:rPr>
        <w:br w:type="page"/>
      </w:r>
    </w:p>
    <w:p w:rsidR="005B295F" w:rsidRPr="00C92BF5" w:rsidRDefault="00291A25" w:rsidP="00291A25">
      <w:pPr>
        <w:pStyle w:val="Legenda"/>
      </w:pPr>
      <w:bookmarkStart w:id="696" w:name="_Toc372740271"/>
      <w:r>
        <w:lastRenderedPageBreak/>
        <w:t xml:space="preserve">Figura </w:t>
      </w:r>
      <w:fldSimple w:instr=" SEQ Figura \* ARABIC ">
        <w:r w:rsidR="004F77E2">
          <w:rPr>
            <w:noProof/>
          </w:rPr>
          <w:t>188</w:t>
        </w:r>
      </w:fldSimple>
      <w:r>
        <w:t xml:space="preserve"> - </w:t>
      </w:r>
      <w:r w:rsidRPr="00BE6B0C">
        <w:rPr>
          <w:noProof/>
        </w:rPr>
        <w:t>Grande carga de sedimento e lançamento de esgoto in natura no Córrego do Chucha - Galeria ao lado da Parada Biribas.</w:t>
      </w:r>
      <w:bookmarkEnd w:id="696"/>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308668" cy="3231502"/>
            <wp:effectExtent l="19050" t="0" r="0" b="0"/>
            <wp:docPr id="227" name="Imagem 227" descr="C:\Users\KLEBER\Desktop\FOTOS_FINAL\FOTOS KLEBER\Foto 85 Ponto 135  Lançamento de esgoto in natura no Córrego do Xuxa - Galeria ao lado da Parada Birib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LEBER\Desktop\FOTOS_FINAL\FOTOS KLEBER\Foto 85 Ponto 135  Lançamento de esgoto in natura no Córrego do Xuxa - Galeria ao lado da Parada Biribas.JPG"/>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326329" cy="3244748"/>
                    </a:xfrm>
                    <a:prstGeom prst="rect">
                      <a:avLst/>
                    </a:prstGeom>
                    <a:noFill/>
                    <a:ln>
                      <a:noFill/>
                    </a:ln>
                  </pic:spPr>
                </pic:pic>
              </a:graphicData>
            </a:graphic>
          </wp:inline>
        </w:drawing>
      </w:r>
    </w:p>
    <w:p w:rsidR="00BC05F5" w:rsidRPr="008E5D92" w:rsidRDefault="009C29C2" w:rsidP="00BC05F5">
      <w:pPr>
        <w:spacing w:before="120"/>
        <w:ind w:left="567"/>
        <w:rPr>
          <w:rFonts w:cs="Times New Roman"/>
          <w:sz w:val="20"/>
          <w:szCs w:val="20"/>
        </w:rPr>
      </w:pPr>
      <w:r>
        <w:rPr>
          <w:rFonts w:cs="Times New Roman"/>
          <w:sz w:val="20"/>
          <w:szCs w:val="20"/>
        </w:rPr>
        <w:t xml:space="preserve">      </w:t>
      </w:r>
      <w:r w:rsidR="00BC05F5" w:rsidRPr="008E5D92">
        <w:rPr>
          <w:rFonts w:cs="Times New Roman"/>
          <w:sz w:val="20"/>
          <w:szCs w:val="20"/>
        </w:rPr>
        <w:t>Fonte: Fundação Educacional de Caratinga, 2013</w:t>
      </w:r>
    </w:p>
    <w:p w:rsidR="00E32574" w:rsidRPr="00C92BF5" w:rsidRDefault="00E32574" w:rsidP="00BC05F5">
      <w:pPr>
        <w:spacing w:after="0" w:line="360" w:lineRule="auto"/>
        <w:ind w:firstLine="708"/>
        <w:jc w:val="both"/>
        <w:rPr>
          <w:rFonts w:cs="Times New Roman"/>
          <w:szCs w:val="24"/>
        </w:rPr>
      </w:pPr>
      <w:r w:rsidRPr="00C92BF5">
        <w:rPr>
          <w:rFonts w:cs="Times New Roman"/>
          <w:szCs w:val="24"/>
        </w:rPr>
        <w:t>Atualmente, não existem no município ações de conscientização/educação ou de intervenções (programas de recuperação de áreas degradadas) sobre como usar o solo e o relevo gerando o mínimo de degradação. O município necessita urgente, da criação de programas, no intuito de evitar a constante procura de novos mananciais para a viabilização/permanência de pessoas e novos empreendimento</w:t>
      </w:r>
      <w:r w:rsidR="009C29C2">
        <w:rPr>
          <w:rFonts w:cs="Times New Roman"/>
          <w:szCs w:val="24"/>
        </w:rPr>
        <w:t>s, principalmente agropecuário.</w:t>
      </w:r>
    </w:p>
    <w:p w:rsidR="00E32574" w:rsidRPr="00C92BF5" w:rsidRDefault="00E32574" w:rsidP="00BC05F5">
      <w:pPr>
        <w:spacing w:after="0" w:line="360" w:lineRule="auto"/>
        <w:ind w:firstLine="708"/>
        <w:jc w:val="both"/>
        <w:rPr>
          <w:rFonts w:cs="Times New Roman"/>
          <w:szCs w:val="24"/>
        </w:rPr>
      </w:pPr>
      <w:r w:rsidRPr="00C92BF5">
        <w:rPr>
          <w:rFonts w:cs="Times New Roman"/>
          <w:szCs w:val="24"/>
        </w:rPr>
        <w:t>Para se conhecer a real situação dos problemas e potencialidades do município de Aimorés, existe a necessidade de serem desenvolvidos alguns estudos tais como:</w:t>
      </w:r>
    </w:p>
    <w:p w:rsidR="00E32574" w:rsidRPr="00C92BF5" w:rsidRDefault="00E32574" w:rsidP="00D61A9A">
      <w:pPr>
        <w:spacing w:after="0" w:line="360" w:lineRule="auto"/>
        <w:ind w:left="567" w:hanging="283"/>
        <w:jc w:val="both"/>
        <w:rPr>
          <w:rFonts w:cs="Times New Roman"/>
          <w:szCs w:val="24"/>
        </w:rPr>
      </w:pPr>
      <w:r w:rsidRPr="00C92BF5">
        <w:rPr>
          <w:rFonts w:cs="Times New Roman"/>
          <w:szCs w:val="24"/>
        </w:rPr>
        <w:t>- Elaboração da equação de chuvas intensas para o município no intuito de auxiliar no dimensionamento dos projetos voltados para área de drenagem urbana;</w:t>
      </w:r>
    </w:p>
    <w:p w:rsidR="00E32574" w:rsidRPr="00C92BF5" w:rsidRDefault="00E32574" w:rsidP="00D61A9A">
      <w:pPr>
        <w:spacing w:after="0" w:line="360" w:lineRule="auto"/>
        <w:ind w:left="567" w:hanging="283"/>
        <w:jc w:val="both"/>
        <w:rPr>
          <w:rFonts w:cs="Times New Roman"/>
          <w:szCs w:val="24"/>
        </w:rPr>
      </w:pPr>
      <w:r w:rsidRPr="00C92BF5">
        <w:rPr>
          <w:rFonts w:cs="Times New Roman"/>
          <w:szCs w:val="24"/>
        </w:rPr>
        <w:t>- Adoção de Tempo de Recorrência com o mínimo de 10 anos;</w:t>
      </w:r>
    </w:p>
    <w:p w:rsidR="00E32574" w:rsidRPr="00C92BF5" w:rsidRDefault="00E32574" w:rsidP="00D61A9A">
      <w:pPr>
        <w:spacing w:after="0" w:line="360" w:lineRule="auto"/>
        <w:ind w:left="567" w:hanging="283"/>
        <w:jc w:val="both"/>
        <w:rPr>
          <w:rFonts w:cs="Times New Roman"/>
          <w:szCs w:val="24"/>
        </w:rPr>
      </w:pPr>
      <w:r w:rsidRPr="00C92BF5">
        <w:rPr>
          <w:rFonts w:cs="Times New Roman"/>
          <w:szCs w:val="24"/>
        </w:rPr>
        <w:t>- Padronização dos dispositivos de drenagem para melhoria da capacidade de condução hidráulica de ruas e sarjetas;</w:t>
      </w:r>
    </w:p>
    <w:p w:rsidR="00E32574" w:rsidRPr="00C92BF5" w:rsidRDefault="00E32574" w:rsidP="00D61A9A">
      <w:pPr>
        <w:spacing w:after="0" w:line="360" w:lineRule="auto"/>
        <w:ind w:left="567" w:hanging="283"/>
        <w:jc w:val="both"/>
        <w:rPr>
          <w:rFonts w:cs="Times New Roman"/>
          <w:szCs w:val="24"/>
        </w:rPr>
      </w:pPr>
      <w:r w:rsidRPr="00C92BF5">
        <w:rPr>
          <w:rFonts w:cs="Times New Roman"/>
          <w:szCs w:val="24"/>
        </w:rPr>
        <w:t>- Padronização da locação e dimensionamento de bocas de lobo;</w:t>
      </w:r>
    </w:p>
    <w:p w:rsidR="00E32574" w:rsidRPr="00C92BF5" w:rsidRDefault="00E32574" w:rsidP="00D61A9A">
      <w:pPr>
        <w:spacing w:after="0" w:line="360" w:lineRule="auto"/>
        <w:ind w:left="567" w:hanging="283"/>
        <w:jc w:val="both"/>
        <w:rPr>
          <w:rFonts w:cs="Times New Roman"/>
          <w:szCs w:val="24"/>
        </w:rPr>
      </w:pPr>
      <w:r w:rsidRPr="00C92BF5">
        <w:rPr>
          <w:rFonts w:cs="Times New Roman"/>
          <w:szCs w:val="24"/>
        </w:rPr>
        <w:t>- Dissipação de energia.</w:t>
      </w:r>
    </w:p>
    <w:p w:rsidR="00E32574" w:rsidRPr="00C92BF5" w:rsidRDefault="00D61A9A" w:rsidP="00971B37">
      <w:pPr>
        <w:pStyle w:val="Titulo"/>
      </w:pPr>
      <w:bookmarkStart w:id="697" w:name="_Toc372559199"/>
      <w:bookmarkStart w:id="698" w:name="_Toc372789630"/>
      <w:r>
        <w:lastRenderedPageBreak/>
        <w:t>1</w:t>
      </w:r>
      <w:r w:rsidR="00031935">
        <w:t>4</w:t>
      </w:r>
      <w:r>
        <w:t xml:space="preserve">.8 </w:t>
      </w:r>
      <w:r w:rsidRPr="00C92BF5">
        <w:t>Considerações Finais</w:t>
      </w:r>
      <w:bookmarkEnd w:id="697"/>
      <w:bookmarkEnd w:id="698"/>
    </w:p>
    <w:p w:rsidR="00E32574" w:rsidRPr="00C92BF5" w:rsidRDefault="00E32574" w:rsidP="00D61A9A">
      <w:pPr>
        <w:spacing w:after="0" w:line="360" w:lineRule="auto"/>
        <w:ind w:firstLine="709"/>
        <w:jc w:val="both"/>
        <w:rPr>
          <w:rFonts w:cs="Times New Roman"/>
          <w:szCs w:val="24"/>
        </w:rPr>
      </w:pPr>
      <w:r w:rsidRPr="00C92BF5">
        <w:rPr>
          <w:rFonts w:cs="Times New Roman"/>
          <w:szCs w:val="24"/>
        </w:rPr>
        <w:t>Ficou evidente que, durante os levantamentos para a confecção do diagnóstico que na cidade de Aimorés tem cerca de 2% da drenagem pluvial trabalhando de forma satisfatória, restando 98% para ser construída e redimensionada. Nos Distritos o cenário é igual ao da cidade, onde tem drenagem, a mesma precisa ser redimensionada. Ou seja, será necessário um levantamento de engenharia topográfica completo para saber a real dimensão dos problemas enfrentados.</w:t>
      </w:r>
    </w:p>
    <w:p w:rsidR="00E32574" w:rsidRPr="00C92BF5" w:rsidRDefault="00E32574" w:rsidP="00D61A9A">
      <w:pPr>
        <w:spacing w:after="0" w:line="360" w:lineRule="auto"/>
        <w:ind w:firstLine="709"/>
        <w:jc w:val="both"/>
        <w:rPr>
          <w:rFonts w:cs="Times New Roman"/>
          <w:szCs w:val="24"/>
        </w:rPr>
      </w:pPr>
      <w:r w:rsidRPr="00C92BF5">
        <w:rPr>
          <w:rFonts w:cs="Times New Roman"/>
          <w:szCs w:val="24"/>
        </w:rPr>
        <w:t>Não existe na cidade um plano diretor capaz de orientar o crescimento do município, capaz de prever ações curto, médio e longo prazo, no tocante a urbanização e futuras instalações de drenagem pluvial, evitando assim, todos os gargalos atua</w:t>
      </w:r>
      <w:r w:rsidR="005B295F">
        <w:rPr>
          <w:rFonts w:cs="Times New Roman"/>
          <w:szCs w:val="24"/>
        </w:rPr>
        <w:t xml:space="preserve">lmente, existentes na cidade e </w:t>
      </w:r>
      <w:r w:rsidRPr="00C92BF5">
        <w:rPr>
          <w:rFonts w:cs="Times New Roman"/>
          <w:szCs w:val="24"/>
        </w:rPr>
        <w:t>município de Aimorés.</w:t>
      </w:r>
    </w:p>
    <w:p w:rsidR="00E32574" w:rsidRDefault="00D61A9A" w:rsidP="00D61A9A">
      <w:pPr>
        <w:spacing w:after="0" w:line="360" w:lineRule="auto"/>
        <w:ind w:firstLine="709"/>
        <w:jc w:val="both"/>
        <w:rPr>
          <w:rFonts w:cs="Times New Roman"/>
          <w:szCs w:val="24"/>
        </w:rPr>
      </w:pPr>
      <w:r>
        <w:rPr>
          <w:rFonts w:cs="Times New Roman"/>
          <w:szCs w:val="24"/>
        </w:rPr>
        <w:t>No Anexo 2</w:t>
      </w:r>
      <w:r w:rsidR="00E32574" w:rsidRPr="00C92BF5">
        <w:rPr>
          <w:rFonts w:cs="Times New Roman"/>
          <w:szCs w:val="24"/>
        </w:rPr>
        <w:t xml:space="preserve"> </w:t>
      </w:r>
      <w:r>
        <w:rPr>
          <w:rFonts w:cs="Times New Roman"/>
          <w:szCs w:val="24"/>
        </w:rPr>
        <w:t>apresenta-se</w:t>
      </w:r>
      <w:r w:rsidR="00E32574" w:rsidRPr="00C92BF5">
        <w:rPr>
          <w:rFonts w:cs="Times New Roman"/>
          <w:szCs w:val="24"/>
        </w:rPr>
        <w:t xml:space="preserve"> </w:t>
      </w:r>
      <w:r w:rsidR="00E32574" w:rsidRPr="00D61A9A">
        <w:rPr>
          <w:rFonts w:cs="Times New Roman"/>
          <w:szCs w:val="24"/>
        </w:rPr>
        <w:t xml:space="preserve">o mapa </w:t>
      </w:r>
      <w:r>
        <w:rPr>
          <w:rFonts w:cs="Times New Roman"/>
          <w:szCs w:val="24"/>
        </w:rPr>
        <w:t>que</w:t>
      </w:r>
      <w:r w:rsidR="00E32574" w:rsidRPr="00C92BF5">
        <w:rPr>
          <w:rFonts w:cs="Times New Roman"/>
          <w:szCs w:val="24"/>
        </w:rPr>
        <w:t xml:space="preserve"> ilustrando cenários (gargalos) na drenagem pluvial.</w:t>
      </w:r>
    </w:p>
    <w:p w:rsidR="00E32574" w:rsidRPr="00C92BF5" w:rsidRDefault="00D61A9A" w:rsidP="00971B37">
      <w:pPr>
        <w:pStyle w:val="Titulo"/>
      </w:pPr>
      <w:bookmarkStart w:id="699" w:name="_Toc372559200"/>
      <w:bookmarkStart w:id="700" w:name="_Toc372789631"/>
      <w:r>
        <w:t>1</w:t>
      </w:r>
      <w:r w:rsidR="00031935">
        <w:t>4</w:t>
      </w:r>
      <w:r>
        <w:t xml:space="preserve">.9 </w:t>
      </w:r>
      <w:r w:rsidRPr="00C92BF5">
        <w:t xml:space="preserve">Planejamento </w:t>
      </w:r>
      <w:r>
        <w:t>e</w:t>
      </w:r>
      <w:r w:rsidRPr="00C92BF5">
        <w:t xml:space="preserve"> Prevenção</w:t>
      </w:r>
      <w:bookmarkEnd w:id="699"/>
      <w:bookmarkEnd w:id="700"/>
    </w:p>
    <w:p w:rsidR="00E32574" w:rsidRPr="00C92BF5" w:rsidRDefault="00E32574" w:rsidP="00D61A9A">
      <w:pPr>
        <w:spacing w:after="0" w:line="360" w:lineRule="auto"/>
        <w:ind w:firstLine="708"/>
        <w:jc w:val="both"/>
        <w:rPr>
          <w:rFonts w:cs="Times New Roman"/>
          <w:szCs w:val="24"/>
        </w:rPr>
      </w:pPr>
      <w:r w:rsidRPr="00C92BF5">
        <w:rPr>
          <w:rFonts w:cs="Times New Roman"/>
          <w:szCs w:val="24"/>
        </w:rPr>
        <w:t>A microdrenagem urbana é definida pelo sistema de condutos pluviais no loteamento ou na rede primária urbana. Neste caderno, são apresentados os procedimentos convencionais utilizados no projeto de uma rede deste tipo, juntamente com o conceito de controle do aumento da vazão.</w:t>
      </w:r>
    </w:p>
    <w:p w:rsidR="00E32574" w:rsidRPr="00C92BF5" w:rsidRDefault="00E32574" w:rsidP="00D61A9A">
      <w:pPr>
        <w:spacing w:after="0" w:line="360" w:lineRule="auto"/>
        <w:ind w:firstLine="708"/>
        <w:jc w:val="both"/>
        <w:rPr>
          <w:rFonts w:cs="Times New Roman"/>
          <w:szCs w:val="24"/>
        </w:rPr>
      </w:pPr>
      <w:r w:rsidRPr="00C92BF5">
        <w:rPr>
          <w:rFonts w:cs="Times New Roman"/>
          <w:szCs w:val="24"/>
        </w:rPr>
        <w:t>O dimensionamento de uma rede de pluviais é baseado nas seguintes etapas:</w:t>
      </w:r>
    </w:p>
    <w:p w:rsidR="00E32574" w:rsidRPr="007505D8" w:rsidRDefault="00D61A9A" w:rsidP="0053477A">
      <w:pPr>
        <w:pStyle w:val="PargrafodaLista"/>
        <w:numPr>
          <w:ilvl w:val="0"/>
          <w:numId w:val="49"/>
        </w:numPr>
        <w:spacing w:after="0" w:line="360" w:lineRule="auto"/>
        <w:ind w:left="567" w:hanging="283"/>
        <w:jc w:val="both"/>
        <w:rPr>
          <w:rFonts w:cs="Times New Roman"/>
          <w:bCs/>
          <w:szCs w:val="24"/>
        </w:rPr>
      </w:pPr>
      <w:r>
        <w:rPr>
          <w:rFonts w:cs="Times New Roman"/>
          <w:bCs/>
          <w:szCs w:val="24"/>
        </w:rPr>
        <w:t>D</w:t>
      </w:r>
      <w:r w:rsidR="00E32574" w:rsidRPr="007505D8">
        <w:rPr>
          <w:rFonts w:cs="Times New Roman"/>
          <w:bCs/>
          <w:szCs w:val="24"/>
        </w:rPr>
        <w:t>eterminação das vazões que afluem à rede de condutos;</w:t>
      </w:r>
    </w:p>
    <w:p w:rsidR="00E32574" w:rsidRPr="007505D8" w:rsidRDefault="00D61A9A" w:rsidP="0053477A">
      <w:pPr>
        <w:pStyle w:val="PargrafodaLista"/>
        <w:numPr>
          <w:ilvl w:val="0"/>
          <w:numId w:val="49"/>
        </w:numPr>
        <w:spacing w:after="0" w:line="360" w:lineRule="auto"/>
        <w:ind w:left="567" w:hanging="283"/>
        <w:jc w:val="both"/>
        <w:rPr>
          <w:rFonts w:cs="Times New Roman"/>
          <w:bCs/>
          <w:szCs w:val="24"/>
        </w:rPr>
      </w:pPr>
      <w:r>
        <w:rPr>
          <w:rFonts w:cs="Times New Roman"/>
          <w:bCs/>
          <w:szCs w:val="24"/>
        </w:rPr>
        <w:t>S</w:t>
      </w:r>
      <w:r w:rsidR="00E32574" w:rsidRPr="007505D8">
        <w:rPr>
          <w:rFonts w:cs="Times New Roman"/>
          <w:bCs/>
          <w:szCs w:val="24"/>
        </w:rPr>
        <w:t>ubdivisão da área e traçado;</w:t>
      </w:r>
    </w:p>
    <w:p w:rsidR="00E32574" w:rsidRPr="007505D8" w:rsidRDefault="00D61A9A" w:rsidP="0053477A">
      <w:pPr>
        <w:pStyle w:val="PargrafodaLista"/>
        <w:numPr>
          <w:ilvl w:val="0"/>
          <w:numId w:val="49"/>
        </w:numPr>
        <w:spacing w:after="0" w:line="360" w:lineRule="auto"/>
        <w:ind w:left="567" w:hanging="283"/>
        <w:jc w:val="both"/>
        <w:rPr>
          <w:rFonts w:cs="Times New Roman"/>
          <w:bCs/>
          <w:szCs w:val="24"/>
        </w:rPr>
      </w:pPr>
      <w:r>
        <w:rPr>
          <w:rFonts w:cs="Times New Roman"/>
          <w:bCs/>
          <w:szCs w:val="24"/>
        </w:rPr>
        <w:t>D</w:t>
      </w:r>
      <w:r w:rsidR="00E32574" w:rsidRPr="007505D8">
        <w:rPr>
          <w:rFonts w:cs="Times New Roman"/>
          <w:bCs/>
          <w:szCs w:val="24"/>
        </w:rPr>
        <w:t>imensionamento da rede de condutos;</w:t>
      </w:r>
    </w:p>
    <w:p w:rsidR="00E32574" w:rsidRDefault="00D61A9A" w:rsidP="0053477A">
      <w:pPr>
        <w:pStyle w:val="PargrafodaLista"/>
        <w:numPr>
          <w:ilvl w:val="0"/>
          <w:numId w:val="49"/>
        </w:numPr>
        <w:spacing w:after="0" w:line="360" w:lineRule="auto"/>
        <w:ind w:left="567" w:hanging="283"/>
        <w:jc w:val="both"/>
        <w:rPr>
          <w:rFonts w:cs="Times New Roman"/>
          <w:bCs/>
          <w:szCs w:val="24"/>
        </w:rPr>
      </w:pPr>
      <w:r>
        <w:rPr>
          <w:rFonts w:cs="Times New Roman"/>
          <w:bCs/>
          <w:szCs w:val="24"/>
        </w:rPr>
        <w:t>D</w:t>
      </w:r>
      <w:r w:rsidR="00E32574" w:rsidRPr="007505D8">
        <w:rPr>
          <w:rFonts w:cs="Times New Roman"/>
          <w:bCs/>
          <w:szCs w:val="24"/>
        </w:rPr>
        <w:t>imensionamento das medidas de controle.</w:t>
      </w:r>
    </w:p>
    <w:p w:rsidR="00E32574" w:rsidRPr="00C92BF5" w:rsidRDefault="00D61A9A" w:rsidP="00971B37">
      <w:pPr>
        <w:pStyle w:val="Titulo"/>
      </w:pPr>
      <w:bookmarkStart w:id="701" w:name="_Toc372559201"/>
      <w:bookmarkStart w:id="702" w:name="_Toc372789632"/>
      <w:r>
        <w:t>1</w:t>
      </w:r>
      <w:r w:rsidR="00031935">
        <w:t>4</w:t>
      </w:r>
      <w:r>
        <w:t>.10</w:t>
      </w:r>
      <w:r w:rsidRPr="00C92BF5">
        <w:t xml:space="preserve"> Dados </w:t>
      </w:r>
      <w:r w:rsidRPr="009C29C2">
        <w:t>Necessários</w:t>
      </w:r>
      <w:r w:rsidRPr="00C92BF5">
        <w:t xml:space="preserve"> </w:t>
      </w:r>
      <w:r>
        <w:t>p</w:t>
      </w:r>
      <w:r w:rsidRPr="00C92BF5">
        <w:t xml:space="preserve">ara </w:t>
      </w:r>
      <w:r>
        <w:t>a</w:t>
      </w:r>
      <w:r w:rsidRPr="00C92BF5">
        <w:t xml:space="preserve"> Elaboração </w:t>
      </w:r>
      <w:r>
        <w:t>d</w:t>
      </w:r>
      <w:r w:rsidRPr="00C92BF5">
        <w:t xml:space="preserve">e Projetos </w:t>
      </w:r>
      <w:r>
        <w:t>d</w:t>
      </w:r>
      <w:r w:rsidRPr="00C92BF5">
        <w:t>e Microdrenagem</w:t>
      </w:r>
      <w:bookmarkEnd w:id="701"/>
      <w:bookmarkEnd w:id="702"/>
    </w:p>
    <w:p w:rsidR="00E32574" w:rsidRPr="00C92BF5" w:rsidRDefault="00E32574" w:rsidP="00D61A9A">
      <w:pPr>
        <w:spacing w:after="0" w:line="360" w:lineRule="auto"/>
        <w:ind w:firstLine="709"/>
        <w:jc w:val="both"/>
        <w:rPr>
          <w:rFonts w:cs="Times New Roman"/>
          <w:szCs w:val="24"/>
        </w:rPr>
      </w:pPr>
      <w:r w:rsidRPr="00C92BF5">
        <w:rPr>
          <w:rFonts w:cs="Times New Roman"/>
          <w:szCs w:val="24"/>
        </w:rPr>
        <w:t>Os principais dados necessários à elaboração de um projeto de rede pluvial de microdrenagem são os seguintes:</w:t>
      </w:r>
    </w:p>
    <w:p w:rsidR="00E32574" w:rsidRPr="00C92BF5" w:rsidRDefault="00E32574" w:rsidP="00D61A9A">
      <w:pPr>
        <w:spacing w:after="0" w:line="360" w:lineRule="auto"/>
        <w:rPr>
          <w:rFonts w:cs="Times New Roman"/>
          <w:szCs w:val="24"/>
        </w:rPr>
      </w:pPr>
      <w:r w:rsidRPr="00C92BF5">
        <w:rPr>
          <w:rFonts w:cs="Times New Roman"/>
          <w:b/>
          <w:szCs w:val="24"/>
        </w:rPr>
        <w:t>MAPAS</w:t>
      </w:r>
      <w:r w:rsidRPr="00C92BF5">
        <w:rPr>
          <w:rFonts w:cs="Times New Roman"/>
          <w:szCs w:val="24"/>
        </w:rPr>
        <w:t>: Os principais mapas necessários aos estudos são os seguintes:</w:t>
      </w:r>
    </w:p>
    <w:p w:rsidR="00E32574" w:rsidRPr="006F771C" w:rsidRDefault="00D61A9A" w:rsidP="0053477A">
      <w:pPr>
        <w:pStyle w:val="PargrafodaLista"/>
        <w:numPr>
          <w:ilvl w:val="0"/>
          <w:numId w:val="50"/>
        </w:numPr>
        <w:spacing w:after="0" w:line="360" w:lineRule="auto"/>
        <w:ind w:left="567" w:hanging="283"/>
        <w:jc w:val="both"/>
        <w:rPr>
          <w:rFonts w:cs="Times New Roman"/>
          <w:bCs/>
          <w:szCs w:val="24"/>
        </w:rPr>
      </w:pPr>
      <w:r>
        <w:rPr>
          <w:rFonts w:cs="Times New Roman"/>
          <w:bCs/>
          <w:szCs w:val="24"/>
        </w:rPr>
        <w:t>M</w:t>
      </w:r>
      <w:r w:rsidR="00E32574" w:rsidRPr="006F771C">
        <w:rPr>
          <w:rFonts w:cs="Times New Roman"/>
          <w:bCs/>
          <w:szCs w:val="24"/>
        </w:rPr>
        <w:t>apa de situação da localização da área dentro do município;</w:t>
      </w:r>
    </w:p>
    <w:p w:rsidR="00E32574" w:rsidRPr="006F771C" w:rsidRDefault="00D61A9A" w:rsidP="0053477A">
      <w:pPr>
        <w:pStyle w:val="PargrafodaLista"/>
        <w:numPr>
          <w:ilvl w:val="0"/>
          <w:numId w:val="50"/>
        </w:numPr>
        <w:spacing w:after="0" w:line="360" w:lineRule="auto"/>
        <w:ind w:left="567" w:hanging="283"/>
        <w:jc w:val="both"/>
        <w:rPr>
          <w:rFonts w:cs="Times New Roman"/>
          <w:bCs/>
          <w:szCs w:val="24"/>
        </w:rPr>
      </w:pPr>
      <w:r>
        <w:rPr>
          <w:rFonts w:cs="Times New Roman"/>
          <w:bCs/>
          <w:szCs w:val="24"/>
        </w:rPr>
        <w:lastRenderedPageBreak/>
        <w:t>P</w:t>
      </w:r>
      <w:r w:rsidR="00E32574" w:rsidRPr="006F771C">
        <w:rPr>
          <w:rFonts w:cs="Times New Roman"/>
          <w:bCs/>
          <w:szCs w:val="24"/>
        </w:rPr>
        <w:t>lanta geral da bacia contribuinte: escalas 1: 5.000 ou 1: 10.000, juntamente com a localização da área de drenagem. No caso de não existir planta plani-altimétrica da bacia, deve ser delimitado o divisor topográfico por poligonal nivelada;</w:t>
      </w:r>
    </w:p>
    <w:p w:rsidR="00E32574" w:rsidRPr="006F771C" w:rsidRDefault="00D61A9A" w:rsidP="0053477A">
      <w:pPr>
        <w:pStyle w:val="PargrafodaLista"/>
        <w:numPr>
          <w:ilvl w:val="0"/>
          <w:numId w:val="50"/>
        </w:numPr>
        <w:spacing w:after="0" w:line="360" w:lineRule="auto"/>
        <w:ind w:left="567" w:hanging="283"/>
        <w:jc w:val="both"/>
        <w:rPr>
          <w:rFonts w:cs="Times New Roman"/>
          <w:bCs/>
          <w:szCs w:val="24"/>
        </w:rPr>
      </w:pPr>
      <w:r>
        <w:rPr>
          <w:rFonts w:cs="Times New Roman"/>
          <w:bCs/>
          <w:szCs w:val="24"/>
        </w:rPr>
        <w:t>P</w:t>
      </w:r>
      <w:r w:rsidR="00E32574" w:rsidRPr="006F771C">
        <w:rPr>
          <w:rFonts w:cs="Times New Roman"/>
          <w:bCs/>
          <w:szCs w:val="24"/>
        </w:rPr>
        <w:t>lanta plani-altimétrica da área do projeto na escala 1: 2.000 ou 1:1.000, com pontos cotados nas esquinas e em pontos notáveis.</w:t>
      </w:r>
    </w:p>
    <w:p w:rsidR="00E32574" w:rsidRPr="00C92BF5" w:rsidRDefault="00E32574" w:rsidP="00D61A9A">
      <w:pPr>
        <w:spacing w:after="0" w:line="360" w:lineRule="auto"/>
        <w:jc w:val="both"/>
        <w:rPr>
          <w:rFonts w:cs="Times New Roman"/>
          <w:szCs w:val="24"/>
        </w:rPr>
      </w:pPr>
      <w:r w:rsidRPr="00C92BF5">
        <w:rPr>
          <w:rFonts w:cs="Times New Roman"/>
          <w:b/>
          <w:szCs w:val="24"/>
        </w:rPr>
        <w:t>LEVANTAMENTO TOPOGRÁFICO</w:t>
      </w:r>
      <w:r w:rsidRPr="00C92BF5">
        <w:rPr>
          <w:rFonts w:cs="Times New Roman"/>
          <w:szCs w:val="24"/>
        </w:rPr>
        <w:t>: o nivelamento geométrico em todas as esquinas, mudança de direção e mudança de greides das vias públicas:</w:t>
      </w:r>
    </w:p>
    <w:p w:rsidR="00E32574" w:rsidRPr="00C92BF5" w:rsidRDefault="00E32574" w:rsidP="00D61A9A">
      <w:pPr>
        <w:spacing w:after="0" w:line="360" w:lineRule="auto"/>
        <w:jc w:val="both"/>
        <w:rPr>
          <w:rFonts w:cs="Times New Roman"/>
          <w:szCs w:val="24"/>
        </w:rPr>
      </w:pPr>
      <w:r w:rsidRPr="00C92BF5">
        <w:rPr>
          <w:rFonts w:cs="Times New Roman"/>
          <w:b/>
          <w:szCs w:val="24"/>
        </w:rPr>
        <w:t>CADASTRO</w:t>
      </w:r>
      <w:r w:rsidRPr="00C92BF5">
        <w:rPr>
          <w:rFonts w:cs="Times New Roman"/>
          <w:szCs w:val="24"/>
        </w:rPr>
        <w:t>: de redes existentes de esgotos pluviais ou de outros serviços que possam interferir na área de projeto;</w:t>
      </w:r>
    </w:p>
    <w:p w:rsidR="00E32574" w:rsidRPr="00C92BF5" w:rsidRDefault="00E32574" w:rsidP="00D61A9A">
      <w:pPr>
        <w:spacing w:after="0" w:line="360" w:lineRule="auto"/>
        <w:jc w:val="both"/>
        <w:rPr>
          <w:rFonts w:cs="Times New Roman"/>
          <w:szCs w:val="24"/>
        </w:rPr>
      </w:pPr>
      <w:r w:rsidRPr="00C92BF5">
        <w:rPr>
          <w:rFonts w:cs="Times New Roman"/>
          <w:b/>
          <w:szCs w:val="24"/>
        </w:rPr>
        <w:t>URBANIZAÇÃO</w:t>
      </w:r>
      <w:r w:rsidRPr="00C92BF5">
        <w:rPr>
          <w:rFonts w:cs="Times New Roman"/>
          <w:szCs w:val="24"/>
        </w:rPr>
        <w:t xml:space="preserve">: devem-se selecionar os seguintes elementos relativos à urbanização da bacia contribuinte, nas situações atual e previstas no documento responsável pelo ordenamento urbano do município. </w:t>
      </w:r>
    </w:p>
    <w:p w:rsidR="00E32574" w:rsidRPr="006F771C" w:rsidRDefault="00D61A9A" w:rsidP="0053477A">
      <w:pPr>
        <w:pStyle w:val="PargrafodaLista"/>
        <w:numPr>
          <w:ilvl w:val="0"/>
          <w:numId w:val="51"/>
        </w:numPr>
        <w:spacing w:after="0" w:line="360" w:lineRule="auto"/>
        <w:ind w:left="567" w:hanging="283"/>
        <w:jc w:val="both"/>
        <w:rPr>
          <w:rFonts w:cs="Times New Roman"/>
          <w:bCs/>
          <w:szCs w:val="24"/>
        </w:rPr>
      </w:pPr>
      <w:r>
        <w:rPr>
          <w:rFonts w:cs="Times New Roman"/>
          <w:bCs/>
          <w:szCs w:val="24"/>
        </w:rPr>
        <w:t>T</w:t>
      </w:r>
      <w:r w:rsidR="00E32574" w:rsidRPr="006F771C">
        <w:rPr>
          <w:rFonts w:cs="Times New Roman"/>
          <w:bCs/>
          <w:szCs w:val="24"/>
        </w:rPr>
        <w:t>ipo de ocupação das áreas (residências, comércio, praças, etc.);</w:t>
      </w:r>
    </w:p>
    <w:p w:rsidR="00E32574" w:rsidRPr="006F771C" w:rsidRDefault="00D61A9A" w:rsidP="0053477A">
      <w:pPr>
        <w:pStyle w:val="PargrafodaLista"/>
        <w:numPr>
          <w:ilvl w:val="0"/>
          <w:numId w:val="51"/>
        </w:numPr>
        <w:spacing w:after="0" w:line="360" w:lineRule="auto"/>
        <w:ind w:left="567" w:hanging="283"/>
        <w:jc w:val="both"/>
        <w:rPr>
          <w:rFonts w:cs="Times New Roman"/>
          <w:bCs/>
          <w:szCs w:val="24"/>
        </w:rPr>
      </w:pPr>
      <w:r>
        <w:rPr>
          <w:rFonts w:cs="Times New Roman"/>
          <w:bCs/>
          <w:szCs w:val="24"/>
        </w:rPr>
        <w:t>P</w:t>
      </w:r>
      <w:r w:rsidR="00E32574" w:rsidRPr="006F771C">
        <w:rPr>
          <w:rFonts w:cs="Times New Roman"/>
          <w:bCs/>
          <w:szCs w:val="24"/>
        </w:rPr>
        <w:t>orcentagem de área impermeável projetada de ocupação dos lotes;</w:t>
      </w:r>
    </w:p>
    <w:p w:rsidR="00E32574" w:rsidRPr="006F771C" w:rsidRDefault="00D61A9A" w:rsidP="0053477A">
      <w:pPr>
        <w:pStyle w:val="PargrafodaLista"/>
        <w:numPr>
          <w:ilvl w:val="0"/>
          <w:numId w:val="51"/>
        </w:numPr>
        <w:spacing w:after="0" w:line="360" w:lineRule="auto"/>
        <w:ind w:left="567" w:hanging="283"/>
        <w:jc w:val="both"/>
        <w:rPr>
          <w:rFonts w:cs="Times New Roman"/>
          <w:bCs/>
          <w:szCs w:val="24"/>
        </w:rPr>
      </w:pPr>
      <w:r>
        <w:rPr>
          <w:rFonts w:cs="Times New Roman"/>
          <w:bCs/>
          <w:szCs w:val="24"/>
        </w:rPr>
        <w:t>O</w:t>
      </w:r>
      <w:r w:rsidR="00E32574" w:rsidRPr="006F771C">
        <w:rPr>
          <w:rFonts w:cs="Times New Roman"/>
          <w:bCs/>
          <w:szCs w:val="24"/>
        </w:rPr>
        <w:t>cupação e recobrimento do solo nas áreas não urbanizadas pertencentes à bacia.</w:t>
      </w:r>
    </w:p>
    <w:p w:rsidR="00E32574" w:rsidRPr="00C92BF5" w:rsidRDefault="00E32574" w:rsidP="00E32574">
      <w:pPr>
        <w:rPr>
          <w:rFonts w:cs="Times New Roman"/>
          <w:szCs w:val="24"/>
        </w:rPr>
      </w:pPr>
      <w:r w:rsidRPr="00C92BF5">
        <w:rPr>
          <w:rFonts w:cs="Times New Roman"/>
          <w:b/>
          <w:szCs w:val="24"/>
        </w:rPr>
        <w:t>DADOS RELATIVOS AO CURSO DE ÁGUA RECEPTOR</w:t>
      </w:r>
      <w:r w:rsidRPr="00C92BF5">
        <w:rPr>
          <w:rFonts w:cs="Times New Roman"/>
          <w:szCs w:val="24"/>
        </w:rPr>
        <w:t>: as informações são as seguintes:</w:t>
      </w:r>
    </w:p>
    <w:p w:rsidR="00E32574" w:rsidRPr="006F771C" w:rsidRDefault="009B1415" w:rsidP="0053477A">
      <w:pPr>
        <w:pStyle w:val="PargrafodaLista"/>
        <w:numPr>
          <w:ilvl w:val="0"/>
          <w:numId w:val="52"/>
        </w:numPr>
        <w:ind w:left="567" w:hanging="283"/>
        <w:jc w:val="both"/>
        <w:rPr>
          <w:rFonts w:cs="Times New Roman"/>
          <w:bCs/>
          <w:szCs w:val="24"/>
        </w:rPr>
      </w:pPr>
      <w:r>
        <w:rPr>
          <w:rFonts w:cs="Times New Roman"/>
          <w:bCs/>
          <w:szCs w:val="24"/>
        </w:rPr>
        <w:t>I</w:t>
      </w:r>
      <w:r w:rsidR="00E32574" w:rsidRPr="006F771C">
        <w:rPr>
          <w:rFonts w:cs="Times New Roman"/>
          <w:bCs/>
          <w:szCs w:val="24"/>
        </w:rPr>
        <w:t>ndicações sobre o nível de água máximo do canal que irá receber o lançamento final;</w:t>
      </w:r>
    </w:p>
    <w:p w:rsidR="00E32574" w:rsidRPr="006F771C" w:rsidRDefault="009B1415" w:rsidP="0053477A">
      <w:pPr>
        <w:pStyle w:val="PargrafodaLista"/>
        <w:numPr>
          <w:ilvl w:val="0"/>
          <w:numId w:val="52"/>
        </w:numPr>
        <w:ind w:left="567" w:hanging="283"/>
        <w:jc w:val="both"/>
        <w:rPr>
          <w:rFonts w:cs="Times New Roman"/>
          <w:bCs/>
          <w:szCs w:val="24"/>
        </w:rPr>
      </w:pPr>
      <w:r>
        <w:rPr>
          <w:rFonts w:cs="Times New Roman"/>
          <w:bCs/>
          <w:szCs w:val="24"/>
        </w:rPr>
        <w:t>L</w:t>
      </w:r>
      <w:r w:rsidR="00E32574" w:rsidRPr="006F771C">
        <w:rPr>
          <w:rFonts w:cs="Times New Roman"/>
          <w:bCs/>
          <w:szCs w:val="24"/>
        </w:rPr>
        <w:t>evantamento topográfico do local de descarga final.</w:t>
      </w:r>
    </w:p>
    <w:p w:rsidR="00E32574" w:rsidRPr="00C92BF5" w:rsidRDefault="00E32574" w:rsidP="00E32574">
      <w:pPr>
        <w:ind w:firstLine="708"/>
        <w:jc w:val="both"/>
        <w:rPr>
          <w:rFonts w:cs="Times New Roman"/>
          <w:szCs w:val="24"/>
        </w:rPr>
      </w:pPr>
      <w:r w:rsidRPr="00C92BF5">
        <w:rPr>
          <w:rFonts w:cs="Times New Roman"/>
          <w:szCs w:val="24"/>
        </w:rPr>
        <w:t>Adicionalmente, em função da configuração a ser definida será necessário o levantamento de áreas específicas para detenção do escoamento.</w:t>
      </w:r>
    </w:p>
    <w:p w:rsidR="00E32574" w:rsidRPr="00C92BF5" w:rsidRDefault="009B1415" w:rsidP="00971B37">
      <w:pPr>
        <w:pStyle w:val="Titulo"/>
      </w:pPr>
      <w:bookmarkStart w:id="703" w:name="_Toc372559202"/>
      <w:bookmarkStart w:id="704" w:name="_Toc372789633"/>
      <w:r>
        <w:t>1</w:t>
      </w:r>
      <w:r w:rsidR="00031935">
        <w:t>4</w:t>
      </w:r>
      <w:r>
        <w:t>.11</w:t>
      </w:r>
      <w:r w:rsidR="00E32574" w:rsidRPr="00C92BF5">
        <w:t xml:space="preserve"> C</w:t>
      </w:r>
      <w:r w:rsidR="009C29C2">
        <w:t>onfiguração da drenagem</w:t>
      </w:r>
      <w:bookmarkEnd w:id="703"/>
      <w:bookmarkEnd w:id="704"/>
    </w:p>
    <w:p w:rsidR="00E32574" w:rsidRPr="00C92BF5" w:rsidRDefault="00E32574" w:rsidP="009B1415">
      <w:pPr>
        <w:spacing w:after="0" w:line="360" w:lineRule="auto"/>
        <w:ind w:firstLine="709"/>
        <w:jc w:val="both"/>
        <w:rPr>
          <w:rFonts w:cs="Times New Roman"/>
          <w:szCs w:val="24"/>
        </w:rPr>
      </w:pPr>
      <w:r w:rsidRPr="00C92BF5">
        <w:rPr>
          <w:rFonts w:cs="Times New Roman"/>
          <w:szCs w:val="24"/>
        </w:rPr>
        <w:t>Com base em levantamentos topográficos e na rede de drenagem será realizado o traçado da rede pluvial. Para estudar a configuração da drenagem é necessário realizar um processo interativo (unidade de planejamento) da área, principalmente para que se obtenha um melhor aproveitamento das áreas de detenção ou retenção, de acordo com a filosofia de projeto da área.</w:t>
      </w:r>
    </w:p>
    <w:p w:rsidR="001D1D58" w:rsidRDefault="001D1D58">
      <w:pPr>
        <w:spacing w:after="200" w:line="276" w:lineRule="auto"/>
        <w:rPr>
          <w:rFonts w:eastAsiaTheme="minorEastAsia" w:cs="Times New Roman"/>
          <w:b/>
          <w:i/>
          <w:iCs/>
          <w:szCs w:val="24"/>
          <w:lang w:eastAsia="pt-BR"/>
        </w:rPr>
      </w:pPr>
      <w:bookmarkStart w:id="705" w:name="_Toc372559203"/>
      <w:r>
        <w:br w:type="page"/>
      </w:r>
    </w:p>
    <w:p w:rsidR="00E32574" w:rsidRPr="00A369F0" w:rsidRDefault="009B1415" w:rsidP="00971B37">
      <w:pPr>
        <w:pStyle w:val="Titulo"/>
      </w:pPr>
      <w:bookmarkStart w:id="706" w:name="_Toc372789634"/>
      <w:r w:rsidRPr="00A369F0">
        <w:lastRenderedPageBreak/>
        <w:t>1</w:t>
      </w:r>
      <w:r w:rsidR="00031935">
        <w:t>4</w:t>
      </w:r>
      <w:r w:rsidRPr="00A369F0">
        <w:t>.11.1</w:t>
      </w:r>
      <w:r w:rsidR="00E32574" w:rsidRPr="00A369F0">
        <w:t xml:space="preserve"> C</w:t>
      </w:r>
      <w:r w:rsidR="009C29C2" w:rsidRPr="00A369F0">
        <w:t>ritérios para o traçado da Rede Pluvial</w:t>
      </w:r>
      <w:bookmarkEnd w:id="705"/>
      <w:bookmarkEnd w:id="706"/>
    </w:p>
    <w:p w:rsidR="00E32574" w:rsidRPr="00C92BF5" w:rsidRDefault="00E32574" w:rsidP="009B1415">
      <w:pPr>
        <w:spacing w:after="0" w:line="360" w:lineRule="auto"/>
        <w:ind w:firstLine="708"/>
        <w:jc w:val="both"/>
        <w:rPr>
          <w:rFonts w:cs="Times New Roman"/>
          <w:szCs w:val="24"/>
        </w:rPr>
      </w:pPr>
      <w:r w:rsidRPr="00C92BF5">
        <w:rPr>
          <w:rFonts w:cs="Times New Roman"/>
          <w:szCs w:val="24"/>
        </w:rPr>
        <w:t>A rede coletora deve ser lançada em planta baixa (escala 1: 2.000 ou 1:1.000), de acordo com as condições naturais do escoamento superficial. Algumas regras básicas para o traçado da rede são as seguintes:</w:t>
      </w:r>
    </w:p>
    <w:p w:rsidR="00E32574" w:rsidRPr="006F771C" w:rsidRDefault="009B1415" w:rsidP="0053477A">
      <w:pPr>
        <w:pStyle w:val="PargrafodaLista"/>
        <w:numPr>
          <w:ilvl w:val="0"/>
          <w:numId w:val="53"/>
        </w:numPr>
        <w:spacing w:after="0" w:line="360" w:lineRule="auto"/>
        <w:ind w:left="567" w:hanging="283"/>
        <w:jc w:val="both"/>
        <w:rPr>
          <w:rFonts w:cs="Times New Roman"/>
          <w:bCs/>
          <w:szCs w:val="24"/>
        </w:rPr>
      </w:pPr>
      <w:r>
        <w:rPr>
          <w:rFonts w:cs="Times New Roman"/>
          <w:bCs/>
          <w:szCs w:val="24"/>
        </w:rPr>
        <w:t>O</w:t>
      </w:r>
      <w:r w:rsidR="00E32574" w:rsidRPr="006F771C">
        <w:rPr>
          <w:rFonts w:cs="Times New Roman"/>
          <w:bCs/>
          <w:szCs w:val="24"/>
        </w:rPr>
        <w:t>s divisores de bacias e as áreas contribuintes a cada trecho deverão ficar convenientemente assinalados nas plantas;</w:t>
      </w:r>
    </w:p>
    <w:p w:rsidR="00E32574" w:rsidRPr="006F771C" w:rsidRDefault="009B1415" w:rsidP="0053477A">
      <w:pPr>
        <w:pStyle w:val="PargrafodaLista"/>
        <w:numPr>
          <w:ilvl w:val="0"/>
          <w:numId w:val="53"/>
        </w:numPr>
        <w:spacing w:after="0" w:line="360" w:lineRule="auto"/>
        <w:ind w:left="567" w:hanging="283"/>
        <w:jc w:val="both"/>
        <w:rPr>
          <w:rFonts w:cs="Times New Roman"/>
          <w:bCs/>
          <w:szCs w:val="24"/>
        </w:rPr>
      </w:pPr>
      <w:r>
        <w:rPr>
          <w:rFonts w:cs="Times New Roman"/>
          <w:bCs/>
          <w:szCs w:val="24"/>
        </w:rPr>
        <w:t>O</w:t>
      </w:r>
      <w:r w:rsidR="00E32574" w:rsidRPr="006F771C">
        <w:rPr>
          <w:rFonts w:cs="Times New Roman"/>
          <w:bCs/>
          <w:szCs w:val="24"/>
        </w:rPr>
        <w:t>s trechos em que o escoamento se dê apenas pelas sarjetas devem ficar identificados por meio de setas;</w:t>
      </w:r>
    </w:p>
    <w:p w:rsidR="00E32574" w:rsidRPr="006F771C" w:rsidRDefault="009B1415" w:rsidP="0053477A">
      <w:pPr>
        <w:pStyle w:val="PargrafodaLista"/>
        <w:numPr>
          <w:ilvl w:val="0"/>
          <w:numId w:val="53"/>
        </w:numPr>
        <w:spacing w:after="0" w:line="360" w:lineRule="auto"/>
        <w:ind w:left="567" w:hanging="283"/>
        <w:jc w:val="both"/>
        <w:rPr>
          <w:rFonts w:cs="Times New Roman"/>
          <w:bCs/>
          <w:szCs w:val="24"/>
        </w:rPr>
      </w:pPr>
      <w:r>
        <w:rPr>
          <w:rFonts w:cs="Times New Roman"/>
          <w:bCs/>
          <w:szCs w:val="24"/>
        </w:rPr>
        <w:t>A</w:t>
      </w:r>
      <w:r w:rsidR="00E32574" w:rsidRPr="006F771C">
        <w:rPr>
          <w:rFonts w:cs="Times New Roman"/>
          <w:bCs/>
          <w:szCs w:val="24"/>
        </w:rPr>
        <w:t>s galerias pluviais, sempre que possível, deverão ser lançadas sob os passeios;</w:t>
      </w:r>
    </w:p>
    <w:p w:rsidR="00E32574" w:rsidRPr="006F771C" w:rsidRDefault="009B1415" w:rsidP="0053477A">
      <w:pPr>
        <w:pStyle w:val="PargrafodaLista"/>
        <w:numPr>
          <w:ilvl w:val="0"/>
          <w:numId w:val="53"/>
        </w:numPr>
        <w:spacing w:after="0" w:line="360" w:lineRule="auto"/>
        <w:ind w:left="567" w:hanging="283"/>
        <w:jc w:val="both"/>
        <w:rPr>
          <w:rFonts w:cs="Times New Roman"/>
          <w:bCs/>
          <w:szCs w:val="24"/>
        </w:rPr>
      </w:pPr>
      <w:r>
        <w:rPr>
          <w:rFonts w:cs="Times New Roman"/>
          <w:bCs/>
          <w:szCs w:val="24"/>
        </w:rPr>
        <w:t>O</w:t>
      </w:r>
      <w:r w:rsidR="00E32574" w:rsidRPr="006F771C">
        <w:rPr>
          <w:rFonts w:cs="Times New Roman"/>
          <w:bCs/>
          <w:szCs w:val="24"/>
        </w:rPr>
        <w:t xml:space="preserve"> sistema coletor, em uma determinada via, poderá constar de uma rede única, recebendo ligações de bocas-de-lobo de ambos os passeios;</w:t>
      </w:r>
    </w:p>
    <w:p w:rsidR="00E32574" w:rsidRPr="006F771C" w:rsidRDefault="009B1415" w:rsidP="0053477A">
      <w:pPr>
        <w:pStyle w:val="PargrafodaLista"/>
        <w:numPr>
          <w:ilvl w:val="0"/>
          <w:numId w:val="53"/>
        </w:numPr>
        <w:spacing w:after="0" w:line="360" w:lineRule="auto"/>
        <w:ind w:left="567" w:hanging="283"/>
        <w:jc w:val="both"/>
        <w:rPr>
          <w:rFonts w:cs="Times New Roman"/>
          <w:bCs/>
          <w:szCs w:val="24"/>
        </w:rPr>
      </w:pPr>
      <w:r>
        <w:rPr>
          <w:rFonts w:cs="Times New Roman"/>
          <w:bCs/>
          <w:szCs w:val="24"/>
        </w:rPr>
        <w:t>A</w:t>
      </w:r>
      <w:r w:rsidR="00E32574" w:rsidRPr="006F771C">
        <w:rPr>
          <w:rFonts w:cs="Times New Roman"/>
          <w:bCs/>
          <w:szCs w:val="24"/>
        </w:rPr>
        <w:t xml:space="preserve"> solução mais adequada, em cada rua, é estabelecida, economicamente, em função da sua largura e condições de pavimentação;</w:t>
      </w:r>
    </w:p>
    <w:p w:rsidR="00E32574" w:rsidRPr="006F771C" w:rsidRDefault="009B1415" w:rsidP="0053477A">
      <w:pPr>
        <w:pStyle w:val="PargrafodaLista"/>
        <w:numPr>
          <w:ilvl w:val="0"/>
          <w:numId w:val="53"/>
        </w:numPr>
        <w:spacing w:after="0" w:line="360" w:lineRule="auto"/>
        <w:ind w:left="567" w:hanging="283"/>
        <w:jc w:val="both"/>
        <w:rPr>
          <w:rFonts w:cs="Times New Roman"/>
          <w:bCs/>
          <w:szCs w:val="24"/>
        </w:rPr>
      </w:pPr>
      <w:r>
        <w:rPr>
          <w:rFonts w:cs="Times New Roman"/>
          <w:bCs/>
          <w:szCs w:val="24"/>
        </w:rPr>
        <w:t>O</w:t>
      </w:r>
      <w:r w:rsidR="00E32574" w:rsidRPr="006F771C">
        <w:rPr>
          <w:rFonts w:cs="Times New Roman"/>
          <w:bCs/>
          <w:szCs w:val="24"/>
        </w:rPr>
        <w:t xml:space="preserve"> amortecimento do escoamento é realizado nas áreas baixas junto á drenagem principal. Procura-se localizar a área de amortecimento preferencialmente junto á saída do sistema projetado;</w:t>
      </w:r>
    </w:p>
    <w:p w:rsidR="00E32574" w:rsidRPr="006F771C" w:rsidRDefault="009B1415" w:rsidP="0053477A">
      <w:pPr>
        <w:pStyle w:val="PargrafodaLista"/>
        <w:numPr>
          <w:ilvl w:val="0"/>
          <w:numId w:val="53"/>
        </w:numPr>
        <w:spacing w:after="0" w:line="360" w:lineRule="auto"/>
        <w:ind w:left="567" w:hanging="283"/>
        <w:jc w:val="both"/>
        <w:rPr>
          <w:rFonts w:cs="Times New Roman"/>
          <w:bCs/>
          <w:szCs w:val="24"/>
        </w:rPr>
      </w:pPr>
      <w:r>
        <w:rPr>
          <w:rFonts w:cs="Times New Roman"/>
          <w:bCs/>
          <w:szCs w:val="24"/>
        </w:rPr>
        <w:t>P</w:t>
      </w:r>
      <w:r w:rsidR="00E32574" w:rsidRPr="006F771C">
        <w:rPr>
          <w:rFonts w:cs="Times New Roman"/>
          <w:bCs/>
          <w:szCs w:val="24"/>
        </w:rPr>
        <w:t>referencialmente os sistemas de detenções devem estar integrados de forma paisagística na área, neste caso, poderá ser necessário utilizar detenções ou retenções internas ao parcelamento na forma de lagos permanentes ou secos integrados ao uso previsto para a área;</w:t>
      </w:r>
    </w:p>
    <w:p w:rsidR="00E32574" w:rsidRDefault="009B1415" w:rsidP="0053477A">
      <w:pPr>
        <w:pStyle w:val="PargrafodaLista"/>
        <w:numPr>
          <w:ilvl w:val="0"/>
          <w:numId w:val="53"/>
        </w:numPr>
        <w:spacing w:after="0" w:line="360" w:lineRule="auto"/>
        <w:ind w:left="567" w:hanging="283"/>
        <w:jc w:val="both"/>
        <w:rPr>
          <w:rFonts w:cs="Times New Roman"/>
          <w:bCs/>
          <w:szCs w:val="24"/>
        </w:rPr>
      </w:pPr>
      <w:r>
        <w:rPr>
          <w:rFonts w:cs="Times New Roman"/>
          <w:bCs/>
          <w:szCs w:val="24"/>
        </w:rPr>
        <w:t>O</w:t>
      </w:r>
      <w:r w:rsidR="00E32574" w:rsidRPr="006F771C">
        <w:rPr>
          <w:rFonts w:cs="Times New Roman"/>
          <w:bCs/>
          <w:szCs w:val="24"/>
        </w:rPr>
        <w:t xml:space="preserve"> projeto deve estabelecer a área máxima impermeável de cada lote do parcelamento, além das áreas comuns.</w:t>
      </w:r>
    </w:p>
    <w:p w:rsidR="00E32574" w:rsidRPr="00A369F0" w:rsidRDefault="00714DBF" w:rsidP="00971B37">
      <w:pPr>
        <w:pStyle w:val="Titulo"/>
      </w:pPr>
      <w:bookmarkStart w:id="707" w:name="_Toc372559204"/>
      <w:bookmarkStart w:id="708" w:name="_Toc372789635"/>
      <w:r w:rsidRPr="00A369F0">
        <w:t>1</w:t>
      </w:r>
      <w:r w:rsidR="00031935">
        <w:t>4</w:t>
      </w:r>
      <w:r w:rsidRPr="00A369F0">
        <w:t>.11.2 Componentes da Rede Hidráulica</w:t>
      </w:r>
      <w:bookmarkEnd w:id="707"/>
      <w:bookmarkEnd w:id="708"/>
    </w:p>
    <w:p w:rsidR="00E32574" w:rsidRPr="00C92BF5" w:rsidRDefault="00E32574" w:rsidP="00714DBF">
      <w:pPr>
        <w:spacing w:after="0" w:line="360" w:lineRule="auto"/>
        <w:ind w:firstLine="708"/>
        <w:jc w:val="both"/>
        <w:rPr>
          <w:rFonts w:cs="Times New Roman"/>
          <w:szCs w:val="24"/>
        </w:rPr>
      </w:pPr>
      <w:r w:rsidRPr="00C92BF5">
        <w:rPr>
          <w:rFonts w:cs="Times New Roman"/>
          <w:b/>
          <w:szCs w:val="24"/>
        </w:rPr>
        <w:t>Bocas-de-Lobo</w:t>
      </w:r>
      <w:r w:rsidRPr="00C92BF5">
        <w:rPr>
          <w:rFonts w:cs="Times New Roman"/>
          <w:szCs w:val="24"/>
        </w:rPr>
        <w:t xml:space="preserve"> - as bocas-de-lobo devem ser localizadas de maneira a conduzirem, adequadamente, as vazões superficiais para a rede de condutos. Nos pontos mais baixos do sistema viário, deverão ser, necessariamente, colocadas bocas-de-lobo com vistas a se evitar a criação de zonas mortas com alagamentos e águas paradas.</w:t>
      </w:r>
    </w:p>
    <w:p w:rsidR="00E32574" w:rsidRPr="00C92BF5" w:rsidRDefault="00E32574" w:rsidP="00714DBF">
      <w:pPr>
        <w:spacing w:after="0" w:line="360" w:lineRule="auto"/>
        <w:ind w:firstLine="708"/>
        <w:jc w:val="both"/>
        <w:rPr>
          <w:rFonts w:cs="Times New Roman"/>
          <w:szCs w:val="24"/>
        </w:rPr>
      </w:pPr>
      <w:r w:rsidRPr="00C92BF5">
        <w:rPr>
          <w:rFonts w:cs="Times New Roman"/>
          <w:b/>
          <w:szCs w:val="24"/>
        </w:rPr>
        <w:lastRenderedPageBreak/>
        <w:t>Poços de Visita</w:t>
      </w:r>
      <w:r w:rsidRPr="00C92BF5">
        <w:rPr>
          <w:rFonts w:cs="Times New Roman"/>
          <w:szCs w:val="24"/>
        </w:rPr>
        <w:t xml:space="preserve"> - os poços de visita devem atender às mudanças de direção, de diâmetro e de declividade à ligação das bocas-de-lobo, ao entroncamento dos diversos trechos e ao afastamento máximo admissível.</w:t>
      </w:r>
    </w:p>
    <w:p w:rsidR="00E32574" w:rsidRPr="00C92BF5" w:rsidRDefault="00E32574" w:rsidP="00714DBF">
      <w:pPr>
        <w:spacing w:after="0" w:line="360" w:lineRule="auto"/>
        <w:ind w:firstLine="708"/>
        <w:jc w:val="both"/>
        <w:rPr>
          <w:rFonts w:cs="Times New Roman"/>
          <w:szCs w:val="24"/>
        </w:rPr>
      </w:pPr>
      <w:r w:rsidRPr="00C92BF5">
        <w:rPr>
          <w:rFonts w:cs="Times New Roman"/>
          <w:b/>
          <w:szCs w:val="24"/>
        </w:rPr>
        <w:t>Galerias circulares</w:t>
      </w:r>
      <w:r w:rsidRPr="00C92BF5">
        <w:rPr>
          <w:rFonts w:cs="Times New Roman"/>
          <w:szCs w:val="24"/>
        </w:rPr>
        <w:t xml:space="preserve"> - o diâmetro mínimo das galerias de seção circular deve ser de 0,30m. Os diâmetros comerciais correntes são: 0,30; 0,40; 0,50; 0,60; 0,80; 1,00; 1,20 e 1,50m. Alguns dos critérios básicos de projeto são os seguintes:</w:t>
      </w:r>
    </w:p>
    <w:p w:rsidR="00E32574" w:rsidRPr="006F771C" w:rsidRDefault="00714DBF" w:rsidP="0053477A">
      <w:pPr>
        <w:pStyle w:val="PargrafodaLista"/>
        <w:numPr>
          <w:ilvl w:val="0"/>
          <w:numId w:val="54"/>
        </w:numPr>
        <w:spacing w:after="0" w:line="360" w:lineRule="auto"/>
        <w:ind w:left="567" w:hanging="283"/>
        <w:jc w:val="both"/>
        <w:rPr>
          <w:rFonts w:cs="Times New Roman"/>
          <w:bCs/>
          <w:szCs w:val="24"/>
        </w:rPr>
      </w:pPr>
      <w:r>
        <w:rPr>
          <w:rFonts w:cs="Times New Roman"/>
          <w:bCs/>
          <w:szCs w:val="24"/>
        </w:rPr>
        <w:t>A</w:t>
      </w:r>
      <w:r w:rsidR="00E32574" w:rsidRPr="006F771C">
        <w:rPr>
          <w:rFonts w:cs="Times New Roman"/>
          <w:bCs/>
          <w:szCs w:val="24"/>
        </w:rPr>
        <w:t>s galerias pluviais são projetadas para funcionamento a seção plena com a vazão de projeto. A velocidade máxima admissível determina-se em função do material a ser empregado na rede. Para tubo de concreto, a velocidade máxima admissível é de 4,0m/s, a velocidade mínima é de 0,80 m/s;</w:t>
      </w:r>
    </w:p>
    <w:p w:rsidR="00E32574" w:rsidRPr="006F771C" w:rsidRDefault="00714DBF" w:rsidP="0053477A">
      <w:pPr>
        <w:pStyle w:val="PargrafodaLista"/>
        <w:numPr>
          <w:ilvl w:val="0"/>
          <w:numId w:val="54"/>
        </w:numPr>
        <w:spacing w:after="0" w:line="360" w:lineRule="auto"/>
        <w:ind w:left="567" w:hanging="283"/>
        <w:jc w:val="both"/>
        <w:rPr>
          <w:rFonts w:cs="Times New Roman"/>
          <w:bCs/>
          <w:szCs w:val="24"/>
        </w:rPr>
      </w:pPr>
      <w:r>
        <w:rPr>
          <w:rFonts w:cs="Times New Roman"/>
          <w:bCs/>
          <w:szCs w:val="24"/>
        </w:rPr>
        <w:t>O</w:t>
      </w:r>
      <w:r w:rsidR="00E32574" w:rsidRPr="006F771C">
        <w:rPr>
          <w:rFonts w:cs="Times New Roman"/>
          <w:bCs/>
          <w:szCs w:val="24"/>
        </w:rPr>
        <w:t xml:space="preserve"> recobrimento mínimo da rede deve ser de 1,00m, quando forem empregadas tubulações sem estrutura especial. Quando, por condições topográficas, forem utilizados recobrimentos menores, as canalizações deverão ser projetadas do ponto de vista estrutural;</w:t>
      </w:r>
    </w:p>
    <w:p w:rsidR="00E32574" w:rsidRDefault="00714DBF" w:rsidP="0053477A">
      <w:pPr>
        <w:pStyle w:val="PargrafodaLista"/>
        <w:numPr>
          <w:ilvl w:val="0"/>
          <w:numId w:val="54"/>
        </w:numPr>
        <w:spacing w:after="0" w:line="360" w:lineRule="auto"/>
        <w:ind w:left="567" w:hanging="283"/>
        <w:jc w:val="both"/>
        <w:rPr>
          <w:rFonts w:cs="Times New Roman"/>
          <w:bCs/>
          <w:szCs w:val="24"/>
        </w:rPr>
      </w:pPr>
      <w:r>
        <w:rPr>
          <w:rFonts w:cs="Times New Roman"/>
          <w:bCs/>
          <w:szCs w:val="24"/>
        </w:rPr>
        <w:t>N</w:t>
      </w:r>
      <w:r w:rsidR="00E32574" w:rsidRPr="006F771C">
        <w:rPr>
          <w:rFonts w:cs="Times New Roman"/>
          <w:bCs/>
          <w:szCs w:val="24"/>
        </w:rPr>
        <w:t>as mudanças de diâmetro, os tubos deverão ser alinhados pela geratriz superior</w:t>
      </w:r>
      <w:r>
        <w:rPr>
          <w:rFonts w:cs="Times New Roman"/>
          <w:bCs/>
          <w:szCs w:val="24"/>
        </w:rPr>
        <w:t>.</w:t>
      </w:r>
      <w:r w:rsidR="00E32574" w:rsidRPr="006F771C">
        <w:rPr>
          <w:rFonts w:cs="Times New Roman"/>
          <w:bCs/>
          <w:szCs w:val="24"/>
        </w:rPr>
        <w:t xml:space="preserve"> </w:t>
      </w:r>
    </w:p>
    <w:p w:rsidR="00E32574" w:rsidRPr="00A369F0" w:rsidRDefault="00714DBF" w:rsidP="00971B37">
      <w:pPr>
        <w:pStyle w:val="Titulo"/>
      </w:pPr>
      <w:bookmarkStart w:id="709" w:name="_Toc372559205"/>
      <w:bookmarkStart w:id="710" w:name="_Toc372789636"/>
      <w:r w:rsidRPr="00A369F0">
        <w:t>1</w:t>
      </w:r>
      <w:r w:rsidR="00031935">
        <w:t>4</w:t>
      </w:r>
      <w:r w:rsidRPr="00A369F0">
        <w:t>.11.3 Controle da Vazão Utilizando Amortecimento</w:t>
      </w:r>
      <w:bookmarkEnd w:id="709"/>
      <w:bookmarkEnd w:id="710"/>
    </w:p>
    <w:p w:rsidR="00E32574" w:rsidRPr="00C92BF5" w:rsidRDefault="00E32574" w:rsidP="00714DBF">
      <w:pPr>
        <w:spacing w:after="0" w:line="360" w:lineRule="auto"/>
        <w:ind w:firstLine="709"/>
        <w:jc w:val="both"/>
        <w:rPr>
          <w:rFonts w:cs="Times New Roman"/>
          <w:szCs w:val="24"/>
        </w:rPr>
      </w:pPr>
      <w:r w:rsidRPr="00C92BF5">
        <w:rPr>
          <w:rFonts w:cs="Times New Roman"/>
          <w:szCs w:val="24"/>
        </w:rPr>
        <w:t>A medida de controle, tradicionalmente utilizada para eliminar as inundações na microdrenagem, consiste em drenar a área desenvolvida através de condutos pluviais até um coletor principal ou riacho urbano. Esse tipo de solução acaba transferindo para jusante o aumento do escoamento superficial com maior velocidade, já que o tempo de deslocamento do escoamento é menor que nas condições preexistentes. Desta forma, acaba provocando inundações nos troncos principais ou na macrodrenagem.</w:t>
      </w:r>
    </w:p>
    <w:p w:rsidR="00E32574" w:rsidRPr="00C92BF5" w:rsidRDefault="00E32574" w:rsidP="00714DBF">
      <w:pPr>
        <w:spacing w:after="0" w:line="360" w:lineRule="auto"/>
        <w:ind w:firstLine="709"/>
        <w:jc w:val="both"/>
        <w:rPr>
          <w:rFonts w:cs="Times New Roman"/>
          <w:szCs w:val="24"/>
        </w:rPr>
      </w:pPr>
      <w:r w:rsidRPr="00C92BF5">
        <w:rPr>
          <w:rFonts w:cs="Times New Roman"/>
          <w:szCs w:val="24"/>
        </w:rPr>
        <w:t>A impermeabilização e a canalização produzem aumento da vazão máxima e do escoamento superficial. Para que esse acréscimo de vazão máxima não seja transferido para jusante, utiliza-se o amortecimento do volume gerado, através de dispositivos como: tanques, lagos e pequenos reservatórios abertos ou enterrados, entre outros. Essas medidas são denominadas de controle a jusante.</w:t>
      </w:r>
    </w:p>
    <w:p w:rsidR="00E32574" w:rsidRPr="00C92BF5" w:rsidRDefault="00E32574" w:rsidP="00714DBF">
      <w:pPr>
        <w:spacing w:after="0" w:line="360" w:lineRule="auto"/>
        <w:ind w:firstLine="709"/>
        <w:jc w:val="both"/>
        <w:rPr>
          <w:rFonts w:cs="Times New Roman"/>
          <w:szCs w:val="24"/>
        </w:rPr>
      </w:pPr>
      <w:r w:rsidRPr="00714DBF">
        <w:rPr>
          <w:rFonts w:cs="Times New Roman"/>
          <w:b/>
          <w:szCs w:val="24"/>
        </w:rPr>
        <w:t>Características e funções dos reservatórios</w:t>
      </w:r>
      <w:r w:rsidR="00714DBF">
        <w:rPr>
          <w:rFonts w:cs="Times New Roman"/>
          <w:szCs w:val="24"/>
        </w:rPr>
        <w:t>: o</w:t>
      </w:r>
      <w:r w:rsidRPr="00C92BF5">
        <w:rPr>
          <w:rFonts w:cs="Times New Roman"/>
          <w:szCs w:val="24"/>
        </w:rPr>
        <w:t>s reservatórios são utilizados de acordo com o objetivo do controle desejado. Esse dispositivo pode ser utilizado para:</w:t>
      </w:r>
    </w:p>
    <w:p w:rsidR="00E32574" w:rsidRPr="00C92BF5" w:rsidRDefault="00E32574" w:rsidP="00714DBF">
      <w:pPr>
        <w:spacing w:after="0" w:line="360" w:lineRule="auto"/>
        <w:ind w:firstLine="709"/>
        <w:jc w:val="both"/>
        <w:rPr>
          <w:rFonts w:cs="Times New Roman"/>
          <w:szCs w:val="24"/>
        </w:rPr>
      </w:pPr>
      <w:r w:rsidRPr="00C92BF5">
        <w:rPr>
          <w:rFonts w:cs="Times New Roman"/>
          <w:b/>
          <w:szCs w:val="24"/>
        </w:rPr>
        <w:lastRenderedPageBreak/>
        <w:t>Controle da vazão máxim</w:t>
      </w:r>
      <w:r w:rsidRPr="00C92BF5">
        <w:rPr>
          <w:rFonts w:cs="Times New Roman"/>
          <w:szCs w:val="24"/>
        </w:rPr>
        <w:t xml:space="preserve">a: </w:t>
      </w:r>
      <w:r w:rsidR="00714DBF">
        <w:rPr>
          <w:rFonts w:cs="Times New Roman"/>
          <w:szCs w:val="24"/>
        </w:rPr>
        <w:t>e</w:t>
      </w:r>
      <w:r w:rsidRPr="00C92BF5">
        <w:rPr>
          <w:rFonts w:cs="Times New Roman"/>
          <w:szCs w:val="24"/>
        </w:rPr>
        <w:t>ste é o caso típico de controle dos efeitos de inundação sobre áreas urbanas. O reservatório é utilizado para amortecer o pico da vazão a jusante, reduzindo a seção hidráulica dos condutos e procurando manter as condições de vazão pré-existente na área desenvolvida.</w:t>
      </w:r>
    </w:p>
    <w:p w:rsidR="00E32574" w:rsidRPr="00C92BF5" w:rsidRDefault="00E32574" w:rsidP="00714DBF">
      <w:pPr>
        <w:spacing w:after="0" w:line="360" w:lineRule="auto"/>
        <w:ind w:firstLine="709"/>
        <w:jc w:val="both"/>
        <w:rPr>
          <w:rFonts w:cs="Times New Roman"/>
          <w:szCs w:val="24"/>
        </w:rPr>
      </w:pPr>
      <w:r w:rsidRPr="00C92BF5">
        <w:rPr>
          <w:rFonts w:cs="Times New Roman"/>
          <w:b/>
          <w:szCs w:val="24"/>
        </w:rPr>
        <w:t>Controle do volume:</w:t>
      </w:r>
      <w:r w:rsidRPr="00C92BF5">
        <w:rPr>
          <w:rFonts w:cs="Times New Roman"/>
          <w:szCs w:val="24"/>
        </w:rPr>
        <w:t xml:space="preserve"> normalmente, esse tipo de controle é utilizado quando o escoamento cloacal e pluvial são transportados por condutos combinados ou quando recebe a água de uma área sujeita a contaminação. Como a capacidade de uma estação de tratamento é limitada, é necessário armazenar o volume para que possa ser tratado. O reservatório também é utilizado para a deposição de sedimentos e depuração da qualidade da água, mantendo seu volume por mais tempo dentro do reservatório. O tempo de detenção, que é a diferença entre o centro de gravidade do hidrograma de entrada e o de saída, é um dos indicadores utilizados para avaliar a capacidade de depuração do reservatório.</w:t>
      </w:r>
    </w:p>
    <w:p w:rsidR="00E32574" w:rsidRPr="00C92BF5" w:rsidRDefault="00E32574" w:rsidP="00714DBF">
      <w:pPr>
        <w:spacing w:after="0" w:line="360" w:lineRule="auto"/>
        <w:ind w:firstLine="709"/>
        <w:jc w:val="both"/>
        <w:rPr>
          <w:rFonts w:cs="Times New Roman"/>
          <w:szCs w:val="24"/>
        </w:rPr>
      </w:pPr>
      <w:r w:rsidRPr="00C92BF5">
        <w:rPr>
          <w:rFonts w:cs="Times New Roman"/>
          <w:b/>
          <w:szCs w:val="24"/>
        </w:rPr>
        <w:t>Controle de material sólido:</w:t>
      </w:r>
      <w:r w:rsidRPr="00C92BF5">
        <w:rPr>
          <w:rFonts w:cs="Times New Roman"/>
          <w:szCs w:val="24"/>
        </w:rPr>
        <w:t xml:space="preserve"> quando a quantidade de sedimentos produzida é significativa, esse tipo de dispositivo pode reter parte dos sedimentos para que sejam retirados do sistema de drenagem.</w:t>
      </w:r>
    </w:p>
    <w:p w:rsidR="00E32574" w:rsidRPr="00C92BF5" w:rsidRDefault="00E32574" w:rsidP="00714DBF">
      <w:pPr>
        <w:spacing w:after="0" w:line="360" w:lineRule="auto"/>
        <w:ind w:firstLine="709"/>
        <w:jc w:val="both"/>
        <w:rPr>
          <w:rFonts w:cs="Times New Roman"/>
          <w:szCs w:val="24"/>
        </w:rPr>
      </w:pPr>
      <w:r w:rsidRPr="00C92BF5">
        <w:rPr>
          <w:rFonts w:cs="Times New Roman"/>
          <w:szCs w:val="24"/>
        </w:rPr>
        <w:t>Os reservatórios podem ser dimensionados para manterem uma lâmina permanente de água (retenção), ou secarem após o seu uso, durante uma chuva intensa para serem utilizados em outras finalidades (detenção). A vantagem da manutenção da lâmina de água e do consequente volume morto é que não haverá crescimento de vegetação indesejável no fundo, sendo o reservatório mais eficiente para controle da qualidade da água. O seu uso integrado, junto a parques, pode permitir um bom ambiente recreacional. A vantagem de utilização do dispositivo seco é que pode ser utilizado para outras finalidades. Uma prática comum consiste em dimensionar uma determinada área do reservatório para escoar uma cheia frequente, como a de dois anos, e planejar a área de extravasamento com paisagismo e campos de esporte para as cheias acima da cota referente ao risco mencionado. Quando a mesma ocorrer, será necessário realizar apenas a limpeza da área atingida, sem maiores danos a montante ou a jusante.</w:t>
      </w:r>
    </w:p>
    <w:p w:rsidR="00E32574" w:rsidRPr="00C92BF5" w:rsidRDefault="00E32574" w:rsidP="00714DBF">
      <w:pPr>
        <w:spacing w:after="0" w:line="360" w:lineRule="auto"/>
        <w:ind w:firstLine="709"/>
        <w:jc w:val="both"/>
        <w:rPr>
          <w:rFonts w:cs="Times New Roman"/>
          <w:szCs w:val="24"/>
        </w:rPr>
      </w:pPr>
      <w:r w:rsidRPr="00C92BF5">
        <w:rPr>
          <w:rFonts w:cs="Times New Roman"/>
          <w:szCs w:val="24"/>
        </w:rPr>
        <w:t xml:space="preserve">Os reservatórios ou bacias de detenção são os mais utilizados nos Estados Unidos, Canadá e Austrália. São projetados, principalmente, para controle da vazão, com </w:t>
      </w:r>
      <w:r w:rsidRPr="00C92BF5">
        <w:rPr>
          <w:rFonts w:cs="Times New Roman"/>
          <w:szCs w:val="24"/>
        </w:rPr>
        <w:lastRenderedPageBreak/>
        <w:t xml:space="preserve">esvaziamento de até seis horas e com pouco efeito sobre a remoção de poluentes. Aumentando-se a detenção para 24 a 60 h, poderá haver melhora na remoção de poluentes </w:t>
      </w:r>
      <w:r w:rsidRPr="00714DBF">
        <w:rPr>
          <w:rFonts w:cs="Times New Roman"/>
          <w:szCs w:val="24"/>
        </w:rPr>
        <w:t>(</w:t>
      </w:r>
      <w:r w:rsidR="00714DBF" w:rsidRPr="00714DBF">
        <w:rPr>
          <w:rFonts w:cs="Times New Roman"/>
          <w:szCs w:val="24"/>
        </w:rPr>
        <w:t>URBONAS</w:t>
      </w:r>
      <w:r w:rsidRPr="00714DBF">
        <w:rPr>
          <w:rFonts w:cs="Times New Roman"/>
          <w:szCs w:val="24"/>
        </w:rPr>
        <w:t xml:space="preserve"> e </w:t>
      </w:r>
      <w:r w:rsidR="00714DBF" w:rsidRPr="00714DBF">
        <w:rPr>
          <w:rFonts w:cs="Times New Roman"/>
          <w:szCs w:val="24"/>
        </w:rPr>
        <w:t>ROESNER</w:t>
      </w:r>
      <w:r w:rsidRPr="00714DBF">
        <w:rPr>
          <w:rFonts w:cs="Times New Roman"/>
          <w:szCs w:val="24"/>
        </w:rPr>
        <w:t>, 1994), sendo que para esta finalidade é mais indicado o uso</w:t>
      </w:r>
      <w:r w:rsidRPr="00C92BF5">
        <w:rPr>
          <w:rFonts w:cs="Times New Roman"/>
          <w:szCs w:val="24"/>
        </w:rPr>
        <w:t xml:space="preserve"> de um reservatório de retenção. Este tipo reservatório pode ter um fundo natural, escavado ou de concreto. Os reservatórios em concreto são mais caros, mas permitem paredes verticais, com aumento de volume. Isso é útil onde o espaço tem um custo alto.</w:t>
      </w:r>
    </w:p>
    <w:p w:rsidR="00E32574" w:rsidRDefault="00E32574" w:rsidP="00714DBF">
      <w:pPr>
        <w:spacing w:after="0" w:line="360" w:lineRule="auto"/>
        <w:ind w:firstLine="709"/>
        <w:jc w:val="both"/>
        <w:rPr>
          <w:rFonts w:cs="Times New Roman"/>
          <w:szCs w:val="24"/>
        </w:rPr>
      </w:pPr>
      <w:r w:rsidRPr="00714DBF">
        <w:rPr>
          <w:rFonts w:cs="Times New Roman"/>
          <w:szCs w:val="24"/>
        </w:rPr>
        <w:t>ASCE (1985)</w:t>
      </w:r>
      <w:r w:rsidRPr="00C92BF5">
        <w:rPr>
          <w:rFonts w:cs="Times New Roman"/>
          <w:szCs w:val="24"/>
        </w:rPr>
        <w:t xml:space="preserve"> menciona que as instalações de detenção têm maior sucesso quando a instalação está integrada a outros usos, como a recreação, já que a comunidade, no seu cotidiano, usará esse espaço de recreação. Portanto, é desejável que o projeto desse sistema esteja integrado ao planejamento do uso da área.</w:t>
      </w:r>
    </w:p>
    <w:p w:rsidR="00E32574" w:rsidRPr="00C92BF5" w:rsidRDefault="00714DBF" w:rsidP="00971B37">
      <w:pPr>
        <w:pStyle w:val="Titulo"/>
      </w:pPr>
      <w:bookmarkStart w:id="711" w:name="_Toc372559206"/>
      <w:bookmarkStart w:id="712" w:name="_Toc372789637"/>
      <w:r>
        <w:t>1</w:t>
      </w:r>
      <w:r w:rsidR="00031935">
        <w:t>4</w:t>
      </w:r>
      <w:r>
        <w:t xml:space="preserve">.12 </w:t>
      </w:r>
      <w:r w:rsidRPr="00C92BF5">
        <w:t>Macrodrenagem: Cen</w:t>
      </w:r>
      <w:r>
        <w:t>á</w:t>
      </w:r>
      <w:r w:rsidRPr="00C92BF5">
        <w:t>rio Existente</w:t>
      </w:r>
      <w:bookmarkEnd w:id="711"/>
      <w:bookmarkEnd w:id="712"/>
    </w:p>
    <w:p w:rsidR="00E32574" w:rsidRPr="00C92BF5" w:rsidRDefault="00E32574" w:rsidP="00714DBF">
      <w:pPr>
        <w:spacing w:after="0" w:line="360" w:lineRule="auto"/>
        <w:ind w:firstLine="709"/>
        <w:jc w:val="both"/>
        <w:rPr>
          <w:rFonts w:cs="Times New Roman"/>
          <w:szCs w:val="24"/>
        </w:rPr>
      </w:pPr>
      <w:r w:rsidRPr="00C92BF5">
        <w:rPr>
          <w:rFonts w:cs="Times New Roman"/>
          <w:szCs w:val="24"/>
        </w:rPr>
        <w:t>A macrodrenagem envolve bacias geralmente com área superior a 2 km</w:t>
      </w:r>
      <w:r w:rsidRPr="00C92BF5">
        <w:rPr>
          <w:rFonts w:cs="Times New Roman"/>
          <w:szCs w:val="24"/>
          <w:vertAlign w:val="superscript"/>
        </w:rPr>
        <w:t xml:space="preserve">2 </w:t>
      </w:r>
      <w:r w:rsidRPr="00C92BF5">
        <w:rPr>
          <w:rFonts w:cs="Times New Roman"/>
          <w:szCs w:val="24"/>
        </w:rPr>
        <w:t>ou 200 ha, onde o escoamento é composto pela drenagem de áreas urbanizadas e não urbanizadas podendo possuir as mais diferentes configurações. O planejamento da drenagem urbana na macrodrenagem envolve a definição de cenários, medidas de planejamento do controle de macrodrenagem e estudos de alternativas de projeto. O sistema de macrodrenagem deve ser projetado com capacidade superior ao de microdrenagem, com riscos de acordo com os prejuízos humanos e materiais potenciais.</w:t>
      </w:r>
    </w:p>
    <w:p w:rsidR="00E32574" w:rsidRPr="00C92BF5" w:rsidRDefault="00E32574" w:rsidP="00714DBF">
      <w:pPr>
        <w:spacing w:after="0" w:line="360" w:lineRule="auto"/>
        <w:ind w:firstLine="709"/>
        <w:jc w:val="both"/>
        <w:rPr>
          <w:rFonts w:cs="Times New Roman"/>
          <w:szCs w:val="24"/>
        </w:rPr>
      </w:pPr>
      <w:r w:rsidRPr="00C92BF5">
        <w:rPr>
          <w:rFonts w:cs="Times New Roman"/>
          <w:szCs w:val="24"/>
        </w:rPr>
        <w:t xml:space="preserve">No município de Aimorés, não existem sistemas de macrodrenagem receptores dos sistemas de microdrenagem distribuídos nas vias da cidade. Ao longo do tempo de existência da cidade, toda a água de precipitação é lançada nos pequenos cursos d água (córregos Natividade, Chucha, Sossego, Salgado) juntamente o esgoto coletado ao longo </w:t>
      </w:r>
      <w:r w:rsidRPr="00714DBF">
        <w:rPr>
          <w:rFonts w:cs="Times New Roman"/>
          <w:szCs w:val="24"/>
        </w:rPr>
        <w:t>da cidade (Figura</w:t>
      </w:r>
      <w:r w:rsidR="00714DBF" w:rsidRPr="00714DBF">
        <w:rPr>
          <w:rFonts w:cs="Times New Roman"/>
          <w:szCs w:val="24"/>
        </w:rPr>
        <w:t xml:space="preserve"> 189</w:t>
      </w:r>
      <w:r w:rsidRPr="00714DBF">
        <w:rPr>
          <w:rFonts w:cs="Times New Roman"/>
          <w:szCs w:val="24"/>
        </w:rPr>
        <w:t>).</w:t>
      </w:r>
      <w:r w:rsidRPr="00C92BF5">
        <w:rPr>
          <w:rFonts w:cs="Times New Roman"/>
          <w:szCs w:val="24"/>
        </w:rPr>
        <w:t xml:space="preserve"> </w:t>
      </w:r>
    </w:p>
    <w:p w:rsidR="00714DBF" w:rsidRDefault="00714DBF">
      <w:pPr>
        <w:spacing w:after="200" w:line="276" w:lineRule="auto"/>
        <w:rPr>
          <w:rFonts w:eastAsiaTheme="minorEastAsia" w:cs="Times New Roman"/>
          <w:b/>
          <w:bCs/>
          <w:szCs w:val="24"/>
          <w:lang w:eastAsia="pt-BR"/>
        </w:rPr>
      </w:pPr>
      <w:bookmarkStart w:id="713" w:name="_Toc372117241"/>
      <w:r>
        <w:rPr>
          <w:b/>
        </w:rPr>
        <w:br w:type="page"/>
      </w:r>
    </w:p>
    <w:p w:rsidR="006F771C" w:rsidRPr="00C92BF5" w:rsidRDefault="00291A25" w:rsidP="00291A25">
      <w:pPr>
        <w:pStyle w:val="Legenda"/>
      </w:pPr>
      <w:bookmarkStart w:id="714" w:name="_Toc372740272"/>
      <w:bookmarkEnd w:id="713"/>
      <w:r>
        <w:lastRenderedPageBreak/>
        <w:t xml:space="preserve">Figura </w:t>
      </w:r>
      <w:fldSimple w:instr=" SEQ Figura \* ARABIC ">
        <w:r w:rsidR="004F77E2">
          <w:rPr>
            <w:noProof/>
          </w:rPr>
          <w:t>189</w:t>
        </w:r>
      </w:fldSimple>
      <w:r>
        <w:t xml:space="preserve"> - </w:t>
      </w:r>
      <w:r w:rsidRPr="003A2AF0">
        <w:rPr>
          <w:noProof/>
        </w:rPr>
        <w:t>Lançamento de esgoto na rede pluvial rua Baião, 293 na cidade de Aimorés.</w:t>
      </w:r>
      <w:bookmarkEnd w:id="714"/>
    </w:p>
    <w:p w:rsidR="00E32574" w:rsidRPr="000B3308" w:rsidRDefault="00E32574" w:rsidP="000B3308">
      <w:pPr>
        <w:spacing w:after="0" w:line="240" w:lineRule="auto"/>
        <w:jc w:val="center"/>
        <w:rPr>
          <w:noProof/>
          <w:lang w:eastAsia="pt-BR"/>
        </w:rPr>
      </w:pPr>
      <w:r w:rsidRPr="000B3308">
        <w:rPr>
          <w:noProof/>
          <w:lang w:eastAsia="pt-BR"/>
        </w:rPr>
        <w:drawing>
          <wp:inline distT="0" distB="0" distL="0" distR="0">
            <wp:extent cx="4535424" cy="3401568"/>
            <wp:effectExtent l="0" t="0" r="0" b="8890"/>
            <wp:docPr id="228" name="Imagem 228" descr="C:\Users\KLEBER\Desktop\Nova pasta\AIMORES_FOTOS_OKK\MATERIAL VINICIUS\FOTOS KLEBER\Foto 13 Ponto 124 Lançamento de esgoto na rede pluvial (3 m de largura x 2,5 altura) Rua Baiao, 2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LEBER\Desktop\Nova pasta\AIMORES_FOTOS_OKK\MATERIAL VINICIUS\FOTOS KLEBER\Foto 13 Ponto 124 Lançamento de esgoto na rede pluvial (3 m de largura x 2,5 altura) Rua Baiao, 293.JPG"/>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544327" cy="3408245"/>
                    </a:xfrm>
                    <a:prstGeom prst="rect">
                      <a:avLst/>
                    </a:prstGeom>
                    <a:noFill/>
                    <a:ln>
                      <a:noFill/>
                    </a:ln>
                  </pic:spPr>
                </pic:pic>
              </a:graphicData>
            </a:graphic>
          </wp:inline>
        </w:drawing>
      </w:r>
    </w:p>
    <w:p w:rsidR="00714DBF" w:rsidRPr="008E5D92" w:rsidRDefault="00714DBF" w:rsidP="00714DBF">
      <w:pPr>
        <w:spacing w:before="120"/>
        <w:ind w:left="567" w:firstLine="142"/>
        <w:rPr>
          <w:rFonts w:cs="Times New Roman"/>
          <w:sz w:val="20"/>
          <w:szCs w:val="20"/>
        </w:rPr>
      </w:pPr>
      <w:r w:rsidRPr="008E5D92">
        <w:rPr>
          <w:rFonts w:cs="Times New Roman"/>
          <w:sz w:val="20"/>
          <w:szCs w:val="20"/>
        </w:rPr>
        <w:t>Fonte: Fundação Educacional de Caratinga, 2013</w:t>
      </w:r>
    </w:p>
    <w:p w:rsidR="00E32574" w:rsidRDefault="00E32574" w:rsidP="00714DBF">
      <w:pPr>
        <w:spacing w:after="0" w:line="360" w:lineRule="auto"/>
        <w:ind w:firstLine="709"/>
        <w:jc w:val="both"/>
        <w:rPr>
          <w:rFonts w:cs="Times New Roman"/>
          <w:szCs w:val="24"/>
        </w:rPr>
      </w:pPr>
      <w:r w:rsidRPr="00C92BF5">
        <w:rPr>
          <w:rFonts w:cs="Times New Roman"/>
          <w:szCs w:val="24"/>
        </w:rPr>
        <w:t>Um volume pequeno de precipitação é o suficiente para gerar transtornos nas ruas da cidade e distritos. Como não existem trabalhos efetivos sobre a macrodrenagem no município de Aimorés, um planejamento deve ser proposto a fim de regularizar os gargalos, não somente de macrodrenagem com as microbacias do município assoreadas sem um mínimo de capacidade (volume de carga que pode ser transportado) e competência (tamanho máximo do material que pode ser transportado) no transporte de carga sólida (em suspensão ou de fundo).</w:t>
      </w:r>
    </w:p>
    <w:p w:rsidR="00031935" w:rsidRPr="00BA341D" w:rsidRDefault="00031935" w:rsidP="00031935">
      <w:pPr>
        <w:pStyle w:val="Titulo"/>
      </w:pPr>
      <w:bookmarkStart w:id="715" w:name="_Toc372559207"/>
      <w:bookmarkStart w:id="716" w:name="_Toc372789638"/>
      <w:r w:rsidRPr="00A275C9">
        <w:t>1</w:t>
      </w:r>
      <w:r>
        <w:t>4</w:t>
      </w:r>
      <w:r w:rsidRPr="00A275C9">
        <w:t>.</w:t>
      </w:r>
      <w:r>
        <w:t>13 Comunicação Social</w:t>
      </w:r>
    </w:p>
    <w:p w:rsidR="00031935" w:rsidRPr="00A275C9" w:rsidRDefault="00031935" w:rsidP="00031935">
      <w:pPr>
        <w:pStyle w:val="Titulo"/>
      </w:pPr>
      <w:r w:rsidRPr="00A275C9">
        <w:t>1</w:t>
      </w:r>
      <w:r>
        <w:t>4</w:t>
      </w:r>
      <w:r w:rsidRPr="00A275C9">
        <w:t>.</w:t>
      </w:r>
      <w:r>
        <w:t>13</w:t>
      </w:r>
      <w:r w:rsidRPr="00A275C9">
        <w:t xml:space="preserve">.1 </w:t>
      </w:r>
      <w:r>
        <w:t>Mobilização Comunitária</w:t>
      </w:r>
    </w:p>
    <w:p w:rsidR="00031935" w:rsidRPr="00ED7D13" w:rsidRDefault="00031935" w:rsidP="00031935">
      <w:pPr>
        <w:spacing w:after="0" w:line="360" w:lineRule="auto"/>
        <w:ind w:firstLine="709"/>
        <w:jc w:val="both"/>
        <w:rPr>
          <w:rFonts w:eastAsia="Calibri" w:cs="Times New Roman"/>
          <w:sz w:val="28"/>
          <w:szCs w:val="28"/>
        </w:rPr>
      </w:pPr>
      <w:r w:rsidRPr="00ED7D13">
        <w:rPr>
          <w:rFonts w:eastAsia="Calibri" w:cs="Times New Roman"/>
          <w:szCs w:val="24"/>
        </w:rPr>
        <w:t xml:space="preserve">Em todas as etapas de elaboração do Plano Municipal de Saneamento Básico de Aimorés (PMSBA), deverá ser garantida a participação e o controle social, em conformidade com a Lei Federal 11.445/2007, que define a necessidade do estabelecimento de um conjunto de mecanismos e procedimentos que garantam à </w:t>
      </w:r>
      <w:r w:rsidRPr="00ED7D13">
        <w:rPr>
          <w:rFonts w:eastAsia="Calibri" w:cs="Times New Roman"/>
          <w:szCs w:val="24"/>
        </w:rPr>
        <w:lastRenderedPageBreak/>
        <w:t>sociedade “informações, representações técnicas e participações nos processos de formulação de políticas, de planejamento e de avaliação relacionados aos serviços públicos de saneamento</w:t>
      </w:r>
      <w:r w:rsidRPr="00ED7D13">
        <w:rPr>
          <w:rFonts w:eastAsia="Calibri" w:cs="Times New Roman"/>
          <w:sz w:val="28"/>
          <w:szCs w:val="28"/>
        </w:rPr>
        <w:t xml:space="preserve"> </w:t>
      </w:r>
      <w:r w:rsidRPr="00ED7D13">
        <w:rPr>
          <w:rFonts w:eastAsia="Calibri" w:cs="Times New Roman"/>
          <w:szCs w:val="24"/>
        </w:rPr>
        <w:t>básico".</w:t>
      </w:r>
    </w:p>
    <w:p w:rsidR="00031935" w:rsidRPr="00ED7D13" w:rsidRDefault="00031935" w:rsidP="00031935">
      <w:pPr>
        <w:spacing w:after="0" w:line="360" w:lineRule="auto"/>
        <w:ind w:firstLine="709"/>
        <w:jc w:val="both"/>
        <w:rPr>
          <w:rFonts w:eastAsia="Calibri" w:cs="Times New Roman"/>
          <w:szCs w:val="24"/>
        </w:rPr>
      </w:pPr>
      <w:r w:rsidRPr="00ED7D13">
        <w:rPr>
          <w:rFonts w:eastAsia="Calibri" w:cs="Times New Roman"/>
          <w:szCs w:val="24"/>
        </w:rPr>
        <w:t>A importância da participação da sociedade</w:t>
      </w:r>
      <w:r>
        <w:rPr>
          <w:rFonts w:eastAsia="Calibri" w:cs="Times New Roman"/>
          <w:szCs w:val="24"/>
        </w:rPr>
        <w:t xml:space="preserve"> e do poder público, sendo que o poder público teve quase nenhuma participação neste processo somente com a participação ponderada do assistente do Secretário de Meio Ambiente do município,</w:t>
      </w:r>
      <w:r w:rsidRPr="00ED7D13">
        <w:rPr>
          <w:rFonts w:eastAsia="Calibri" w:cs="Times New Roman"/>
          <w:szCs w:val="24"/>
        </w:rPr>
        <w:t xml:space="preserve"> na elaboração do PMSBA</w:t>
      </w:r>
      <w:r>
        <w:rPr>
          <w:rFonts w:eastAsia="Calibri" w:cs="Times New Roman"/>
          <w:szCs w:val="24"/>
        </w:rPr>
        <w:t xml:space="preserve"> </w:t>
      </w:r>
      <w:r w:rsidRPr="00ED7D13">
        <w:rPr>
          <w:rFonts w:eastAsia="Calibri" w:cs="Times New Roman"/>
          <w:szCs w:val="24"/>
        </w:rPr>
        <w:t>está no entendimento de que é para ela que este instrumento essencialmente tem importância, pois além de trazer a relação profunda de pertencimento, trazendo o empoderamento, e deverá permitir uma mobilização permanente que possa garantir a implantação integral do plano.</w:t>
      </w:r>
    </w:p>
    <w:p w:rsidR="00031935" w:rsidRPr="00ED7D13" w:rsidRDefault="00031935" w:rsidP="00031935">
      <w:pPr>
        <w:spacing w:after="0" w:line="360" w:lineRule="auto"/>
        <w:ind w:firstLine="900"/>
        <w:jc w:val="both"/>
        <w:rPr>
          <w:rFonts w:eastAsia="Calibri" w:cs="Times New Roman"/>
          <w:szCs w:val="24"/>
        </w:rPr>
      </w:pPr>
      <w:r w:rsidRPr="00ED7D13">
        <w:rPr>
          <w:rFonts w:eastAsia="Calibri" w:cs="Times New Roman"/>
          <w:szCs w:val="24"/>
        </w:rPr>
        <w:t>O processo de mobilização social se dará de forma a atender os seguintes objetivos:</w:t>
      </w:r>
    </w:p>
    <w:p w:rsidR="00031935" w:rsidRPr="00ED7D13" w:rsidRDefault="00031935" w:rsidP="00031935">
      <w:pPr>
        <w:numPr>
          <w:ilvl w:val="0"/>
          <w:numId w:val="56"/>
        </w:numPr>
        <w:spacing w:line="360" w:lineRule="auto"/>
        <w:contextualSpacing/>
        <w:jc w:val="both"/>
        <w:rPr>
          <w:rFonts w:eastAsia="Calibri" w:cs="Times New Roman"/>
          <w:szCs w:val="24"/>
        </w:rPr>
      </w:pPr>
      <w:r w:rsidRPr="00ED7D13">
        <w:rPr>
          <w:rFonts w:eastAsia="Calibri" w:cs="Times New Roman"/>
          <w:szCs w:val="24"/>
        </w:rPr>
        <w:t>Divulgar a elaboração do Plano de Saneamento Básico para o Município de Aimorés -MG;</w:t>
      </w:r>
    </w:p>
    <w:p w:rsidR="00031935" w:rsidRPr="00ED7D13" w:rsidRDefault="00031935" w:rsidP="00031935">
      <w:pPr>
        <w:numPr>
          <w:ilvl w:val="0"/>
          <w:numId w:val="56"/>
        </w:numPr>
        <w:spacing w:line="360" w:lineRule="auto"/>
        <w:contextualSpacing/>
        <w:jc w:val="both"/>
        <w:rPr>
          <w:rFonts w:eastAsia="Calibri" w:cs="Times New Roman"/>
          <w:szCs w:val="24"/>
        </w:rPr>
      </w:pPr>
      <w:r w:rsidRPr="00ED7D13">
        <w:rPr>
          <w:rFonts w:eastAsia="Calibri" w:cs="Times New Roman"/>
          <w:szCs w:val="24"/>
        </w:rPr>
        <w:t>Sensibilizar a comunidade para participação das atividades referentes ao PMSBA;</w:t>
      </w:r>
    </w:p>
    <w:p w:rsidR="00031935" w:rsidRPr="00ED7D13" w:rsidRDefault="00031935" w:rsidP="00031935">
      <w:pPr>
        <w:numPr>
          <w:ilvl w:val="0"/>
          <w:numId w:val="56"/>
        </w:numPr>
        <w:spacing w:line="360" w:lineRule="auto"/>
        <w:contextualSpacing/>
        <w:jc w:val="both"/>
        <w:rPr>
          <w:rFonts w:eastAsia="Calibri" w:cs="Times New Roman"/>
          <w:szCs w:val="24"/>
        </w:rPr>
      </w:pPr>
      <w:r w:rsidRPr="00ED7D13">
        <w:rPr>
          <w:rFonts w:eastAsia="Calibri" w:cs="Times New Roman"/>
          <w:szCs w:val="24"/>
        </w:rPr>
        <w:t>Estimular os diversos atores sociais a participarem do processo de gestão ambiental;</w:t>
      </w:r>
    </w:p>
    <w:p w:rsidR="00031935" w:rsidRPr="00ED7D13" w:rsidRDefault="00031935" w:rsidP="00031935">
      <w:pPr>
        <w:numPr>
          <w:ilvl w:val="0"/>
          <w:numId w:val="56"/>
        </w:numPr>
        <w:spacing w:line="360" w:lineRule="auto"/>
        <w:contextualSpacing/>
        <w:jc w:val="both"/>
        <w:rPr>
          <w:rFonts w:eastAsia="Calibri" w:cs="Times New Roman"/>
          <w:szCs w:val="24"/>
        </w:rPr>
      </w:pPr>
      <w:r w:rsidRPr="00ED7D13">
        <w:rPr>
          <w:rFonts w:eastAsia="Calibri" w:cs="Times New Roman"/>
          <w:szCs w:val="24"/>
        </w:rPr>
        <w:t>Envolver a população na discussão das potencialidades e dos problemas de saneamento ambiental no município e suas implicações na qualidade de vida;</w:t>
      </w:r>
    </w:p>
    <w:p w:rsidR="00031935" w:rsidRPr="00ED7D13" w:rsidRDefault="00031935" w:rsidP="00031935">
      <w:pPr>
        <w:numPr>
          <w:ilvl w:val="0"/>
          <w:numId w:val="56"/>
        </w:numPr>
        <w:spacing w:after="0" w:line="360" w:lineRule="auto"/>
        <w:contextualSpacing/>
        <w:jc w:val="both"/>
        <w:rPr>
          <w:rFonts w:eastAsia="Calibri" w:cs="Times New Roman"/>
          <w:szCs w:val="24"/>
        </w:rPr>
      </w:pPr>
      <w:r w:rsidRPr="00ED7D13">
        <w:rPr>
          <w:rFonts w:eastAsia="Calibri" w:cs="Times New Roman"/>
          <w:szCs w:val="24"/>
        </w:rPr>
        <w:t>Levantar diretrizes e propostas para soluções de problemas locais, através da manifestação popular, a serem consideradas na construção dos diagnósticos e propostas do Plano.</w:t>
      </w:r>
    </w:p>
    <w:p w:rsidR="00031935" w:rsidRPr="00ED7D13" w:rsidRDefault="00031935" w:rsidP="00031935">
      <w:pPr>
        <w:spacing w:after="0" w:line="360" w:lineRule="auto"/>
        <w:ind w:firstLine="709"/>
        <w:jc w:val="both"/>
        <w:rPr>
          <w:rFonts w:eastAsia="Calibri" w:cs="Times New Roman"/>
          <w:szCs w:val="24"/>
        </w:rPr>
      </w:pPr>
      <w:r w:rsidRPr="00ED7D13">
        <w:rPr>
          <w:rFonts w:eastAsia="Calibri" w:cs="Times New Roman"/>
          <w:szCs w:val="24"/>
        </w:rPr>
        <w:t xml:space="preserve">A mobilização e sensibilização da comunidade é a ação mais complexa de todo o programa e deve ser planejada objetivando alcançar o maior número de moradores do município de Aimorés. As ações da mobilização devem ter um conteúdo educativo e informativo e devem atingir cronologicamente o núcleo gestor, os multiplicadores de ideias e a população para uma maior efetividade. </w:t>
      </w:r>
    </w:p>
    <w:p w:rsidR="00031935" w:rsidRPr="00ED7D13" w:rsidRDefault="00031935" w:rsidP="00031935">
      <w:pPr>
        <w:spacing w:after="0" w:line="360" w:lineRule="auto"/>
        <w:ind w:firstLine="709"/>
        <w:jc w:val="both"/>
        <w:rPr>
          <w:rFonts w:eastAsia="Calibri" w:cs="Times New Roman"/>
          <w:szCs w:val="24"/>
        </w:rPr>
      </w:pPr>
      <w:r w:rsidRPr="00ED7D13">
        <w:rPr>
          <w:rFonts w:eastAsia="Calibri" w:cs="Times New Roman"/>
          <w:szCs w:val="24"/>
        </w:rPr>
        <w:t>O núcleo gestor deve ser formado com líderes ou representantes das regiões que, com sua experiência e conhecimento das realidades locais.</w:t>
      </w:r>
    </w:p>
    <w:p w:rsidR="00031935" w:rsidRPr="00ED7D13" w:rsidRDefault="00031935" w:rsidP="00031935">
      <w:pPr>
        <w:spacing w:after="0" w:line="360" w:lineRule="auto"/>
        <w:ind w:firstLine="709"/>
        <w:jc w:val="both"/>
        <w:rPr>
          <w:rFonts w:eastAsia="Calibri" w:cs="Times New Roman"/>
          <w:szCs w:val="24"/>
        </w:rPr>
      </w:pPr>
      <w:r w:rsidRPr="00ED7D13">
        <w:rPr>
          <w:rFonts w:eastAsia="Calibri" w:cs="Times New Roman"/>
          <w:szCs w:val="24"/>
        </w:rPr>
        <w:lastRenderedPageBreak/>
        <w:t>Os multiplicadores são os agentes e lideranças locais que se interessam pelo tema ambiental e social e que são multiplicadores das atividades em cada lugar aonde vão se realizar as audiências públicas. Entre os multiplicadores estão os agentes de saúde, os representantes e funcionários da Prefeitura, representantes de escolas, representantes de centro e saúde, líderes religiosos, esportivos e comunitários, representantes empresariais, políticos e estudantes.</w:t>
      </w:r>
    </w:p>
    <w:p w:rsidR="00031935" w:rsidRPr="00ED7D13" w:rsidRDefault="00031935" w:rsidP="00031935">
      <w:pPr>
        <w:spacing w:after="0" w:line="360" w:lineRule="auto"/>
        <w:ind w:firstLine="709"/>
        <w:jc w:val="both"/>
        <w:rPr>
          <w:rFonts w:eastAsia="Calibri" w:cs="Times New Roman"/>
          <w:szCs w:val="24"/>
        </w:rPr>
      </w:pPr>
      <w:r w:rsidRPr="00ED7D13">
        <w:rPr>
          <w:rFonts w:eastAsia="Calibri" w:cs="Times New Roman"/>
          <w:szCs w:val="24"/>
        </w:rPr>
        <w:t>Devem-se estabelecer em conjunto as atividades mobilizadoras e educativas mais adequadas para fazer o programa para chegar ao público. Para o PMSB Aimorés foram utilizadas as seguintes medidas:</w:t>
      </w:r>
    </w:p>
    <w:p w:rsidR="00031935" w:rsidRPr="00ED7D13" w:rsidRDefault="00031935" w:rsidP="00031935">
      <w:pPr>
        <w:spacing w:after="0" w:line="360" w:lineRule="auto"/>
        <w:ind w:firstLine="709"/>
        <w:jc w:val="both"/>
        <w:rPr>
          <w:rFonts w:eastAsia="Calibri" w:cs="Times New Roman"/>
          <w:szCs w:val="24"/>
        </w:rPr>
      </w:pPr>
      <w:r w:rsidRPr="00ED7D13">
        <w:rPr>
          <w:rFonts w:eastAsia="Calibri" w:cs="Times New Roman"/>
          <w:szCs w:val="24"/>
        </w:rPr>
        <w:t>- Carro/Moto/Bicicleta de Som;</w:t>
      </w:r>
    </w:p>
    <w:p w:rsidR="00031935" w:rsidRPr="00ED7D13" w:rsidRDefault="00031935" w:rsidP="00031935">
      <w:pPr>
        <w:spacing w:after="0" w:line="360" w:lineRule="auto"/>
        <w:ind w:firstLine="709"/>
        <w:jc w:val="both"/>
        <w:rPr>
          <w:rFonts w:eastAsia="Calibri" w:cs="Times New Roman"/>
          <w:szCs w:val="24"/>
        </w:rPr>
      </w:pPr>
      <w:r w:rsidRPr="00ED7D13">
        <w:rPr>
          <w:rFonts w:eastAsia="Calibri" w:cs="Times New Roman"/>
          <w:szCs w:val="24"/>
        </w:rPr>
        <w:t>- Folders entregues aos munícipes na rua e no evento do aniversário da cidade;</w:t>
      </w:r>
    </w:p>
    <w:p w:rsidR="00031935" w:rsidRPr="00ED7D13" w:rsidRDefault="00031935" w:rsidP="00031935">
      <w:pPr>
        <w:spacing w:after="0" w:line="360" w:lineRule="auto"/>
        <w:ind w:firstLine="709"/>
        <w:jc w:val="both"/>
        <w:rPr>
          <w:rFonts w:eastAsia="Calibri" w:cs="Times New Roman"/>
          <w:szCs w:val="24"/>
        </w:rPr>
      </w:pPr>
      <w:r w:rsidRPr="00ED7D13">
        <w:rPr>
          <w:rFonts w:eastAsia="Calibri" w:cs="Times New Roman"/>
          <w:szCs w:val="24"/>
        </w:rPr>
        <w:t>- Faixas nos locais mais visitados;</w:t>
      </w:r>
    </w:p>
    <w:p w:rsidR="00031935" w:rsidRPr="00ED7D13" w:rsidRDefault="00031935" w:rsidP="00031935">
      <w:pPr>
        <w:spacing w:after="0" w:line="360" w:lineRule="auto"/>
        <w:ind w:firstLine="709"/>
        <w:jc w:val="both"/>
        <w:rPr>
          <w:rFonts w:eastAsia="Calibri" w:cs="Times New Roman"/>
          <w:szCs w:val="24"/>
        </w:rPr>
      </w:pPr>
      <w:r w:rsidRPr="00ED7D13">
        <w:rPr>
          <w:rFonts w:eastAsia="Calibri" w:cs="Times New Roman"/>
          <w:szCs w:val="24"/>
        </w:rPr>
        <w:t>- Cartazes na prefeitura e nos centros comerciais;</w:t>
      </w:r>
    </w:p>
    <w:p w:rsidR="00031935" w:rsidRPr="00ED7D13" w:rsidRDefault="00031935" w:rsidP="00031935">
      <w:pPr>
        <w:spacing w:after="0" w:line="360" w:lineRule="auto"/>
        <w:ind w:firstLine="709"/>
        <w:jc w:val="both"/>
        <w:rPr>
          <w:rFonts w:eastAsia="Calibri" w:cs="Times New Roman"/>
          <w:szCs w:val="24"/>
        </w:rPr>
      </w:pPr>
      <w:r w:rsidRPr="00ED7D13">
        <w:rPr>
          <w:rFonts w:eastAsia="Calibri" w:cs="Times New Roman"/>
          <w:szCs w:val="24"/>
        </w:rPr>
        <w:t>- Apresentação em rádios locais;</w:t>
      </w:r>
    </w:p>
    <w:p w:rsidR="00031935" w:rsidRPr="00ED7D13" w:rsidRDefault="00031935" w:rsidP="00031935">
      <w:pPr>
        <w:spacing w:after="0" w:line="360" w:lineRule="auto"/>
        <w:ind w:firstLine="709"/>
        <w:jc w:val="both"/>
        <w:rPr>
          <w:rFonts w:eastAsia="Calibri" w:cs="Times New Roman"/>
          <w:szCs w:val="24"/>
        </w:rPr>
      </w:pPr>
      <w:r w:rsidRPr="00ED7D13">
        <w:rPr>
          <w:rFonts w:eastAsia="Calibri" w:cs="Times New Roman"/>
          <w:szCs w:val="24"/>
        </w:rPr>
        <w:t xml:space="preserve">Mas apesar dos esforços realizados para esta mobilização, percebemos que o melhor modo de mobilizar a população dos distritos é utilizando o método denominado “boca a boca”, que consiste na visita das casas dos moradores do distrito informando o assunto tratado, o local, o dia, e a importância da presença dos mesmos para melhor formação do trabalho no município. </w:t>
      </w:r>
    </w:p>
    <w:p w:rsidR="00031935" w:rsidRPr="00A275C9" w:rsidRDefault="00031935" w:rsidP="00031935">
      <w:pPr>
        <w:pStyle w:val="Titulo"/>
      </w:pPr>
      <w:r w:rsidRPr="00A275C9">
        <w:t>1</w:t>
      </w:r>
      <w:r>
        <w:t>4</w:t>
      </w:r>
      <w:r w:rsidRPr="00A275C9">
        <w:t>.</w:t>
      </w:r>
      <w:r>
        <w:t>13</w:t>
      </w:r>
      <w:r w:rsidRPr="00A275C9">
        <w:t xml:space="preserve">.2 </w:t>
      </w:r>
      <w:r w:rsidRPr="00A84DE6">
        <w:t>Alguns problemas levantados pela comunidade durante a realização das audiências públicas do PMSB</w:t>
      </w:r>
      <w:r w:rsidRPr="00A275C9">
        <w:t xml:space="preserve"> </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b/>
          <w:szCs w:val="24"/>
        </w:rPr>
        <w:t xml:space="preserve">- </w:t>
      </w:r>
      <w:r w:rsidRPr="00031935">
        <w:rPr>
          <w:rFonts w:eastAsia="Calibri" w:cs="Times New Roman"/>
          <w:szCs w:val="24"/>
        </w:rPr>
        <w:t>Na audiência da área central da sede do município de Aimorés foram relatadas quatro vezes pelos participantes que a área do Poliesportivo, da Escola Frei Afonso e da UNIPAC sempre que há uma precipitação, há alagamento das ruas, devido a deficiência da drenagem urbana do local, sendo por eles notável pela falta de bocas de lobo na extensão das ruas;</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xml:space="preserve">- Nas audiências da sede do município de Aimorés, foram citadas quatro vezes que os interceptores de água pluvial implantados pela VALE não comportam a vazão, pois recebem água da Avenida Brasil e dos bairros Rua Nova, Morro da Caixa d’Água, Betel, </w:t>
      </w:r>
      <w:r w:rsidRPr="00031935">
        <w:rPr>
          <w:rFonts w:eastAsia="Calibri" w:cs="Times New Roman"/>
          <w:szCs w:val="24"/>
        </w:rPr>
        <w:lastRenderedPageBreak/>
        <w:t>Vila Fonseca, Vila Tiago, Triângulo, Barra Preta, comprometendo as áreas de menor nível;</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xml:space="preserve">- Nas audiências da sede do município de Aimorés, foram citadas três vezes que algumas ruas do bairro Betel não são pavimentadas, e quando chove, desce muitos detritos acumulando sedimentos no bairro </w:t>
      </w:r>
      <w:r>
        <w:rPr>
          <w:rFonts w:eastAsia="Calibri" w:cs="Times New Roman"/>
          <w:szCs w:val="24"/>
        </w:rPr>
        <w:t xml:space="preserve">da </w:t>
      </w:r>
      <w:r w:rsidRPr="00031935">
        <w:rPr>
          <w:rFonts w:eastAsia="Calibri" w:cs="Times New Roman"/>
          <w:szCs w:val="24"/>
        </w:rPr>
        <w:t>Rua Nova e quando seca fica muita poeira;</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Nas audiências da sede do município de A</w:t>
      </w:r>
      <w:r>
        <w:rPr>
          <w:rFonts w:eastAsia="Calibri" w:cs="Times New Roman"/>
          <w:szCs w:val="24"/>
        </w:rPr>
        <w:t xml:space="preserve">imorés, foram citadas três vezes </w:t>
      </w:r>
      <w:r w:rsidRPr="00031935">
        <w:rPr>
          <w:rFonts w:eastAsia="Calibri" w:cs="Times New Roman"/>
          <w:szCs w:val="24"/>
        </w:rPr>
        <w:t>que existem várias ligações de rede clandestina de esgoto na rede pluvial;</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Na segunda audiência do município de Aimorés, foi citado por um delegado do PMSB, e também funcionário do Serviço Autônomo de Água e Esgoto informa que há três manilhas de 1,20 m na Rua Ailton Pereira da Costa, que duas estão totalmente e uma parcialmente obstruída, também foi informado que nessa rua existe uma galeria de água pluvial, e no período de chuva fica estrangulada devido ao acúmulo dos detritos que desce do morro do Betel, que invadem a drenagem e também passa para o outro lado, atravessa a Avenida Raul Soares e entra na galeria de águas pluviais e assorear toda galeria e quando chega próximo ao Fórum entra a esquerda e vai pela Av. Florisvaldo Oliveira indo até a ETE;</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Na audiência do bairro Barra do Manhuaçu foi relatado que a drenagem de água pluvial esta região foi afetada pelas enchentes recentemente, sendo pelos participantes da audiência o principal causador a ferrovia da VALE que funciona como um dique entre a ferrovia e a região mais baixa do bairro, pois a ferrovia tem poucas passagens de água fluvial, acarretando acúmulo de água;</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xml:space="preserve">- Na audiência do bairro Barra do Manhuaçu foi relatado que o bairro Manhuaçu tem problema de drenagem também gerado por uma obra de drenagem que a VALE fez na Rua Seca e jogou para dentro do bairro Manhuaçu e parte diretamente no rio. Quando </w:t>
      </w:r>
      <w:r>
        <w:rPr>
          <w:rFonts w:eastAsia="Calibri" w:cs="Times New Roman"/>
          <w:szCs w:val="24"/>
        </w:rPr>
        <w:t>ocorre a</w:t>
      </w:r>
      <w:r w:rsidRPr="00031935">
        <w:rPr>
          <w:rFonts w:eastAsia="Calibri" w:cs="Times New Roman"/>
          <w:szCs w:val="24"/>
        </w:rPr>
        <w:t xml:space="preserve"> cheia há retorno para o bairro;</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Na audiência do bairro Barra do Manhuaçu foi relatado que as redes de drenagem tanto da VALE quanto da prefeitura devem ter manutenção periódica, pois frequentemente estão assoreadas, evitando passagem da água pluvial, retornando a água nas ruas;</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xml:space="preserve">- Na audiência do bairro Barra Preta foi relatado que foi feito um loteamento da VALE que quando há precipitação os detritos todos são carreados para a Rua João Leirosa e </w:t>
      </w:r>
      <w:r w:rsidRPr="00031935">
        <w:rPr>
          <w:rFonts w:eastAsia="Calibri" w:cs="Times New Roman"/>
          <w:szCs w:val="24"/>
        </w:rPr>
        <w:lastRenderedPageBreak/>
        <w:t>ainda pedem um projeto de Conscientização Ambiental para melhorar a parte de drenagem;</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Na audiência do distrito de São Sebastião da Vala foi relatado que no distrito existem poucas galerias, e na área central inunda e os próprios moradores desta área tem que retirar o barro por conta própria;</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Na audiência do distrito de Santo Antônio do Rio Doce foi relatado que a rua principal, não tem galeria de rede de drenagem pluvial, que quando há uma precipitação mais forte há alagamentos com menos de dez minutos. Ainda foi relatado que a Rua Pernambuco, rua Aimorés, travessa Guarani, por estar em um nível menor que a rua Mauá e este ser o sentido da drenagem, não consegue dar vazão da água pluvial, retornando na casa dos moradores causando em todas as épocas de chuvas perdas de bens dos moradores. Nos novos loteamentos do distrito (Mauá 1 e Mauá 2) não a obras de drenagem, e ao chover conduz vários detritos paras as ruas mais baixas;</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Na audiência do distrito de Penha do Capim foi relatado que não há rede pluvial em todo distrito, acarretando muita poeira e presença de vetores como o mosquito;</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Na audiência do distrito de Alto Capim foi relatado que quando está no período de chuva há muito barro, pois a pouca rede de drenagem existente, as bocas de lobo estão entupidas e os participantes requerem um projeto de drenagem de água pluvial;</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Na audiência do distrito de Tabaúna foi relatado que em relação a rede pluvial, a água que escoa atrás da Rua São Benedito vem pela Rua Ademar Victorino, trazendo muita terra, terra esta que foi retirada por trabalhos da prefeitura, e ocasionando poeira. A água também desce pela Rua Moraes costa virando uma placa de barro, assim virando poeira;</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xml:space="preserve">- Na audiência do distrito de Expedicionário Alício foi relatado que por ausência de drenagem urbana, a água pluvial passa pelo cemitério carreando partículas sólidas que quando a uma evaporação dessa água se forma partículas solidas junto com o ar formando grande quantidade de poeiras e odor. O valão na rua do facão quando desce muita chuva não suporta a vazão e passa por cima entrando na casa das pessoas trazendo prejuízos no que tange a saúde pública. Na rua principal há ausência de drenagem urbana trazendo lixo, resíduos, restos. A descida da água que vem do morro na frente da pracinha traz muita lama para o meio da rua, quantidade de água grande, entupindo bueiros e por </w:t>
      </w:r>
      <w:r w:rsidRPr="00031935">
        <w:rPr>
          <w:rFonts w:eastAsia="Calibri" w:cs="Times New Roman"/>
          <w:szCs w:val="24"/>
        </w:rPr>
        <w:lastRenderedPageBreak/>
        <w:t>consequência entrando água dentro da casa na Rua Ana Luiza Batista. Há ausência de drenagem urbana, causando muita água empoçada, gerando vetores como mosquito, muita poeira;</w:t>
      </w:r>
    </w:p>
    <w:p w:rsidR="00031935" w:rsidRPr="00031935" w:rsidRDefault="00031935" w:rsidP="00031935">
      <w:pPr>
        <w:spacing w:after="0" w:line="360" w:lineRule="auto"/>
        <w:jc w:val="both"/>
        <w:rPr>
          <w:rFonts w:eastAsia="Calibri" w:cs="Times New Roman"/>
          <w:szCs w:val="24"/>
        </w:rPr>
      </w:pPr>
      <w:r w:rsidRPr="00031935">
        <w:rPr>
          <w:rFonts w:eastAsia="Calibri" w:cs="Times New Roman"/>
          <w:szCs w:val="24"/>
        </w:rPr>
        <w:t xml:space="preserve">Na audiência do distrito de Conceição do Capim foi relatado que a rede de drenagem pública é deficiente acumulando água perto do posto de gasolina e ao posto de saúde na Rua Jose Henrique Filho. Inclusive a água proveniente do cemitério é escoada para as ruas da cidade que seguidamente desagua no rio Capim, sendo possível contato de vários moradores com essa água. </w:t>
      </w:r>
    </w:p>
    <w:p w:rsidR="00E32574" w:rsidRDefault="00714DBF" w:rsidP="00971B37">
      <w:pPr>
        <w:pStyle w:val="Titulo"/>
      </w:pPr>
      <w:r>
        <w:t>1</w:t>
      </w:r>
      <w:r w:rsidR="00031935">
        <w:t>4</w:t>
      </w:r>
      <w:r>
        <w:t>.1</w:t>
      </w:r>
      <w:r w:rsidR="00031935">
        <w:t>4</w:t>
      </w:r>
      <w:r>
        <w:t xml:space="preserve"> </w:t>
      </w:r>
      <w:r w:rsidRPr="00C92BF5">
        <w:t>Planejamento Proposto</w:t>
      </w:r>
      <w:bookmarkEnd w:id="715"/>
      <w:bookmarkEnd w:id="716"/>
    </w:p>
    <w:p w:rsidR="00E32574" w:rsidRPr="00C92BF5" w:rsidRDefault="00E32574" w:rsidP="00714DBF">
      <w:pPr>
        <w:spacing w:after="0" w:line="360" w:lineRule="auto"/>
        <w:jc w:val="both"/>
        <w:rPr>
          <w:rFonts w:cs="Times New Roman"/>
          <w:szCs w:val="24"/>
        </w:rPr>
      </w:pPr>
      <w:r w:rsidRPr="00C92BF5">
        <w:rPr>
          <w:rFonts w:cs="Times New Roman"/>
          <w:szCs w:val="24"/>
        </w:rPr>
        <w:t>Para que sejam efetivas as medidas para o planejamento da macrodrenagem é preciso que:</w:t>
      </w:r>
    </w:p>
    <w:p w:rsidR="00E32574" w:rsidRPr="00C92BF5" w:rsidRDefault="00E32574" w:rsidP="0053477A">
      <w:pPr>
        <w:pStyle w:val="PargrafodaLista"/>
        <w:numPr>
          <w:ilvl w:val="0"/>
          <w:numId w:val="55"/>
        </w:numPr>
        <w:spacing w:after="0" w:line="360" w:lineRule="auto"/>
        <w:ind w:left="567" w:hanging="283"/>
        <w:jc w:val="both"/>
        <w:rPr>
          <w:rFonts w:cs="Times New Roman"/>
          <w:szCs w:val="24"/>
        </w:rPr>
      </w:pPr>
      <w:r w:rsidRPr="00C92BF5">
        <w:rPr>
          <w:rFonts w:cs="Times New Roman"/>
          <w:szCs w:val="24"/>
        </w:rPr>
        <w:t>O poder público deve regulamentar o uso e ocupação, especialmente as áreas naturalmente inundáveis;</w:t>
      </w:r>
    </w:p>
    <w:p w:rsidR="00E32574" w:rsidRPr="00C92BF5" w:rsidRDefault="00E32574" w:rsidP="0053477A">
      <w:pPr>
        <w:pStyle w:val="PargrafodaLista"/>
        <w:numPr>
          <w:ilvl w:val="0"/>
          <w:numId w:val="55"/>
        </w:numPr>
        <w:spacing w:after="0" w:line="360" w:lineRule="auto"/>
        <w:ind w:left="567" w:hanging="283"/>
        <w:jc w:val="both"/>
        <w:rPr>
          <w:rFonts w:cs="Times New Roman"/>
          <w:szCs w:val="24"/>
        </w:rPr>
      </w:pPr>
      <w:r w:rsidRPr="00C92BF5">
        <w:rPr>
          <w:rFonts w:cs="Times New Roman"/>
          <w:szCs w:val="24"/>
        </w:rPr>
        <w:t>Combinar estas áreas inundáveis para que atuem como reservatórios de detenção urbano;</w:t>
      </w:r>
    </w:p>
    <w:p w:rsidR="00E32574" w:rsidRPr="00C92BF5" w:rsidRDefault="00E32574" w:rsidP="0053477A">
      <w:pPr>
        <w:pStyle w:val="PargrafodaLista"/>
        <w:numPr>
          <w:ilvl w:val="0"/>
          <w:numId w:val="55"/>
        </w:numPr>
        <w:spacing w:after="0" w:line="360" w:lineRule="auto"/>
        <w:ind w:left="567" w:hanging="283"/>
        <w:jc w:val="both"/>
        <w:rPr>
          <w:rFonts w:cs="Times New Roman"/>
          <w:szCs w:val="24"/>
        </w:rPr>
      </w:pPr>
      <w:r w:rsidRPr="00C92BF5">
        <w:rPr>
          <w:rFonts w:cs="Times New Roman"/>
          <w:szCs w:val="24"/>
        </w:rPr>
        <w:t>Regulamentar a microdrenagem para não ampliar a enchente natural;</w:t>
      </w:r>
    </w:p>
    <w:p w:rsidR="00E32574" w:rsidRPr="00C92BF5" w:rsidRDefault="00E32574" w:rsidP="0053477A">
      <w:pPr>
        <w:pStyle w:val="PargrafodaLista"/>
        <w:numPr>
          <w:ilvl w:val="0"/>
          <w:numId w:val="55"/>
        </w:numPr>
        <w:spacing w:after="0" w:line="360" w:lineRule="auto"/>
        <w:ind w:left="567" w:hanging="283"/>
        <w:jc w:val="both"/>
        <w:rPr>
          <w:rFonts w:cs="Times New Roman"/>
          <w:szCs w:val="24"/>
        </w:rPr>
      </w:pPr>
      <w:r w:rsidRPr="00C92BF5">
        <w:rPr>
          <w:rFonts w:cs="Times New Roman"/>
          <w:szCs w:val="24"/>
        </w:rPr>
        <w:t>Planejar parques, APPs e outras as áreas públicas com lagos para amortecer e preservar os hidrogramas, de uma mesma bacia, ou entre diferentes sub-</w:t>
      </w:r>
      <w:r w:rsidR="00A369F0" w:rsidRPr="00C92BF5">
        <w:rPr>
          <w:rFonts w:cs="Times New Roman"/>
          <w:szCs w:val="24"/>
        </w:rPr>
        <w:t>bacias;</w:t>
      </w:r>
    </w:p>
    <w:p w:rsidR="00E32574" w:rsidRPr="00C92BF5" w:rsidRDefault="00E32574" w:rsidP="0053477A">
      <w:pPr>
        <w:pStyle w:val="PargrafodaLista"/>
        <w:numPr>
          <w:ilvl w:val="0"/>
          <w:numId w:val="55"/>
        </w:numPr>
        <w:spacing w:after="0" w:line="360" w:lineRule="auto"/>
        <w:ind w:left="567" w:hanging="283"/>
        <w:jc w:val="both"/>
        <w:rPr>
          <w:rFonts w:cs="Times New Roman"/>
          <w:szCs w:val="24"/>
        </w:rPr>
      </w:pPr>
      <w:r w:rsidRPr="00C92BF5">
        <w:rPr>
          <w:rFonts w:cs="Times New Roman"/>
          <w:szCs w:val="24"/>
        </w:rPr>
        <w:t>Para as áreas ribeirinhas de risco, quando não pertencentes ao poder público, deve-se prever uso adequado para que haja boa convivência com as inundações. Pode-se reduzir os impostos de acordo com as restrições e prever a troca por solo criado para implementação de uso público, como parques, campos de esporte, entre outros;</w:t>
      </w:r>
    </w:p>
    <w:p w:rsidR="00E32574" w:rsidRDefault="00E32574" w:rsidP="0053477A">
      <w:pPr>
        <w:pStyle w:val="PargrafodaLista"/>
        <w:numPr>
          <w:ilvl w:val="0"/>
          <w:numId w:val="55"/>
        </w:numPr>
        <w:spacing w:after="0" w:line="360" w:lineRule="auto"/>
        <w:ind w:left="567" w:hanging="283"/>
        <w:jc w:val="both"/>
        <w:rPr>
          <w:rFonts w:cs="Times New Roman"/>
          <w:szCs w:val="24"/>
        </w:rPr>
      </w:pPr>
      <w:r w:rsidRPr="00C92BF5">
        <w:rPr>
          <w:rFonts w:cs="Times New Roman"/>
          <w:szCs w:val="24"/>
        </w:rPr>
        <w:t>Nenhuma área desapropriada pelo poder público pode ficar sem implantação de infraestrutura pública (parque ou área esportiva), evitando desta forma que a mesma seja invadida.</w:t>
      </w:r>
    </w:p>
    <w:p w:rsidR="00E32574" w:rsidRPr="001D1D58" w:rsidRDefault="00BC29A7" w:rsidP="00971B37">
      <w:pPr>
        <w:pStyle w:val="Titulo"/>
        <w:rPr>
          <w:i/>
        </w:rPr>
      </w:pPr>
      <w:bookmarkStart w:id="717" w:name="_Toc372559208"/>
      <w:bookmarkStart w:id="718" w:name="_Toc372789639"/>
      <w:r w:rsidRPr="00A369F0">
        <w:t>1</w:t>
      </w:r>
      <w:r w:rsidR="00031935">
        <w:t>4</w:t>
      </w:r>
      <w:r w:rsidRPr="00A369F0">
        <w:t>.1</w:t>
      </w:r>
      <w:r w:rsidR="00031935">
        <w:t>4</w:t>
      </w:r>
      <w:r w:rsidRPr="00A369F0">
        <w:t>.1 Etapas do Planejamento, Dimensionamento e Verificação</w:t>
      </w:r>
      <w:bookmarkEnd w:id="717"/>
      <w:bookmarkEnd w:id="718"/>
    </w:p>
    <w:p w:rsidR="00E32574" w:rsidRPr="00C92BF5" w:rsidRDefault="00E32574" w:rsidP="00BC29A7">
      <w:pPr>
        <w:spacing w:after="0" w:line="360" w:lineRule="auto"/>
        <w:ind w:firstLine="709"/>
        <w:jc w:val="both"/>
        <w:rPr>
          <w:rFonts w:cs="Times New Roman"/>
          <w:szCs w:val="24"/>
        </w:rPr>
      </w:pPr>
      <w:r w:rsidRPr="00C92BF5">
        <w:rPr>
          <w:rFonts w:cs="Times New Roman"/>
          <w:szCs w:val="24"/>
        </w:rPr>
        <w:t>No estudo de planejamento do controle da drenagem urbana de uma bacia são recomendadas as seguintes etapas de desenvolvimento</w:t>
      </w:r>
      <w:r w:rsidR="00BC29A7">
        <w:rPr>
          <w:rFonts w:cs="Times New Roman"/>
          <w:szCs w:val="24"/>
        </w:rPr>
        <w:t>:</w:t>
      </w:r>
    </w:p>
    <w:p w:rsidR="00E32574" w:rsidRPr="00C92BF5" w:rsidRDefault="00E32574" w:rsidP="0053477A">
      <w:pPr>
        <w:pStyle w:val="PargrafodaLista"/>
        <w:numPr>
          <w:ilvl w:val="0"/>
          <w:numId w:val="4"/>
        </w:numPr>
        <w:spacing w:after="0" w:line="360" w:lineRule="auto"/>
        <w:ind w:left="567" w:hanging="283"/>
        <w:jc w:val="both"/>
        <w:rPr>
          <w:rFonts w:cs="Times New Roman"/>
          <w:szCs w:val="24"/>
        </w:rPr>
      </w:pPr>
      <w:r w:rsidRPr="00C92BF5">
        <w:rPr>
          <w:rFonts w:cs="Times New Roman"/>
          <w:szCs w:val="24"/>
        </w:rPr>
        <w:lastRenderedPageBreak/>
        <w:t>Caracterização da bacia: esta etapa envolve o seguinte: (i) avaliação da geologia, tipo de solo, hidrogeologia, relevo, ocupação urbana, população caracterizada por sub-bacia para os cenários de interesse; (ii) Drenagem: definição da bacia e sub-bacias, sistema de drenagem natural e construído, com as suas características físicas tais como: seção de escoamento, cota, comprimento e bacias contribuintes a drenagem; (iii) dados hidrológicos: precipitação, sua caracterização pontual, espacial e temporal; verificar a existência de dados de chuva e vazão que permitam ajustar os parâmetros dos modelos utilizados; dados de qualidade da água e produção de material sólido.</w:t>
      </w:r>
    </w:p>
    <w:p w:rsidR="00E32574" w:rsidRPr="00C92BF5" w:rsidRDefault="00E32574" w:rsidP="0053477A">
      <w:pPr>
        <w:pStyle w:val="PargrafodaLista"/>
        <w:numPr>
          <w:ilvl w:val="0"/>
          <w:numId w:val="4"/>
        </w:numPr>
        <w:spacing w:after="0" w:line="360" w:lineRule="auto"/>
        <w:ind w:left="567" w:hanging="283"/>
        <w:jc w:val="both"/>
        <w:rPr>
          <w:rFonts w:cs="Times New Roman"/>
          <w:szCs w:val="24"/>
        </w:rPr>
      </w:pPr>
      <w:r w:rsidRPr="00C92BF5">
        <w:rPr>
          <w:rFonts w:cs="Times New Roman"/>
          <w:szCs w:val="24"/>
        </w:rPr>
        <w:t xml:space="preserve">Definição dos cenários de planejamento: os cenários de planejamento são definidos de acordo com o desenvolvimento previsto para a cidade, representado pelo Plano Diretor de Desenvolvimento Urbano e Ambiental (PDDUA), bem como as áreas ocupadas que não foram previstas, áreas desocupadas parceladas e áreas que deverão ser parceladas no futuro. </w:t>
      </w:r>
    </w:p>
    <w:p w:rsidR="00E32574" w:rsidRPr="00C92BF5" w:rsidRDefault="00E32574" w:rsidP="0053477A">
      <w:pPr>
        <w:pStyle w:val="PargrafodaLista"/>
        <w:numPr>
          <w:ilvl w:val="0"/>
          <w:numId w:val="4"/>
        </w:numPr>
        <w:spacing w:after="0" w:line="360" w:lineRule="auto"/>
        <w:ind w:left="567" w:hanging="283"/>
        <w:jc w:val="both"/>
        <w:rPr>
          <w:rFonts w:cs="Times New Roman"/>
          <w:szCs w:val="24"/>
        </w:rPr>
      </w:pPr>
      <w:r w:rsidRPr="00C92BF5">
        <w:rPr>
          <w:rFonts w:cs="Times New Roman"/>
          <w:szCs w:val="24"/>
        </w:rPr>
        <w:t>Escolha do risco da precipitação de projetos: para a macrodrenagem o o tempo de retorno a ser utilizado no dimensionamento (usualmente 10 anos). No caso de prejuízos maiores e riscos de vida, este tempo de retorno pode ser aumentado.</w:t>
      </w:r>
    </w:p>
    <w:p w:rsidR="00E32574" w:rsidRPr="00C92BF5" w:rsidRDefault="00E32574" w:rsidP="0053477A">
      <w:pPr>
        <w:pStyle w:val="PargrafodaLista"/>
        <w:numPr>
          <w:ilvl w:val="0"/>
          <w:numId w:val="4"/>
        </w:numPr>
        <w:spacing w:after="0" w:line="360" w:lineRule="auto"/>
        <w:ind w:left="567" w:hanging="283"/>
        <w:jc w:val="both"/>
        <w:rPr>
          <w:rFonts w:cs="Times New Roman"/>
          <w:szCs w:val="24"/>
        </w:rPr>
      </w:pPr>
      <w:r w:rsidRPr="00C92BF5">
        <w:rPr>
          <w:rFonts w:cs="Times New Roman"/>
          <w:szCs w:val="24"/>
        </w:rPr>
        <w:t>Determinação da precipitação de projeto: com base nos registros de precipitação da área mais próxima da bacia deve-se escolher a curva de Intensidade-Duração-Frequencia (IDF) e determinar a precipitação com duração igual ou maior que o tempo de concentração da bacia. Este valor deve ser distribuído no tempo em intervalos de tempo escolhido para a simulação. O intervalo de tempo deve ser menor ou igual a 1/5 do tempo de concentração da bacia. Para bacias maiores que 25 km2 deve-se verificar o abatimento espacial do valor máximo de precipitação.</w:t>
      </w:r>
    </w:p>
    <w:p w:rsidR="00E32574" w:rsidRPr="00C92BF5" w:rsidRDefault="00E32574" w:rsidP="0053477A">
      <w:pPr>
        <w:pStyle w:val="PargrafodaLista"/>
        <w:numPr>
          <w:ilvl w:val="0"/>
          <w:numId w:val="4"/>
        </w:numPr>
        <w:spacing w:after="0" w:line="360" w:lineRule="auto"/>
        <w:ind w:left="567" w:hanging="283"/>
        <w:jc w:val="both"/>
        <w:rPr>
          <w:rFonts w:cs="Times New Roman"/>
          <w:szCs w:val="24"/>
        </w:rPr>
      </w:pPr>
      <w:r w:rsidRPr="00C92BF5">
        <w:rPr>
          <w:rFonts w:cs="Times New Roman"/>
          <w:szCs w:val="24"/>
        </w:rPr>
        <w:t xml:space="preserve">Simulação dos cenários de planejamento com modelo hidrológico: os cenários são simulados para as redes de drenagem existentes ou projetadas. O modelo hidrológico utilizado deve ser capaz de representar a região hidrográfica da simulação da forma mais realista possível dentro do cenário previsto. A finalidade destas simulações é identificar se o sistema tem capacidade de comportar os acréscimos de vazão gerados pela evolução urbana de cada cenário, no caso de </w:t>
      </w:r>
      <w:r w:rsidRPr="00C92BF5">
        <w:rPr>
          <w:rFonts w:cs="Times New Roman"/>
          <w:szCs w:val="24"/>
        </w:rPr>
        <w:lastRenderedPageBreak/>
        <w:t>verificação; ou no caso de projeto, se o sistema foi corretamente dimensionado para a vazão existente. Quando utiliza-se o cenário de ocupação urbana atual, o objetivo é verificar a capacidade de escoamento das redes de drenagem existentes. A análise dos resultados permite identificar os locais onde o sistema de drenagem não tem capacidade de escoar as vazões, gerando portanto, inundações.</w:t>
      </w:r>
    </w:p>
    <w:p w:rsidR="00E32574" w:rsidRPr="00C92BF5" w:rsidRDefault="00E32574" w:rsidP="0053477A">
      <w:pPr>
        <w:pStyle w:val="PargrafodaLista"/>
        <w:numPr>
          <w:ilvl w:val="0"/>
          <w:numId w:val="4"/>
        </w:numPr>
        <w:spacing w:after="0" w:line="360" w:lineRule="auto"/>
        <w:ind w:left="567" w:hanging="283"/>
        <w:jc w:val="both"/>
        <w:rPr>
          <w:rFonts w:cs="Times New Roman"/>
          <w:szCs w:val="24"/>
        </w:rPr>
      </w:pPr>
      <w:r w:rsidRPr="00C92BF5">
        <w:rPr>
          <w:rFonts w:cs="Times New Roman"/>
          <w:szCs w:val="24"/>
        </w:rPr>
        <w:t>Seleção de alternativas para Controle: considerando as condições simuladas no item anterior, quando a situação for de verificação da capacidade das rede de drenagem, devem ser identificadas as limitações existentes no sistema e os locais onde ocorrem (caso não exista, esta etapa não é realizada). Neste caso, o planejador deve buscar analisar as alternativas de controle, priorizando medidas de detenção ou retenção, que não transfiram para jusante os acréscimos de vazão máxima. Geralmente, a combinação de soluções envolvem reservatórios urbanos em áreas públicas, ou áreas potencialmente públicas, com adaptação da capacidade de drenagem em alguns trechos, mantendo a vazão máxima dentro de limites previstos pela legislação ou da capacidade dos rios, arroios ou canais a jusante do sistema. No caso de dimensionamento, a alternativa de controle deve prever a utilização de estruturas de amortecimento da cheia para não ampliar a enchente a jusante, e deve-se verificar se a rede projetada tem capacidade para escoar a atual vazão.</w:t>
      </w:r>
    </w:p>
    <w:p w:rsidR="00E32574" w:rsidRPr="00C92BF5" w:rsidRDefault="00E32574" w:rsidP="0053477A">
      <w:pPr>
        <w:pStyle w:val="PargrafodaLista"/>
        <w:numPr>
          <w:ilvl w:val="0"/>
          <w:numId w:val="4"/>
        </w:numPr>
        <w:spacing w:after="0" w:line="360" w:lineRule="auto"/>
        <w:ind w:left="567" w:hanging="283"/>
        <w:jc w:val="both"/>
        <w:rPr>
          <w:rFonts w:cs="Times New Roman"/>
          <w:szCs w:val="24"/>
        </w:rPr>
      </w:pPr>
      <w:r w:rsidRPr="00C92BF5">
        <w:rPr>
          <w:rFonts w:cs="Times New Roman"/>
          <w:szCs w:val="24"/>
        </w:rPr>
        <w:t>Simulação das alternativas de controle: definidas as alternativas na fase anterior, as mesmas devem ser simuladas para o risco e cenário definido como meta. Nas simulações é verificado se a alternativa de controle também evita as inundações das ruas para riscos menores ou iguais ao de projeto. No caso de verificação, a mesma pode ser realizada para o cenário atual de ocupação e/ou para um cenário de ocupação futura. Nesta análise também deve ser examinado o impacto para riscos superiores ao de projeto (até 100 anos), com a finalidade de alertar a Defesa Civil, tráfego e outros elementos urbanos, sobre os riscos à população envolvidos quando ocorra esta situação.</w:t>
      </w:r>
    </w:p>
    <w:p w:rsidR="00E32574" w:rsidRPr="00C92BF5" w:rsidRDefault="00E32574" w:rsidP="0053477A">
      <w:pPr>
        <w:pStyle w:val="PargrafodaLista"/>
        <w:numPr>
          <w:ilvl w:val="0"/>
          <w:numId w:val="4"/>
        </w:numPr>
        <w:spacing w:after="0" w:line="360" w:lineRule="auto"/>
        <w:ind w:left="567" w:hanging="283"/>
        <w:jc w:val="both"/>
        <w:rPr>
          <w:rFonts w:cs="Times New Roman"/>
          <w:szCs w:val="24"/>
        </w:rPr>
      </w:pPr>
      <w:r w:rsidRPr="00C92BF5">
        <w:rPr>
          <w:rFonts w:cs="Times New Roman"/>
          <w:szCs w:val="24"/>
        </w:rPr>
        <w:t xml:space="preserve">Avaliação qualidade da água: as etapas da avaliação da qualidade da água são: (i) determinação da carga proveniente do cloacal que não é coletada pela rede de esgotamento sanitário; (ii) determinação da carga de resíduo sólido; (c) </w:t>
      </w:r>
      <w:r w:rsidRPr="00C92BF5">
        <w:rPr>
          <w:rFonts w:cs="Times New Roman"/>
          <w:szCs w:val="24"/>
        </w:rPr>
        <w:lastRenderedPageBreak/>
        <w:t>determinação da carga produzido pelo pluvial; (iii) avaliação da capacidade de redução das cargas em função das medidas de controle previstas nas alternativas. A avaliação da qualidade da água depende da existência da rede de esgotamento sanitário.</w:t>
      </w:r>
    </w:p>
    <w:p w:rsidR="00E32574" w:rsidRPr="00C92BF5" w:rsidRDefault="00E32574" w:rsidP="0053477A">
      <w:pPr>
        <w:pStyle w:val="PargrafodaLista"/>
        <w:numPr>
          <w:ilvl w:val="0"/>
          <w:numId w:val="4"/>
        </w:numPr>
        <w:spacing w:after="0" w:line="360" w:lineRule="auto"/>
        <w:ind w:left="567" w:hanging="283"/>
        <w:jc w:val="both"/>
        <w:rPr>
          <w:rFonts w:cs="Times New Roman"/>
          <w:szCs w:val="24"/>
        </w:rPr>
      </w:pPr>
      <w:r w:rsidRPr="00C92BF5">
        <w:rPr>
          <w:rFonts w:cs="Times New Roman"/>
          <w:szCs w:val="24"/>
        </w:rPr>
        <w:t>Avaliação econômica: os custos das alternativas devem ser quantificados, permitindo analisar a alternativa mais econômica para controle da drenagem, envolvendo, quando possível, também a melhoria da qualidade da água pluvial.</w:t>
      </w:r>
    </w:p>
    <w:p w:rsidR="00F109BC" w:rsidRPr="00AE65D3" w:rsidRDefault="00E32574" w:rsidP="00F109BC">
      <w:pPr>
        <w:pStyle w:val="PargrafodaLista"/>
        <w:numPr>
          <w:ilvl w:val="0"/>
          <w:numId w:val="4"/>
        </w:numPr>
        <w:spacing w:before="120" w:after="240" w:line="360" w:lineRule="auto"/>
        <w:ind w:left="567" w:hanging="283"/>
        <w:jc w:val="both"/>
        <w:rPr>
          <w:b/>
          <w:color w:val="222222"/>
          <w:szCs w:val="24"/>
        </w:rPr>
      </w:pPr>
      <w:r w:rsidRPr="005C4DCE">
        <w:rPr>
          <w:rFonts w:cs="Times New Roman"/>
          <w:szCs w:val="24"/>
        </w:rPr>
        <w:t xml:space="preserve">Seleção da alternativa: em função dos condicionantes, econômicos, sociais e ambientais deve ser recomendada uma das alternativas de controle para o sistema estudado, estabelecendo etapas para projeto executivo, </w:t>
      </w:r>
      <w:r w:rsidR="00AE65D3" w:rsidRPr="005C4DCE">
        <w:rPr>
          <w:rFonts w:cs="Times New Roman"/>
          <w:szCs w:val="24"/>
        </w:rPr>
        <w:t>sequência</w:t>
      </w:r>
      <w:r w:rsidRPr="005C4DCE">
        <w:rPr>
          <w:rFonts w:cs="Times New Roman"/>
          <w:szCs w:val="24"/>
        </w:rPr>
        <w:t xml:space="preserve"> de implementação das obras e programas que sejam considerados necessários.</w:t>
      </w:r>
    </w:p>
    <w:p w:rsidR="00AE65D3" w:rsidRDefault="00AE65D3" w:rsidP="00AE65D3">
      <w:pPr>
        <w:pStyle w:val="PargrafodaLista"/>
        <w:spacing w:before="120" w:after="240" w:line="360" w:lineRule="auto"/>
        <w:ind w:left="567"/>
        <w:jc w:val="both"/>
        <w:rPr>
          <w:rFonts w:cs="Times New Roman"/>
          <w:szCs w:val="24"/>
        </w:rPr>
      </w:pPr>
    </w:p>
    <w:p w:rsidR="00AE65D3" w:rsidRPr="00F109BC" w:rsidRDefault="00AE65D3" w:rsidP="00AE65D3">
      <w:pPr>
        <w:pStyle w:val="PargrafodaLista"/>
        <w:spacing w:before="120" w:after="240" w:line="360" w:lineRule="auto"/>
        <w:ind w:left="567"/>
        <w:jc w:val="both"/>
        <w:rPr>
          <w:b/>
          <w:color w:val="222222"/>
          <w:szCs w:val="24"/>
        </w:rPr>
      </w:pPr>
    </w:p>
    <w:p w:rsidR="00843498" w:rsidRPr="005C4DCE" w:rsidRDefault="00C92BF5" w:rsidP="00F109BC">
      <w:pPr>
        <w:pStyle w:val="PargrafodaLista"/>
        <w:spacing w:before="120" w:after="240" w:line="360" w:lineRule="auto"/>
        <w:ind w:left="0"/>
        <w:jc w:val="both"/>
        <w:rPr>
          <w:rStyle w:val="Estilo2Char"/>
        </w:rPr>
      </w:pPr>
      <w:bookmarkStart w:id="719" w:name="_Toc372559209"/>
      <w:r w:rsidRPr="005C4DCE">
        <w:rPr>
          <w:rStyle w:val="Estilo2Char"/>
        </w:rPr>
        <w:t>REFERENCIAS</w:t>
      </w:r>
      <w:r w:rsidR="00BC29A7" w:rsidRPr="005C4DCE">
        <w:rPr>
          <w:rStyle w:val="Estilo2Char"/>
        </w:rPr>
        <w:t xml:space="preserve"> CONSULTADAS</w:t>
      </w:r>
      <w:bookmarkEnd w:id="719"/>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ABNT. </w:t>
      </w:r>
      <w:r w:rsidRPr="00C92BF5">
        <w:rPr>
          <w:rFonts w:cs="Times New Roman"/>
          <w:b/>
          <w:szCs w:val="24"/>
        </w:rPr>
        <w:t>NBR 12.213</w:t>
      </w:r>
      <w:r w:rsidRPr="00C92BF5">
        <w:rPr>
          <w:rFonts w:cs="Times New Roman"/>
          <w:szCs w:val="24"/>
        </w:rPr>
        <w:t xml:space="preserve"> – Projeto de captação de água de superfície para abastecimento público. Rio de Janeiro, 1992.</w:t>
      </w:r>
    </w:p>
    <w:p w:rsidR="00BC29A7" w:rsidRPr="003F1385" w:rsidRDefault="00BC29A7" w:rsidP="00BC29A7">
      <w:pPr>
        <w:autoSpaceDE w:val="0"/>
        <w:autoSpaceDN w:val="0"/>
        <w:adjustRightInd w:val="0"/>
        <w:spacing w:before="240" w:after="240" w:line="240" w:lineRule="auto"/>
        <w:jc w:val="both"/>
        <w:rPr>
          <w:rFonts w:cs="Times New Roman"/>
          <w:szCs w:val="24"/>
        </w:rPr>
      </w:pPr>
      <w:r w:rsidRPr="003F1385">
        <w:rPr>
          <w:rFonts w:cs="Times New Roman"/>
          <w:szCs w:val="24"/>
        </w:rPr>
        <w:t xml:space="preserve">AGÊNCIA 21. </w:t>
      </w:r>
      <w:r w:rsidRPr="003F1385">
        <w:rPr>
          <w:rFonts w:cs="Times New Roman"/>
          <w:b/>
          <w:szCs w:val="24"/>
        </w:rPr>
        <w:t>Documento de Visão Estratégica: Programa Vale Mais-Aimorés. 2006-2026.</w:t>
      </w:r>
      <w:r w:rsidRPr="003F1385">
        <w:rPr>
          <w:rFonts w:cs="Times New Roman"/>
          <w:szCs w:val="24"/>
        </w:rPr>
        <w:t xml:space="preserve"> Rio de Janeiro: Agência 21, 2007.</w:t>
      </w:r>
    </w:p>
    <w:p w:rsidR="00BC29A7" w:rsidRPr="00A04754" w:rsidRDefault="00BC29A7" w:rsidP="00BC29A7">
      <w:pPr>
        <w:spacing w:before="240" w:after="240" w:line="240" w:lineRule="auto"/>
        <w:jc w:val="both"/>
        <w:rPr>
          <w:rFonts w:cs="Times New Roman"/>
          <w:iCs/>
          <w:szCs w:val="24"/>
          <w:lang w:val="en-US"/>
        </w:rPr>
      </w:pPr>
      <w:r w:rsidRPr="00C92BF5">
        <w:rPr>
          <w:rFonts w:cs="Times New Roman"/>
          <w:iCs/>
          <w:szCs w:val="24"/>
        </w:rPr>
        <w:t xml:space="preserve">AGENDA 21. </w:t>
      </w:r>
      <w:r w:rsidRPr="00C92BF5">
        <w:rPr>
          <w:rFonts w:cs="Times New Roman"/>
          <w:b/>
          <w:iCs/>
          <w:szCs w:val="24"/>
        </w:rPr>
        <w:t>I</w:t>
      </w:r>
      <w:r w:rsidRPr="00C92BF5">
        <w:rPr>
          <w:rFonts w:cs="Times New Roman"/>
          <w:b/>
          <w:szCs w:val="24"/>
        </w:rPr>
        <w:t>nstrumento de planejamento para a construção de sociedades sustentáveis.</w:t>
      </w:r>
      <w:r w:rsidRPr="00C92BF5">
        <w:rPr>
          <w:rFonts w:cs="Times New Roman"/>
          <w:szCs w:val="24"/>
        </w:rPr>
        <w:t xml:space="preserve"> </w:t>
      </w:r>
      <w:r w:rsidRPr="00C92BF5">
        <w:rPr>
          <w:rFonts w:cs="Times New Roman"/>
          <w:iCs/>
          <w:szCs w:val="24"/>
        </w:rPr>
        <w:t xml:space="preserve">Disponível em: </w:t>
      </w:r>
      <w:hyperlink r:id="rId263" w:history="1">
        <w:r w:rsidRPr="00C92BF5">
          <w:rPr>
            <w:rFonts w:cs="Times New Roman"/>
            <w:iCs/>
            <w:szCs w:val="24"/>
          </w:rPr>
          <w:t>http://www.mma.gov.br/responsabilidade-socioambiental/agenda-21</w:t>
        </w:r>
      </w:hyperlink>
      <w:r w:rsidRPr="00C92BF5">
        <w:rPr>
          <w:rFonts w:cs="Times New Roman"/>
          <w:iCs/>
          <w:szCs w:val="24"/>
        </w:rPr>
        <w:t xml:space="preserve">. </w:t>
      </w:r>
      <w:r w:rsidRPr="00A04754">
        <w:rPr>
          <w:rFonts w:cs="Times New Roman"/>
          <w:iCs/>
          <w:szCs w:val="24"/>
          <w:lang w:val="en-US"/>
        </w:rPr>
        <w:t>Acesso em 11 set. 2013.</w:t>
      </w:r>
    </w:p>
    <w:p w:rsidR="00BC29A7" w:rsidRPr="00C92BF5" w:rsidRDefault="00BC29A7" w:rsidP="00BC29A7">
      <w:pPr>
        <w:spacing w:before="240" w:after="240" w:line="240" w:lineRule="auto"/>
        <w:jc w:val="both"/>
        <w:rPr>
          <w:rFonts w:cs="Times New Roman"/>
          <w:szCs w:val="24"/>
          <w:lang w:val="en-US"/>
        </w:rPr>
      </w:pPr>
      <w:r w:rsidRPr="00C92BF5">
        <w:rPr>
          <w:rFonts w:cs="Times New Roman"/>
          <w:szCs w:val="24"/>
          <w:lang w:val="en-US"/>
        </w:rPr>
        <w:t>ASCE, 1985. Stormwater Detention Outlet Control Structures. Task Comitee on the Design of  Outlet Structures. American Society of Civil Engineers, New York.</w:t>
      </w:r>
    </w:p>
    <w:p w:rsidR="00BC29A7" w:rsidRPr="00C92BF5" w:rsidRDefault="00BC29A7" w:rsidP="00BC29A7">
      <w:pPr>
        <w:spacing w:before="240" w:after="240" w:line="240" w:lineRule="auto"/>
        <w:jc w:val="both"/>
        <w:rPr>
          <w:rFonts w:cs="Times New Roman"/>
          <w:szCs w:val="24"/>
        </w:rPr>
      </w:pPr>
      <w:r w:rsidRPr="00A04754">
        <w:rPr>
          <w:rFonts w:cs="Times New Roman"/>
          <w:szCs w:val="24"/>
          <w:lang w:val="en-US"/>
        </w:rPr>
        <w:t xml:space="preserve">BARBOSA, F. A. R., SOUZA, E. M. M., VIEIRA, F., RENAULT, G. P. C. P., ROCHA, L.A., MAIA-BARBOSA, P. M., OBERDÁ, S. M. &amp; MINGOTI, S. A. 1997. </w:t>
      </w:r>
      <w:r w:rsidRPr="00C92BF5">
        <w:rPr>
          <w:rFonts w:cs="Times New Roman"/>
          <w:szCs w:val="24"/>
        </w:rPr>
        <w:t>Impactos antrópicos e biodiversidade aquática. pp. 345-454 In: PAULA, J. A. et al. (coord.). Biodiversidade, população e economia: uma região de mata atlântica.1997.Belo Horizonte, UFMG/Cedeplar, ECMVS, PADCT/CIAMB.</w:t>
      </w:r>
    </w:p>
    <w:p w:rsidR="00BC29A7" w:rsidRPr="00C92BF5" w:rsidRDefault="00145E79" w:rsidP="00BC29A7">
      <w:pPr>
        <w:spacing w:before="240" w:after="240" w:line="240" w:lineRule="auto"/>
        <w:jc w:val="both"/>
        <w:rPr>
          <w:rFonts w:cs="Times New Roman"/>
          <w:szCs w:val="24"/>
          <w:lang w:eastAsia="pt-BR"/>
        </w:rPr>
      </w:pPr>
      <w:r w:rsidRPr="00C92BF5">
        <w:rPr>
          <w:rFonts w:cs="Times New Roman"/>
          <w:szCs w:val="24"/>
          <w:lang w:eastAsia="pt-BR"/>
        </w:rPr>
        <w:t>BEZERRA</w:t>
      </w:r>
      <w:r w:rsidR="00BC29A7" w:rsidRPr="00C92BF5">
        <w:rPr>
          <w:rFonts w:cs="Times New Roman"/>
          <w:szCs w:val="24"/>
          <w:lang w:eastAsia="pt-BR"/>
        </w:rPr>
        <w:t>, S. M. C. </w:t>
      </w:r>
      <w:r w:rsidR="00BC29A7" w:rsidRPr="00C92BF5">
        <w:rPr>
          <w:rFonts w:cs="Times New Roman"/>
          <w:b/>
          <w:szCs w:val="24"/>
          <w:lang w:eastAsia="pt-BR"/>
        </w:rPr>
        <w:t>Influência do tempo de detenção hidráulica sobre a auto-inoculação na partida de um reator UASB tratando Esgoto Sanitário</w:t>
      </w:r>
      <w:r w:rsidR="00BC29A7" w:rsidRPr="00C92BF5">
        <w:rPr>
          <w:rFonts w:cs="Times New Roman"/>
          <w:szCs w:val="24"/>
          <w:lang w:eastAsia="pt-BR"/>
        </w:rPr>
        <w:t>, Dissertação de Mestrado, Universidade Federal da Paraíba - UFPB, Campina Grande – Brasil, 1998.</w:t>
      </w:r>
    </w:p>
    <w:p w:rsidR="00BC29A7" w:rsidRPr="00C92BF5" w:rsidRDefault="00BC29A7" w:rsidP="00BC29A7">
      <w:pPr>
        <w:spacing w:before="240" w:after="240" w:line="240" w:lineRule="auto"/>
        <w:jc w:val="both"/>
        <w:rPr>
          <w:rFonts w:cs="Times New Roman"/>
          <w:szCs w:val="24"/>
        </w:rPr>
      </w:pPr>
      <w:r w:rsidRPr="00C92BF5">
        <w:rPr>
          <w:rFonts w:cs="Times New Roman"/>
          <w:szCs w:val="24"/>
        </w:rPr>
        <w:lastRenderedPageBreak/>
        <w:t>BOTELHO, R.G.M. Planejamento Ambiental em Microbacia Hidrográfica. In: GUERRA, A.J.T.; SILVA, A.S.; BOTELHO, R.G.M. Erosão e Conservação dos Solos: Conceitos, Temas e Aplicações. Rio de Janeiro: Bertrand Brasil, pg 269-300, 1999.</w:t>
      </w:r>
    </w:p>
    <w:p w:rsidR="00BC29A7" w:rsidRPr="003F1385" w:rsidRDefault="00BC29A7" w:rsidP="00BC29A7">
      <w:pPr>
        <w:autoSpaceDE w:val="0"/>
        <w:autoSpaceDN w:val="0"/>
        <w:adjustRightInd w:val="0"/>
        <w:spacing w:before="240" w:after="240" w:line="240" w:lineRule="auto"/>
        <w:jc w:val="both"/>
        <w:rPr>
          <w:rFonts w:cs="Times New Roman"/>
          <w:szCs w:val="24"/>
        </w:rPr>
      </w:pPr>
      <w:r w:rsidRPr="003F1385">
        <w:rPr>
          <w:rFonts w:cs="Times New Roman"/>
          <w:szCs w:val="24"/>
        </w:rPr>
        <w:t>BRASIL Instituto Nacional de Estudos e Pesquisas Educacionais Anísio Teixeira</w:t>
      </w:r>
      <w:r w:rsidRPr="003F1385">
        <w:rPr>
          <w:rFonts w:cs="Times New Roman"/>
          <w:b/>
          <w:szCs w:val="24"/>
        </w:rPr>
        <w:t>. IDEB–Resultados e Metas (2013).</w:t>
      </w:r>
      <w:r>
        <w:rPr>
          <w:rFonts w:cs="Times New Roman"/>
          <w:b/>
          <w:szCs w:val="24"/>
        </w:rPr>
        <w:t xml:space="preserve"> </w:t>
      </w:r>
      <w:r w:rsidRPr="003F1385">
        <w:rPr>
          <w:rFonts w:cs="Times New Roman"/>
          <w:szCs w:val="24"/>
        </w:rPr>
        <w:t xml:space="preserve">Disponível em: </w:t>
      </w:r>
      <w:r w:rsidRPr="003F1385">
        <w:rPr>
          <w:rFonts w:cs="Times New Roman"/>
          <w:color w:val="000000" w:themeColor="text1"/>
          <w:szCs w:val="24"/>
        </w:rPr>
        <w:t>&lt;</w:t>
      </w:r>
      <w:hyperlink w:history="1">
        <w:r w:rsidRPr="003F1385">
          <w:rPr>
            <w:rStyle w:val="Hyperlink"/>
            <w:rFonts w:cs="Times New Roman"/>
            <w:color w:val="000000" w:themeColor="text1"/>
            <w:szCs w:val="24"/>
            <w:u w:val="none"/>
          </w:rPr>
          <w:t xml:space="preserve">http://ideb.inep.gov.br&gt; </w:t>
        </w:r>
      </w:hyperlink>
      <w:r w:rsidRPr="003F1385">
        <w:rPr>
          <w:rFonts w:cs="Times New Roman"/>
          <w:b/>
          <w:szCs w:val="24"/>
        </w:rPr>
        <w:t xml:space="preserve"> </w:t>
      </w:r>
      <w:r w:rsidRPr="003F1385">
        <w:rPr>
          <w:rFonts w:cs="Times New Roman"/>
          <w:szCs w:val="24"/>
        </w:rPr>
        <w:t>Acesso 28/10/2013.</w:t>
      </w:r>
    </w:p>
    <w:p w:rsidR="00BC29A7" w:rsidRPr="00C92BF5" w:rsidRDefault="00BC29A7" w:rsidP="00BC29A7">
      <w:pPr>
        <w:pStyle w:val="Corpodetexto"/>
        <w:spacing w:before="240" w:after="240" w:line="240" w:lineRule="auto"/>
        <w:jc w:val="both"/>
        <w:rPr>
          <w:rFonts w:cs="Times New Roman"/>
          <w:szCs w:val="24"/>
        </w:rPr>
      </w:pPr>
      <w:r w:rsidRPr="00C92BF5">
        <w:rPr>
          <w:rFonts w:cs="Times New Roman"/>
          <w:szCs w:val="24"/>
        </w:rPr>
        <w:t>BRASIL Instituto Nacional de Estudos e Pesquisas Educacionais Anísio Teixeira. IDEB–Resultados e Metas (2013).Disponível em: &lt;http://ideb.inep.gov.br&gt;  Acesso 28/10/2013.</w:t>
      </w:r>
    </w:p>
    <w:p w:rsidR="00BC29A7" w:rsidRPr="003F1385" w:rsidRDefault="00BC29A7" w:rsidP="00BC29A7">
      <w:pPr>
        <w:autoSpaceDE w:val="0"/>
        <w:autoSpaceDN w:val="0"/>
        <w:adjustRightInd w:val="0"/>
        <w:spacing w:before="240" w:after="240" w:line="240" w:lineRule="auto"/>
        <w:jc w:val="both"/>
        <w:rPr>
          <w:rFonts w:cs="Times New Roman"/>
          <w:szCs w:val="24"/>
        </w:rPr>
      </w:pPr>
      <w:r w:rsidRPr="003F1385">
        <w:rPr>
          <w:rFonts w:cs="Times New Roman"/>
          <w:szCs w:val="24"/>
        </w:rPr>
        <w:t xml:space="preserve">BRASIL. </w:t>
      </w:r>
      <w:r w:rsidRPr="003F1385">
        <w:rPr>
          <w:rFonts w:cs="Times New Roman"/>
          <w:b/>
          <w:bCs/>
          <w:szCs w:val="24"/>
        </w:rPr>
        <w:t xml:space="preserve">Lei nº 11.445, </w:t>
      </w:r>
      <w:r w:rsidRPr="003F1385">
        <w:rPr>
          <w:rFonts w:cs="Times New Roman"/>
          <w:b/>
          <w:szCs w:val="24"/>
        </w:rPr>
        <w:t>de 5 de janeiro de 2007</w:t>
      </w:r>
      <w:r w:rsidRPr="003F1385">
        <w:rPr>
          <w:rFonts w:cs="Times New Roman"/>
          <w:szCs w:val="24"/>
        </w:rPr>
        <w:t xml:space="preserve">. </w:t>
      </w:r>
      <w:r w:rsidRPr="003F1385">
        <w:rPr>
          <w:rFonts w:cs="Times New Roman"/>
          <w:b/>
          <w:szCs w:val="24"/>
        </w:rPr>
        <w:t xml:space="preserve">Institui as diretrizes nacionais para o saneamento básico e a Política Federal de Saneamento Básico no Brasil. </w:t>
      </w:r>
      <w:r w:rsidRPr="003F1385">
        <w:rPr>
          <w:rFonts w:cs="Times New Roman"/>
          <w:szCs w:val="24"/>
        </w:rPr>
        <w:t>Brasília: Diário Oficial da União, 2007.</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BRASIL. Ministério da Saúde. </w:t>
      </w:r>
      <w:r w:rsidRPr="00C92BF5">
        <w:rPr>
          <w:rFonts w:cs="Times New Roman"/>
          <w:b/>
          <w:szCs w:val="24"/>
        </w:rPr>
        <w:t>Manual de Procedimentos de Vigilância em Saúde Ambiental Relacionada à Qualidade da Água para consumo humano</w:t>
      </w:r>
      <w:r w:rsidRPr="00C92BF5">
        <w:rPr>
          <w:rFonts w:cs="Times New Roman"/>
          <w:szCs w:val="24"/>
        </w:rPr>
        <w:t>. Brasília, 2006.</w:t>
      </w:r>
    </w:p>
    <w:p w:rsidR="00BC29A7" w:rsidRPr="00C92BF5" w:rsidRDefault="00BC29A7" w:rsidP="00BC29A7">
      <w:pPr>
        <w:spacing w:before="240" w:after="240" w:line="240" w:lineRule="auto"/>
        <w:jc w:val="both"/>
        <w:rPr>
          <w:rFonts w:cs="Times New Roman"/>
          <w:szCs w:val="24"/>
        </w:rPr>
      </w:pPr>
      <w:r w:rsidRPr="00C92BF5">
        <w:rPr>
          <w:rFonts w:cs="Times New Roman"/>
          <w:szCs w:val="24"/>
        </w:rPr>
        <w:t>BRASIL. Ministério da Saúde. Portaria MS n° 518/2004. Brasília, 2004.</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BRASIL. Ministério da Saúde. Secretária em Vigilância em Saúde – </w:t>
      </w:r>
      <w:r w:rsidRPr="00C92BF5">
        <w:rPr>
          <w:rFonts w:cs="Times New Roman"/>
          <w:b/>
          <w:szCs w:val="24"/>
        </w:rPr>
        <w:t>Hepatite Virais</w:t>
      </w:r>
      <w:r w:rsidRPr="00C92BF5">
        <w:rPr>
          <w:rFonts w:cs="Times New Roman"/>
          <w:szCs w:val="24"/>
        </w:rPr>
        <w:t>. Disponível em: http:&lt;//portal.saude.gov.br/portal/arquivos/pdf/hepatites_virais_brasil_atento.pdf. &gt;Acesso em 30 de outubro de 2013.</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BRASIL. </w:t>
      </w:r>
      <w:r w:rsidRPr="00C92BF5">
        <w:rPr>
          <w:rFonts w:cs="Times New Roman"/>
          <w:b/>
          <w:szCs w:val="24"/>
        </w:rPr>
        <w:t>Portaria MS n° 2914 de 12 de dezembro de 2011</w:t>
      </w:r>
      <w:r w:rsidRPr="00C92BF5">
        <w:rPr>
          <w:rFonts w:cs="Times New Roman"/>
          <w:szCs w:val="24"/>
        </w:rPr>
        <w:t xml:space="preserve">. Dispõe sobre os procedimentos de controle e de vigilância da qualidade da água para consumo humano e seu padrão de potabilidade. Brasília, 2011. Disponível em: &lt; </w:t>
      </w:r>
      <w:hyperlink r:id="rId264" w:history="1">
        <w:r w:rsidRPr="00C92BF5">
          <w:rPr>
            <w:rFonts w:cs="Times New Roman"/>
            <w:szCs w:val="24"/>
          </w:rPr>
          <w:t>http://www.agevisa.ro.gov.br/wp-content/uploads/2012/04/Portaria_MS_2914-11.pdf</w:t>
        </w:r>
      </w:hyperlink>
      <w:r w:rsidRPr="00C92BF5">
        <w:rPr>
          <w:rFonts w:cs="Times New Roman"/>
          <w:szCs w:val="24"/>
        </w:rPr>
        <w:t>&gt; Acesso em 08 de outubro de 2013.</w:t>
      </w:r>
    </w:p>
    <w:p w:rsidR="00BC29A7" w:rsidRDefault="00BC29A7" w:rsidP="00BC29A7">
      <w:pPr>
        <w:pStyle w:val="Corpodetexto"/>
        <w:spacing w:before="240" w:after="240" w:line="240" w:lineRule="auto"/>
        <w:jc w:val="both"/>
        <w:rPr>
          <w:rFonts w:cs="Times New Roman"/>
          <w:szCs w:val="24"/>
        </w:rPr>
      </w:pPr>
      <w:r w:rsidRPr="00C92BF5">
        <w:rPr>
          <w:rFonts w:cs="Times New Roman"/>
          <w:szCs w:val="24"/>
        </w:rPr>
        <w:t xml:space="preserve">BRASIL. </w:t>
      </w:r>
      <w:r w:rsidRPr="00C92BF5">
        <w:rPr>
          <w:rFonts w:cs="Times New Roman"/>
          <w:bCs/>
          <w:szCs w:val="24"/>
        </w:rPr>
        <w:t>Presidência da República.</w:t>
      </w:r>
      <w:r w:rsidRPr="00C92BF5">
        <w:rPr>
          <w:rFonts w:cs="Times New Roman"/>
          <w:szCs w:val="24"/>
        </w:rPr>
        <w:t xml:space="preserve"> </w:t>
      </w:r>
      <w:r w:rsidRPr="00C92BF5">
        <w:rPr>
          <w:rFonts w:cs="Times New Roman"/>
          <w:b/>
          <w:bCs/>
          <w:szCs w:val="24"/>
        </w:rPr>
        <w:t>Lei Nº 12.305, de 2 de agosto de 2010</w:t>
      </w:r>
      <w:r w:rsidRPr="00C92BF5">
        <w:rPr>
          <w:rFonts w:cs="Times New Roman"/>
          <w:bCs/>
          <w:szCs w:val="24"/>
        </w:rPr>
        <w:t xml:space="preserve">. </w:t>
      </w:r>
      <w:r w:rsidRPr="00C92BF5">
        <w:rPr>
          <w:rFonts w:cs="Times New Roman"/>
          <w:szCs w:val="24"/>
        </w:rPr>
        <w:t xml:space="preserve">Institui a Política Nacional de Resíduos. Brasília, 2010. Disponível em: </w:t>
      </w:r>
      <w:hyperlink r:id="rId265" w:history="1">
        <w:r w:rsidRPr="00C92BF5">
          <w:rPr>
            <w:rFonts w:cs="Times New Roman"/>
            <w:szCs w:val="24"/>
          </w:rPr>
          <w:t>http://www.planalto.gov.br/ccivil_03/_ato2007-2010/2010/lei/l12305.htm</w:t>
        </w:r>
      </w:hyperlink>
      <w:r w:rsidRPr="00C92BF5">
        <w:rPr>
          <w:rFonts w:cs="Times New Roman"/>
          <w:szCs w:val="24"/>
        </w:rPr>
        <w:t>. Acesso em 05 set. 2013.</w:t>
      </w:r>
    </w:p>
    <w:p w:rsidR="00A369F0" w:rsidRPr="00C92BF5" w:rsidRDefault="00A369F0" w:rsidP="00A369F0">
      <w:pPr>
        <w:pStyle w:val="Corpodetexto"/>
        <w:spacing w:before="240" w:after="240" w:line="240" w:lineRule="auto"/>
        <w:jc w:val="both"/>
        <w:rPr>
          <w:rFonts w:cs="Times New Roman"/>
          <w:szCs w:val="24"/>
        </w:rPr>
      </w:pPr>
      <w:r w:rsidRPr="00C92BF5">
        <w:rPr>
          <w:rFonts w:cs="Times New Roman"/>
          <w:szCs w:val="24"/>
        </w:rPr>
        <w:t xml:space="preserve">BRASIL. Agência de Vigilância Sanitária (ANVISA). </w:t>
      </w:r>
      <w:r w:rsidRPr="00C92BF5">
        <w:rPr>
          <w:rFonts w:cs="Times New Roman"/>
          <w:b/>
          <w:szCs w:val="24"/>
        </w:rPr>
        <w:t>Resolução de Diretoria Colegiada (RDC) nº 306, de 7 de dezembro de 2004.</w:t>
      </w:r>
      <w:r w:rsidRPr="00C92BF5">
        <w:rPr>
          <w:rFonts w:cs="Times New Roman"/>
          <w:szCs w:val="24"/>
        </w:rPr>
        <w:t xml:space="preserve"> Dispõe sobre o Regulamento Técnico para o gerenciamento de resíduos de serviços de saúde. Brasília, 2004. Disponível em: </w:t>
      </w:r>
      <w:hyperlink r:id="rId266" w:history="1">
        <w:r w:rsidRPr="00C92BF5">
          <w:rPr>
            <w:rFonts w:cs="Times New Roman"/>
            <w:szCs w:val="24"/>
          </w:rPr>
          <w:t>www.anvisa.gov.br/divulga/noticias/2008/revista_anvisa</w:t>
        </w:r>
      </w:hyperlink>
      <w:r w:rsidRPr="00C92BF5">
        <w:rPr>
          <w:rFonts w:cs="Times New Roman"/>
          <w:szCs w:val="24"/>
        </w:rPr>
        <w:t>... Acesso em 11 set. 2013.</w:t>
      </w:r>
    </w:p>
    <w:p w:rsidR="00A369F0" w:rsidRPr="00C92BF5" w:rsidRDefault="00A369F0" w:rsidP="00A369F0">
      <w:pPr>
        <w:spacing w:before="240" w:after="240" w:line="240" w:lineRule="auto"/>
        <w:jc w:val="both"/>
        <w:rPr>
          <w:rFonts w:cs="Times New Roman"/>
          <w:szCs w:val="24"/>
        </w:rPr>
      </w:pPr>
      <w:r w:rsidRPr="00C92BF5">
        <w:rPr>
          <w:rFonts w:cs="Times New Roman"/>
          <w:szCs w:val="24"/>
        </w:rPr>
        <w:t xml:space="preserve">BRASIL. </w:t>
      </w:r>
      <w:r w:rsidRPr="00C92BF5">
        <w:rPr>
          <w:rFonts w:cs="Times New Roman"/>
          <w:b/>
          <w:szCs w:val="24"/>
        </w:rPr>
        <w:t>Constituição da República Federativa do Brasil</w:t>
      </w:r>
      <w:r w:rsidRPr="00C92BF5">
        <w:rPr>
          <w:rFonts w:cs="Times New Roman"/>
          <w:szCs w:val="24"/>
        </w:rPr>
        <w:t>. Texto promulgado em 05 de outubro de 1988. Brasília. 1988. Disponível em: www.senado.gov.br/legislacao/.../con1988/CON1988...1988/CON1988.p...‎. Acesso em 10 set. 2013.</w:t>
      </w:r>
    </w:p>
    <w:p w:rsidR="00A369F0" w:rsidRPr="00C92BF5" w:rsidRDefault="00A369F0" w:rsidP="00A369F0">
      <w:pPr>
        <w:spacing w:before="240" w:after="240" w:line="240" w:lineRule="auto"/>
        <w:jc w:val="both"/>
        <w:rPr>
          <w:rFonts w:cs="Times New Roman"/>
          <w:szCs w:val="24"/>
        </w:rPr>
      </w:pPr>
      <w:r w:rsidRPr="00C92BF5">
        <w:rPr>
          <w:rFonts w:cs="Times New Roman"/>
          <w:szCs w:val="24"/>
        </w:rPr>
        <w:lastRenderedPageBreak/>
        <w:t xml:space="preserve">BRASIL. </w:t>
      </w:r>
      <w:r w:rsidRPr="00C92BF5">
        <w:rPr>
          <w:rFonts w:cs="Times New Roman"/>
          <w:b/>
          <w:szCs w:val="24"/>
        </w:rPr>
        <w:t>L</w:t>
      </w:r>
      <w:hyperlink r:id="rId267" w:history="1">
        <w:r w:rsidRPr="00C92BF5">
          <w:rPr>
            <w:rFonts w:cs="Times New Roman"/>
            <w:b/>
            <w:szCs w:val="24"/>
          </w:rPr>
          <w:t>ei Nº 11.445, de 5 de janeiro de 2007</w:t>
        </w:r>
        <w:r w:rsidRPr="00C92BF5">
          <w:rPr>
            <w:rFonts w:cs="Times New Roman"/>
            <w:szCs w:val="24"/>
          </w:rPr>
          <w:t>. Estabelece</w:t>
        </w:r>
      </w:hyperlink>
      <w:r w:rsidRPr="00C92BF5">
        <w:rPr>
          <w:rFonts w:cs="Times New Roman"/>
          <w:bCs/>
          <w:szCs w:val="24"/>
        </w:rPr>
        <w:t xml:space="preserve"> D</w:t>
      </w:r>
      <w:r w:rsidRPr="00C92BF5">
        <w:rPr>
          <w:rFonts w:cs="Times New Roman"/>
          <w:szCs w:val="24"/>
        </w:rPr>
        <w:t xml:space="preserve">iretrizes Nacionais para o saneamento básico. Brasília, 2007. Disponível em: </w:t>
      </w:r>
      <w:hyperlink r:id="rId268" w:history="1">
        <w:r w:rsidRPr="00C92BF5">
          <w:rPr>
            <w:rStyle w:val="Hyperlink"/>
            <w:rFonts w:cs="Times New Roman"/>
            <w:color w:val="auto"/>
            <w:szCs w:val="24"/>
          </w:rPr>
          <w:t>http://www.planalto.gov.br/ccivil_03/_ato2007-2010/2007/lei/l11445.htm</w:t>
        </w:r>
      </w:hyperlink>
      <w:r w:rsidRPr="00C92BF5">
        <w:rPr>
          <w:rFonts w:cs="Times New Roman"/>
          <w:szCs w:val="24"/>
        </w:rPr>
        <w:t>. Acesso em 10 se. 2013.</w:t>
      </w:r>
    </w:p>
    <w:p w:rsidR="00BC29A7" w:rsidRPr="003F1385" w:rsidRDefault="00BC29A7" w:rsidP="00BC29A7">
      <w:pPr>
        <w:autoSpaceDE w:val="0"/>
        <w:autoSpaceDN w:val="0"/>
        <w:adjustRightInd w:val="0"/>
        <w:spacing w:before="240" w:after="240" w:line="240" w:lineRule="auto"/>
        <w:jc w:val="both"/>
        <w:rPr>
          <w:rFonts w:cs="Times New Roman"/>
          <w:bCs/>
          <w:szCs w:val="24"/>
        </w:rPr>
      </w:pPr>
      <w:r w:rsidRPr="003F1385">
        <w:rPr>
          <w:rFonts w:cs="Times New Roman"/>
          <w:bCs/>
          <w:szCs w:val="24"/>
        </w:rPr>
        <w:t xml:space="preserve">CARNEIRO, C. B. L. </w:t>
      </w:r>
      <w:r w:rsidRPr="003F1385">
        <w:rPr>
          <w:rFonts w:cs="Times New Roman"/>
          <w:b/>
          <w:bCs/>
          <w:szCs w:val="24"/>
        </w:rPr>
        <w:t xml:space="preserve">Programas de proteção social e superação da pobreza: concepções e estratégias de intervenção. </w:t>
      </w:r>
      <w:r w:rsidRPr="003F1385">
        <w:rPr>
          <w:rFonts w:cs="Times New Roman"/>
          <w:bCs/>
          <w:szCs w:val="24"/>
        </w:rPr>
        <w:t>2005</w:t>
      </w:r>
      <w:r w:rsidRPr="003F1385">
        <w:rPr>
          <w:rFonts w:cs="Times New Roman"/>
          <w:b/>
          <w:bCs/>
          <w:szCs w:val="24"/>
        </w:rPr>
        <w:t xml:space="preserve">, </w:t>
      </w:r>
      <w:r w:rsidRPr="003F1385">
        <w:rPr>
          <w:rFonts w:cs="Times New Roman"/>
          <w:bCs/>
          <w:szCs w:val="24"/>
        </w:rPr>
        <w:t>334f.</w:t>
      </w:r>
      <w:r w:rsidRPr="003F1385">
        <w:rPr>
          <w:rFonts w:cs="Times New Roman"/>
          <w:b/>
          <w:bCs/>
          <w:szCs w:val="24"/>
        </w:rPr>
        <w:t xml:space="preserve"> </w:t>
      </w:r>
      <w:r w:rsidRPr="003F1385">
        <w:rPr>
          <w:rFonts w:cs="Times New Roman"/>
          <w:bCs/>
          <w:szCs w:val="24"/>
        </w:rPr>
        <w:t>Tese (Doutorado em Ciências Humanas) - Faculdade de Filosofia e Ciências Humanas, Universidade Federal de Minas Gerais. Belo Horizonte, 2005.</w:t>
      </w:r>
    </w:p>
    <w:p w:rsidR="00BC29A7" w:rsidRPr="00C92BF5" w:rsidRDefault="00BC29A7" w:rsidP="00BC29A7">
      <w:pPr>
        <w:spacing w:before="240" w:after="240" w:line="240" w:lineRule="auto"/>
        <w:jc w:val="both"/>
        <w:rPr>
          <w:rFonts w:cs="Times New Roman"/>
          <w:szCs w:val="24"/>
        </w:rPr>
      </w:pPr>
      <w:r w:rsidRPr="00C92BF5">
        <w:rPr>
          <w:rFonts w:cs="Times New Roman"/>
          <w:szCs w:val="24"/>
        </w:rPr>
        <w:t>CASTRO, J. F. M. A importância da cartografia nos estudos de bacias hidrográficas. In: XXX Semana de Estudos Geográficos “O Homem e as Águas”. Rio Claro: CAEGE/IGCE/UNESP, 1-7 pp, 2000.</w:t>
      </w:r>
    </w:p>
    <w:p w:rsidR="00BC29A7" w:rsidRPr="00A04754" w:rsidRDefault="00BC29A7" w:rsidP="00BC29A7">
      <w:pPr>
        <w:spacing w:before="240" w:after="240" w:line="240" w:lineRule="auto"/>
        <w:jc w:val="both"/>
        <w:rPr>
          <w:rFonts w:cs="Times New Roman"/>
          <w:szCs w:val="24"/>
        </w:rPr>
      </w:pPr>
      <w:r w:rsidRPr="00C92BF5">
        <w:rPr>
          <w:rFonts w:cs="Times New Roman"/>
          <w:szCs w:val="24"/>
        </w:rPr>
        <w:t xml:space="preserve">CAVALCANTI, R. B., JOLY, C.A (2002). </w:t>
      </w:r>
      <w:r w:rsidRPr="00C92BF5">
        <w:rPr>
          <w:rFonts w:cs="Times New Roman"/>
          <w:szCs w:val="24"/>
          <w:lang w:val="en-US"/>
        </w:rPr>
        <w:t xml:space="preserve">Biodiversity and conservation prioritiesvin the Cerrado region. In: OLIVEIRA, P. S.; MARQUES, R. J. The cerrados of Brazil: ecology and natural history of a neotropical savanna. </w:t>
      </w:r>
      <w:r w:rsidRPr="00A04754">
        <w:rPr>
          <w:rFonts w:cs="Times New Roman"/>
          <w:szCs w:val="24"/>
        </w:rPr>
        <w:t xml:space="preserve">New York: Columbia </w:t>
      </w:r>
      <w:r w:rsidRPr="00C92BF5">
        <w:rPr>
          <w:rFonts w:cs="Times New Roman"/>
          <w:szCs w:val="24"/>
        </w:rPr>
        <w:t>University Press, 2002. p. 223-241.</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CBH-DOCE – COMITE DA BACIA HIDROGRÁFICA DO RIO DOCE. Disponível em&lt; </w:t>
      </w:r>
      <w:hyperlink r:id="rId269" w:history="1">
        <w:r w:rsidRPr="00C92BF5">
          <w:rPr>
            <w:rFonts w:cs="Times New Roman"/>
            <w:szCs w:val="24"/>
          </w:rPr>
          <w:t>http://www.cbhdoce.org.br/</w:t>
        </w:r>
      </w:hyperlink>
      <w:r w:rsidRPr="00C92BF5">
        <w:rPr>
          <w:rFonts w:cs="Times New Roman"/>
          <w:szCs w:val="24"/>
        </w:rPr>
        <w:t>&gt;. Acesso em 25 de outubro de 2013.</w:t>
      </w:r>
    </w:p>
    <w:p w:rsidR="00BC29A7" w:rsidRPr="00C92BF5" w:rsidRDefault="00BC29A7" w:rsidP="00BC29A7">
      <w:pPr>
        <w:spacing w:before="240" w:after="240" w:line="240" w:lineRule="auto"/>
        <w:jc w:val="both"/>
        <w:rPr>
          <w:rFonts w:cs="Times New Roman"/>
          <w:szCs w:val="24"/>
          <w:lang w:eastAsia="pt-BR"/>
        </w:rPr>
      </w:pPr>
      <w:r w:rsidRPr="00C92BF5">
        <w:rPr>
          <w:rFonts w:cs="Times New Roman"/>
          <w:szCs w:val="24"/>
          <w:lang w:eastAsia="pt-BR"/>
        </w:rPr>
        <w:t xml:space="preserve">CONAMA – CONSELHO NACIONAL DE MEIO AMBIENTE. </w:t>
      </w:r>
      <w:hyperlink r:id="rId270" w:tgtFrame="_blank" w:history="1">
        <w:r w:rsidRPr="00C92BF5">
          <w:rPr>
            <w:rFonts w:cs="Times New Roman"/>
            <w:b/>
            <w:szCs w:val="24"/>
            <w:lang w:eastAsia="pt-BR"/>
          </w:rPr>
          <w:t>Resolução CONAMA Nº 430/2011</w:t>
        </w:r>
      </w:hyperlink>
      <w:r w:rsidRPr="00C92BF5">
        <w:rPr>
          <w:rFonts w:cs="Times New Roman"/>
          <w:szCs w:val="24"/>
          <w:lang w:eastAsia="pt-BR"/>
        </w:rPr>
        <w:t> - "Dispõe sobre condições e padrões de lançamento de efluentes, complementa e altera a Resolução no 357, de 17 de março de 2005, do Conselho Nacional do Meio Ambiente - CONAMA.". BRASÍLIA, 2011.</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COPASA. Companhia de Saneamento de Minas Gerais. 2012. Doenças de veiculação hídrica. Disponível em: &lt;http://www.copasa.com.br/media2/PesquisaEscolar/COPASA_Doen%C3%A7as.pdf&gt;. Acesso em: 07 de outubro de 2013. </w:t>
      </w:r>
    </w:p>
    <w:p w:rsidR="00BC29A7" w:rsidRPr="00C92BF5" w:rsidRDefault="00BC29A7" w:rsidP="00BC29A7">
      <w:pPr>
        <w:spacing w:before="240" w:after="240" w:line="240" w:lineRule="auto"/>
        <w:jc w:val="both"/>
        <w:rPr>
          <w:rFonts w:cs="Times New Roman"/>
          <w:szCs w:val="24"/>
        </w:rPr>
      </w:pPr>
      <w:r w:rsidRPr="00C92BF5">
        <w:rPr>
          <w:rFonts w:cs="Times New Roman"/>
          <w:szCs w:val="24"/>
        </w:rPr>
        <w:t>CRUZ, M.A.S. 1998. Controle do escoamento com detenção em lotes urbanos, dissertação de mestrado do programa de pós-graduação em Engenharia de Recursos hídricos do IPH/UFRGS, 140p.</w:t>
      </w:r>
    </w:p>
    <w:p w:rsidR="00BC29A7" w:rsidRPr="003F1385" w:rsidRDefault="00BC29A7" w:rsidP="00BC29A7">
      <w:pPr>
        <w:pStyle w:val="Referncias"/>
        <w:spacing w:before="240" w:after="240"/>
        <w:rPr>
          <w:rFonts w:cs="Times New Roman"/>
          <w:szCs w:val="24"/>
        </w:rPr>
      </w:pPr>
      <w:r w:rsidRPr="00466071">
        <w:rPr>
          <w:rFonts w:cs="Times New Roman"/>
          <w:szCs w:val="24"/>
        </w:rPr>
        <w:t>DATASUS</w:t>
      </w:r>
      <w:r w:rsidRPr="003F1385">
        <w:rPr>
          <w:rFonts w:cs="Times New Roman"/>
          <w:szCs w:val="24"/>
        </w:rPr>
        <w:t xml:space="preserve">. Ministério da Saúde. </w:t>
      </w:r>
      <w:r w:rsidRPr="003F1385">
        <w:rPr>
          <w:rFonts w:cs="Times New Roman"/>
          <w:b/>
          <w:szCs w:val="24"/>
        </w:rPr>
        <w:t xml:space="preserve">DATASUS. </w:t>
      </w:r>
      <w:r w:rsidRPr="003F1385">
        <w:rPr>
          <w:rFonts w:cs="Times New Roman"/>
          <w:szCs w:val="24"/>
        </w:rPr>
        <w:t>Disponível em</w:t>
      </w:r>
      <w:r w:rsidRPr="003F1385">
        <w:rPr>
          <w:rFonts w:cs="Times New Roman"/>
          <w:b/>
          <w:szCs w:val="24"/>
        </w:rPr>
        <w:t xml:space="preserve"> &lt;</w:t>
      </w:r>
      <w:hyperlink w:history="1">
        <w:r w:rsidRPr="003F1385">
          <w:rPr>
            <w:rStyle w:val="Hyperlink"/>
            <w:rFonts w:cs="Times New Roman"/>
            <w:bCs w:val="0"/>
            <w:color w:val="auto"/>
            <w:szCs w:val="24"/>
            <w:u w:val="none"/>
          </w:rPr>
          <w:t>www.portaldm.com.br&gt; Acesso</w:t>
        </w:r>
      </w:hyperlink>
      <w:r w:rsidRPr="003F1385">
        <w:rPr>
          <w:rFonts w:cs="Times New Roman"/>
          <w:szCs w:val="24"/>
        </w:rPr>
        <w:t xml:space="preserve"> em 28/10/2013</w:t>
      </w:r>
    </w:p>
    <w:p w:rsidR="00BC29A7" w:rsidRPr="00C92BF5" w:rsidRDefault="00BC29A7" w:rsidP="00BC29A7">
      <w:pPr>
        <w:spacing w:before="240" w:after="240" w:line="240" w:lineRule="auto"/>
        <w:jc w:val="both"/>
        <w:rPr>
          <w:rFonts w:cs="Times New Roman"/>
          <w:szCs w:val="24"/>
        </w:rPr>
      </w:pPr>
      <w:r w:rsidRPr="00C92BF5">
        <w:rPr>
          <w:rFonts w:cs="Times New Roman"/>
          <w:szCs w:val="24"/>
        </w:rPr>
        <w:t>DIAS, L. S. O.; ROCHA, G. A.; BARROS, E. U. A.; MAIA, P. H. P. Utilização do radar interferométrico para delimitação automática de bacias hidrográficas. Bahia Análise &amp; Dados, 14(2):265-271, 2004.</w:t>
      </w:r>
    </w:p>
    <w:p w:rsidR="00BC29A7" w:rsidRPr="003F1385" w:rsidRDefault="00BC29A7" w:rsidP="00BC29A7">
      <w:pPr>
        <w:autoSpaceDE w:val="0"/>
        <w:autoSpaceDN w:val="0"/>
        <w:adjustRightInd w:val="0"/>
        <w:spacing w:before="240" w:after="240" w:line="240" w:lineRule="auto"/>
        <w:jc w:val="both"/>
        <w:rPr>
          <w:rFonts w:cs="Times New Roman"/>
          <w:bCs/>
          <w:szCs w:val="24"/>
        </w:rPr>
      </w:pPr>
      <w:r w:rsidRPr="003F1385">
        <w:rPr>
          <w:rFonts w:cs="Times New Roman"/>
          <w:bCs/>
          <w:szCs w:val="24"/>
        </w:rPr>
        <w:t>DRZ.</w:t>
      </w:r>
      <w:r w:rsidRPr="003F1385">
        <w:rPr>
          <w:rFonts w:cs="Times New Roman"/>
          <w:b/>
          <w:bCs/>
          <w:szCs w:val="24"/>
        </w:rPr>
        <w:t xml:space="preserve"> Plano Municipal de Saneamento Básico de Londrina/PR –Diagnóstico 2008/2009. </w:t>
      </w:r>
      <w:r w:rsidRPr="003F1385">
        <w:rPr>
          <w:rFonts w:cs="Times New Roman"/>
          <w:bCs/>
          <w:szCs w:val="24"/>
        </w:rPr>
        <w:t>Londrina: DRZ, 2009.</w:t>
      </w:r>
    </w:p>
    <w:p w:rsidR="00BC29A7" w:rsidRPr="003F1385" w:rsidRDefault="00BC29A7" w:rsidP="00BC29A7">
      <w:pPr>
        <w:autoSpaceDE w:val="0"/>
        <w:autoSpaceDN w:val="0"/>
        <w:adjustRightInd w:val="0"/>
        <w:spacing w:before="240" w:after="240" w:line="240" w:lineRule="auto"/>
        <w:jc w:val="both"/>
        <w:rPr>
          <w:rFonts w:cs="Times New Roman"/>
          <w:bCs/>
          <w:szCs w:val="24"/>
        </w:rPr>
      </w:pPr>
      <w:r w:rsidRPr="003F1385">
        <w:rPr>
          <w:rFonts w:cs="Times New Roman"/>
          <w:bCs/>
          <w:szCs w:val="24"/>
        </w:rPr>
        <w:lastRenderedPageBreak/>
        <w:t>DRZ.</w:t>
      </w:r>
      <w:r w:rsidRPr="003F1385">
        <w:rPr>
          <w:rFonts w:cs="Times New Roman"/>
          <w:b/>
          <w:bCs/>
          <w:szCs w:val="24"/>
        </w:rPr>
        <w:t xml:space="preserve"> Plano Municipal de Saneamento Básico de Ouro Preto/MG. </w:t>
      </w:r>
      <w:r w:rsidRPr="003F1385">
        <w:rPr>
          <w:rFonts w:cs="Times New Roman"/>
          <w:bCs/>
          <w:szCs w:val="24"/>
        </w:rPr>
        <w:t>Ouro Preto: DRZ, 2012.</w:t>
      </w:r>
    </w:p>
    <w:p w:rsidR="00BC29A7" w:rsidRPr="00C92BF5" w:rsidRDefault="00BC29A7" w:rsidP="00BC29A7">
      <w:pPr>
        <w:spacing w:before="240" w:after="240" w:line="240" w:lineRule="auto"/>
        <w:jc w:val="both"/>
        <w:rPr>
          <w:rFonts w:cs="Times New Roman"/>
          <w:szCs w:val="24"/>
          <w:lang w:eastAsia="pt-BR"/>
        </w:rPr>
      </w:pPr>
      <w:r w:rsidRPr="00C92BF5">
        <w:rPr>
          <w:rFonts w:cs="Times New Roman"/>
          <w:szCs w:val="24"/>
          <w:lang w:eastAsia="pt-BR"/>
        </w:rPr>
        <w:t xml:space="preserve">FERNANDES, Carlos. </w:t>
      </w:r>
      <w:r w:rsidRPr="00C92BF5">
        <w:rPr>
          <w:rFonts w:cs="Times New Roman"/>
          <w:b/>
          <w:szCs w:val="24"/>
          <w:lang w:eastAsia="pt-BR"/>
        </w:rPr>
        <w:t>Reator UASB</w:t>
      </w:r>
      <w:r w:rsidRPr="00C92BF5">
        <w:rPr>
          <w:rFonts w:cs="Times New Roman"/>
          <w:szCs w:val="24"/>
          <w:lang w:eastAsia="pt-BR"/>
        </w:rPr>
        <w:t>. Disponível em: &lt;</w:t>
      </w:r>
      <w:hyperlink r:id="rId271" w:history="1">
        <w:r w:rsidRPr="00C92BF5">
          <w:rPr>
            <w:rFonts w:cs="Times New Roman"/>
            <w:szCs w:val="24"/>
            <w:lang w:eastAsia="pt-BR"/>
          </w:rPr>
          <w:t>http://www.dec.ufcg.edu.br/saneamento/UASB02.html</w:t>
        </w:r>
      </w:hyperlink>
      <w:r w:rsidRPr="00C92BF5">
        <w:rPr>
          <w:rFonts w:cs="Times New Roman"/>
          <w:szCs w:val="24"/>
          <w:lang w:eastAsia="pt-BR"/>
        </w:rPr>
        <w:t>&gt; Acesso em 25 de outubro de 2013.</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FGV – FUNDAÇÃO GESTÚLIO VARGAS. </w:t>
      </w:r>
      <w:r w:rsidRPr="00C92BF5">
        <w:rPr>
          <w:rFonts w:cs="Times New Roman"/>
          <w:b/>
          <w:szCs w:val="24"/>
        </w:rPr>
        <w:t>Administração Pública direta e indireta: O regime jurídico das Autarquias e Fundações públicas</w:t>
      </w:r>
      <w:r w:rsidRPr="00C92BF5">
        <w:rPr>
          <w:rFonts w:cs="Times New Roman"/>
          <w:szCs w:val="24"/>
        </w:rPr>
        <w:t>. São Paulo, 2013.</w:t>
      </w:r>
    </w:p>
    <w:p w:rsidR="00BC29A7" w:rsidRPr="003F1385" w:rsidRDefault="00BC29A7" w:rsidP="00BC29A7">
      <w:pPr>
        <w:autoSpaceDE w:val="0"/>
        <w:autoSpaceDN w:val="0"/>
        <w:adjustRightInd w:val="0"/>
        <w:spacing w:before="240" w:after="240" w:line="240" w:lineRule="auto"/>
        <w:jc w:val="both"/>
        <w:rPr>
          <w:rFonts w:cs="Times New Roman"/>
          <w:bCs/>
          <w:szCs w:val="24"/>
        </w:rPr>
      </w:pPr>
      <w:r w:rsidRPr="003F1385">
        <w:rPr>
          <w:rFonts w:cs="Times New Roman"/>
          <w:bCs/>
          <w:szCs w:val="24"/>
        </w:rPr>
        <w:t>FJP.</w:t>
      </w:r>
      <w:r w:rsidRPr="003F1385">
        <w:rPr>
          <w:rFonts w:cs="Times New Roman"/>
          <w:b/>
          <w:bCs/>
          <w:szCs w:val="24"/>
        </w:rPr>
        <w:t xml:space="preserve"> Índice Mineiro de Responsabilidade Social - IMRS</w:t>
      </w:r>
      <w:r w:rsidRPr="003F1385">
        <w:rPr>
          <w:rFonts w:cs="Times New Roman"/>
          <w:bCs/>
          <w:szCs w:val="24"/>
        </w:rPr>
        <w:t xml:space="preserve"> Disponível em &lt;http://www.fjp.mg.gov.br/index.php/servicos/82-servicos-cepp/956-indice-mineiro-de-responsabilidade-social-imrs&gt; Acesso 29/10/2013</w:t>
      </w:r>
    </w:p>
    <w:p w:rsidR="00BC29A7" w:rsidRPr="00C92BF5" w:rsidRDefault="00BC29A7" w:rsidP="00BC29A7">
      <w:pPr>
        <w:pStyle w:val="Corpodetexto"/>
        <w:spacing w:before="240" w:after="240" w:line="240" w:lineRule="auto"/>
        <w:jc w:val="both"/>
        <w:rPr>
          <w:rFonts w:cs="Times New Roman"/>
          <w:szCs w:val="24"/>
        </w:rPr>
      </w:pPr>
      <w:r w:rsidRPr="00C92BF5">
        <w:rPr>
          <w:rFonts w:cs="Times New Roman"/>
          <w:szCs w:val="24"/>
        </w:rPr>
        <w:t>FJP. Índice Mineiro de Responsabilidade Social - IMRS Disponível em &lt;http://www.fjp.mg.gov.br/index.php/servicos/82-servicos-cepp/956-indice-mineiro-de-responsabilidade-social-imrs&gt; Acesso 29/10/2013</w:t>
      </w:r>
    </w:p>
    <w:p w:rsidR="00BC29A7" w:rsidRPr="00C92BF5" w:rsidRDefault="00BC29A7" w:rsidP="00BC29A7">
      <w:pPr>
        <w:spacing w:before="240" w:after="240" w:line="240" w:lineRule="auto"/>
        <w:jc w:val="both"/>
        <w:rPr>
          <w:rFonts w:cs="Times New Roman"/>
          <w:szCs w:val="24"/>
        </w:rPr>
      </w:pPr>
      <w:r w:rsidRPr="00C92BF5">
        <w:rPr>
          <w:rFonts w:cs="Times New Roman"/>
          <w:szCs w:val="24"/>
        </w:rPr>
        <w:t>FUNASA- FUNDAÇÃO NACIONAL DE SAÚDE. Disponível em: &lt;http://www.funasa.gov.br/site/&gt;. Acesso em 09 de outubro de 2013.</w:t>
      </w:r>
    </w:p>
    <w:p w:rsidR="00BC29A7" w:rsidRPr="003F1385" w:rsidRDefault="00BC29A7" w:rsidP="00BC29A7">
      <w:pPr>
        <w:autoSpaceDE w:val="0"/>
        <w:autoSpaceDN w:val="0"/>
        <w:adjustRightInd w:val="0"/>
        <w:spacing w:before="240" w:after="240" w:line="240" w:lineRule="auto"/>
        <w:jc w:val="both"/>
        <w:rPr>
          <w:rFonts w:cs="Times New Roman"/>
          <w:bCs/>
          <w:szCs w:val="24"/>
          <w:lang w:val="pt-PT"/>
        </w:rPr>
      </w:pPr>
      <w:r w:rsidRPr="003F1385">
        <w:rPr>
          <w:rFonts w:cs="Times New Roman"/>
          <w:bCs/>
          <w:szCs w:val="24"/>
        </w:rPr>
        <w:t>GLOBO.</w:t>
      </w:r>
      <w:r w:rsidRPr="003F1385">
        <w:rPr>
          <w:rFonts w:cs="Times New Roman"/>
          <w:b/>
          <w:bCs/>
          <w:szCs w:val="24"/>
        </w:rPr>
        <w:t xml:space="preserve"> Conheça Aimorés: cidade cheia de histórias, filhos ilustres e situações pra lá de curiosas! </w:t>
      </w:r>
      <w:r w:rsidRPr="003F1385">
        <w:rPr>
          <w:rFonts w:cs="Times New Roman"/>
          <w:bCs/>
          <w:szCs w:val="24"/>
        </w:rPr>
        <w:t xml:space="preserve">Disponível em </w:t>
      </w:r>
      <w:r w:rsidRPr="003F1385">
        <w:rPr>
          <w:rFonts w:cs="Times New Roman"/>
          <w:bCs/>
          <w:color w:val="000000" w:themeColor="text1"/>
          <w:szCs w:val="24"/>
        </w:rPr>
        <w:t>&lt;</w:t>
      </w:r>
      <w:hyperlink r:id="rId272" w:history="1">
        <w:r w:rsidRPr="003F1385">
          <w:rPr>
            <w:rStyle w:val="Hyperlink"/>
            <w:rFonts w:cs="Times New Roman"/>
            <w:bCs/>
            <w:color w:val="000000" w:themeColor="text1"/>
            <w:szCs w:val="24"/>
            <w:u w:val="none"/>
          </w:rPr>
          <w:t>http://in360.globo.com/mg/noticias.php?id=13651</w:t>
        </w:r>
      </w:hyperlink>
      <w:r w:rsidRPr="003F1385">
        <w:rPr>
          <w:rFonts w:cs="Times New Roman"/>
          <w:bCs/>
          <w:color w:val="000000" w:themeColor="text1"/>
          <w:szCs w:val="24"/>
        </w:rPr>
        <w:t xml:space="preserve">&gt; </w:t>
      </w:r>
      <w:r w:rsidRPr="003F1385">
        <w:rPr>
          <w:rFonts w:cs="Times New Roman"/>
          <w:bCs/>
          <w:szCs w:val="24"/>
          <w:lang w:val="pt-PT"/>
        </w:rPr>
        <w:t>Acesso 01/11/2013.</w:t>
      </w:r>
    </w:p>
    <w:p w:rsidR="00BC29A7" w:rsidRPr="00C92BF5" w:rsidRDefault="00BC29A7" w:rsidP="00BC29A7">
      <w:pPr>
        <w:spacing w:before="240" w:after="240" w:line="240" w:lineRule="auto"/>
        <w:jc w:val="both"/>
        <w:rPr>
          <w:rFonts w:cs="Times New Roman"/>
          <w:szCs w:val="24"/>
          <w:lang w:eastAsia="pt-BR"/>
        </w:rPr>
      </w:pPr>
      <w:r w:rsidRPr="00C92BF5">
        <w:rPr>
          <w:rFonts w:cs="Times New Roman"/>
          <w:szCs w:val="24"/>
          <w:lang w:eastAsia="pt-BR"/>
        </w:rPr>
        <w:t>GOOGLE EARTH. Imagem utilizada em 07 de novembro de 2013.</w:t>
      </w:r>
    </w:p>
    <w:p w:rsidR="00BC29A7" w:rsidRPr="003F1385" w:rsidRDefault="00BC29A7" w:rsidP="00BC29A7">
      <w:pPr>
        <w:autoSpaceDE w:val="0"/>
        <w:autoSpaceDN w:val="0"/>
        <w:adjustRightInd w:val="0"/>
        <w:spacing w:before="240" w:after="240" w:line="240" w:lineRule="auto"/>
        <w:jc w:val="both"/>
        <w:rPr>
          <w:rFonts w:cs="Times New Roman"/>
          <w:bCs/>
          <w:szCs w:val="24"/>
          <w:lang w:val="pt-PT"/>
        </w:rPr>
      </w:pPr>
      <w:r w:rsidRPr="003F1385">
        <w:rPr>
          <w:rFonts w:cs="Times New Roman"/>
          <w:bCs/>
          <w:szCs w:val="24"/>
        </w:rPr>
        <w:t xml:space="preserve">IBGE – </w:t>
      </w:r>
      <w:r w:rsidRPr="003F1385">
        <w:rPr>
          <w:rFonts w:cs="Times New Roman"/>
          <w:b/>
          <w:bCs/>
          <w:szCs w:val="24"/>
        </w:rPr>
        <w:t>Ensino – Matrículas, docentes e Rede Escoar 2012</w:t>
      </w:r>
      <w:r w:rsidRPr="003F1385">
        <w:rPr>
          <w:rFonts w:cs="Times New Roman"/>
          <w:bCs/>
          <w:szCs w:val="24"/>
        </w:rPr>
        <w:t xml:space="preserve"> Disponível em &lt;http://cidades.ibge.gov.br&gt; </w:t>
      </w:r>
      <w:r w:rsidRPr="003F1385">
        <w:rPr>
          <w:rFonts w:cs="Times New Roman"/>
          <w:bCs/>
          <w:szCs w:val="24"/>
          <w:lang w:val="pt-PT"/>
        </w:rPr>
        <w:t xml:space="preserve">Acesso 28/10/2013. </w:t>
      </w:r>
    </w:p>
    <w:p w:rsidR="00BC29A7" w:rsidRPr="003F1385" w:rsidRDefault="00BC29A7" w:rsidP="00BC29A7">
      <w:pPr>
        <w:autoSpaceDE w:val="0"/>
        <w:autoSpaceDN w:val="0"/>
        <w:adjustRightInd w:val="0"/>
        <w:spacing w:before="240" w:after="240" w:line="240" w:lineRule="auto"/>
        <w:jc w:val="both"/>
        <w:rPr>
          <w:rFonts w:cs="Times New Roman"/>
          <w:bCs/>
          <w:szCs w:val="24"/>
          <w:lang w:val="pt-PT"/>
        </w:rPr>
      </w:pPr>
      <w:r w:rsidRPr="003F1385">
        <w:rPr>
          <w:rFonts w:cs="Times New Roman"/>
          <w:bCs/>
          <w:color w:val="000000" w:themeColor="text1"/>
          <w:szCs w:val="24"/>
        </w:rPr>
        <w:t xml:space="preserve">IBGE – </w:t>
      </w:r>
      <w:r w:rsidRPr="003F1385">
        <w:rPr>
          <w:rFonts w:cs="Times New Roman"/>
          <w:b/>
          <w:bCs/>
          <w:color w:val="000000" w:themeColor="text1"/>
          <w:szCs w:val="24"/>
        </w:rPr>
        <w:t>Lavoura Permanente 2011.</w:t>
      </w:r>
      <w:r w:rsidRPr="003F1385">
        <w:rPr>
          <w:rFonts w:cs="Times New Roman"/>
          <w:bCs/>
          <w:color w:val="000000" w:themeColor="text1"/>
          <w:szCs w:val="24"/>
        </w:rPr>
        <w:t xml:space="preserve"> Disponível em &lt;http://cidades.ibge.gov.br&gt; </w:t>
      </w:r>
      <w:r w:rsidRPr="003F1385">
        <w:rPr>
          <w:rFonts w:cs="Times New Roman"/>
          <w:bCs/>
          <w:szCs w:val="24"/>
          <w:lang w:val="pt-PT"/>
        </w:rPr>
        <w:t xml:space="preserve">Acesso 28/10/2013. </w:t>
      </w:r>
    </w:p>
    <w:p w:rsidR="00BC29A7" w:rsidRPr="003F1385" w:rsidRDefault="00BC29A7" w:rsidP="00BC29A7">
      <w:pPr>
        <w:autoSpaceDE w:val="0"/>
        <w:autoSpaceDN w:val="0"/>
        <w:adjustRightInd w:val="0"/>
        <w:spacing w:before="240" w:after="240" w:line="240" w:lineRule="auto"/>
        <w:jc w:val="both"/>
        <w:rPr>
          <w:rFonts w:cs="Times New Roman"/>
          <w:bCs/>
          <w:szCs w:val="24"/>
          <w:lang w:val="pt-PT"/>
        </w:rPr>
      </w:pPr>
      <w:r w:rsidRPr="003F1385">
        <w:rPr>
          <w:rFonts w:cs="Times New Roman"/>
          <w:bCs/>
          <w:color w:val="000000" w:themeColor="text1"/>
          <w:szCs w:val="24"/>
        </w:rPr>
        <w:t xml:space="preserve">IBGE – </w:t>
      </w:r>
      <w:r w:rsidRPr="003F1385">
        <w:rPr>
          <w:rFonts w:cs="Times New Roman"/>
          <w:b/>
          <w:bCs/>
          <w:color w:val="000000" w:themeColor="text1"/>
          <w:szCs w:val="24"/>
        </w:rPr>
        <w:t>Lavoura Temporária 2010.</w:t>
      </w:r>
      <w:r w:rsidRPr="003F1385">
        <w:rPr>
          <w:rFonts w:cs="Times New Roman"/>
          <w:bCs/>
          <w:color w:val="000000" w:themeColor="text1"/>
          <w:szCs w:val="24"/>
        </w:rPr>
        <w:t xml:space="preserve"> Disponível em &lt;http://cidades.ibge.gov.br&gt; </w:t>
      </w:r>
      <w:r w:rsidRPr="003F1385">
        <w:rPr>
          <w:rFonts w:cs="Times New Roman"/>
          <w:bCs/>
          <w:szCs w:val="24"/>
          <w:lang w:val="pt-PT"/>
        </w:rPr>
        <w:t xml:space="preserve">Acesso 28/10/2013. </w:t>
      </w:r>
    </w:p>
    <w:p w:rsidR="00BC29A7" w:rsidRPr="003F1385" w:rsidRDefault="00BC29A7" w:rsidP="00BC29A7">
      <w:pPr>
        <w:autoSpaceDE w:val="0"/>
        <w:autoSpaceDN w:val="0"/>
        <w:adjustRightInd w:val="0"/>
        <w:spacing w:before="240" w:after="240" w:line="240" w:lineRule="auto"/>
        <w:jc w:val="both"/>
        <w:rPr>
          <w:rFonts w:cs="Times New Roman"/>
          <w:bCs/>
          <w:szCs w:val="24"/>
          <w:lang w:val="pt-PT"/>
        </w:rPr>
      </w:pPr>
      <w:r w:rsidRPr="003F1385">
        <w:rPr>
          <w:rFonts w:cs="Times New Roman"/>
          <w:bCs/>
          <w:color w:val="000000" w:themeColor="text1"/>
          <w:szCs w:val="24"/>
        </w:rPr>
        <w:t xml:space="preserve">IBGE - </w:t>
      </w:r>
      <w:r w:rsidRPr="003F1385">
        <w:rPr>
          <w:rFonts w:cs="Times New Roman"/>
          <w:b/>
          <w:bCs/>
          <w:color w:val="000000" w:themeColor="text1"/>
          <w:szCs w:val="24"/>
        </w:rPr>
        <w:t>Pecuária 2011.</w:t>
      </w:r>
      <w:r w:rsidRPr="003F1385">
        <w:rPr>
          <w:rFonts w:cs="Times New Roman"/>
          <w:bCs/>
          <w:color w:val="000000" w:themeColor="text1"/>
          <w:szCs w:val="24"/>
        </w:rPr>
        <w:t xml:space="preserve"> Disponível em &lt;http://cidades.ibge.gov.br&gt; </w:t>
      </w:r>
      <w:r w:rsidRPr="003F1385">
        <w:rPr>
          <w:rFonts w:cs="Times New Roman"/>
          <w:bCs/>
          <w:szCs w:val="24"/>
          <w:lang w:val="pt-PT"/>
        </w:rPr>
        <w:t xml:space="preserve">Acesso 28/10/2013. </w:t>
      </w:r>
    </w:p>
    <w:p w:rsidR="00BC29A7" w:rsidRPr="003F1385" w:rsidRDefault="00BC29A7" w:rsidP="00BC29A7">
      <w:pPr>
        <w:autoSpaceDE w:val="0"/>
        <w:autoSpaceDN w:val="0"/>
        <w:adjustRightInd w:val="0"/>
        <w:spacing w:before="240" w:after="240" w:line="240" w:lineRule="auto"/>
        <w:jc w:val="both"/>
        <w:rPr>
          <w:rFonts w:cs="Times New Roman"/>
          <w:bCs/>
          <w:szCs w:val="24"/>
          <w:lang w:val="pt-PT"/>
        </w:rPr>
      </w:pPr>
      <w:r w:rsidRPr="003F1385">
        <w:rPr>
          <w:rFonts w:cs="Times New Roman"/>
          <w:bCs/>
          <w:color w:val="000000" w:themeColor="text1"/>
          <w:szCs w:val="24"/>
        </w:rPr>
        <w:t xml:space="preserve">IBGE - </w:t>
      </w:r>
      <w:r w:rsidRPr="003F1385">
        <w:rPr>
          <w:rFonts w:cs="Times New Roman"/>
          <w:b/>
          <w:bCs/>
          <w:color w:val="000000" w:themeColor="text1"/>
          <w:szCs w:val="24"/>
        </w:rPr>
        <w:t>Produto Interno Bruto dos Municípios (2010).</w:t>
      </w:r>
      <w:r w:rsidRPr="003F1385">
        <w:rPr>
          <w:rFonts w:cs="Times New Roman"/>
          <w:bCs/>
          <w:color w:val="000000" w:themeColor="text1"/>
          <w:szCs w:val="24"/>
        </w:rPr>
        <w:t xml:space="preserve"> Disponível em &lt;http://cidades.ibge.gov.br&gt; </w:t>
      </w:r>
      <w:r w:rsidRPr="003F1385">
        <w:rPr>
          <w:rFonts w:cs="Times New Roman"/>
          <w:bCs/>
          <w:szCs w:val="24"/>
          <w:lang w:val="pt-PT"/>
        </w:rPr>
        <w:t xml:space="preserve">Acesso 28/10/2013. </w:t>
      </w:r>
    </w:p>
    <w:p w:rsidR="00BC29A7" w:rsidRPr="003F1385" w:rsidRDefault="00BC29A7" w:rsidP="00BC29A7">
      <w:pPr>
        <w:autoSpaceDE w:val="0"/>
        <w:autoSpaceDN w:val="0"/>
        <w:adjustRightInd w:val="0"/>
        <w:spacing w:before="240" w:after="240" w:line="240" w:lineRule="auto"/>
        <w:jc w:val="both"/>
        <w:rPr>
          <w:rFonts w:cs="Times New Roman"/>
          <w:bCs/>
          <w:szCs w:val="24"/>
        </w:rPr>
      </w:pPr>
      <w:r w:rsidRPr="003F1385">
        <w:rPr>
          <w:rFonts w:cs="Times New Roman"/>
          <w:bCs/>
          <w:szCs w:val="24"/>
        </w:rPr>
        <w:t xml:space="preserve">IBGE </w:t>
      </w:r>
      <w:r w:rsidRPr="003F1385">
        <w:rPr>
          <w:rFonts w:cs="Times New Roman"/>
          <w:b/>
          <w:bCs/>
          <w:szCs w:val="24"/>
        </w:rPr>
        <w:t>Censo Demográfico 2000 - Microrregiões, distritos, subdistritos e bairros (29 de novembro de 2001).</w:t>
      </w:r>
      <w:r w:rsidRPr="003F1385">
        <w:rPr>
          <w:rFonts w:cs="Times New Roman"/>
          <w:bCs/>
          <w:szCs w:val="24"/>
        </w:rPr>
        <w:t xml:space="preserve"> Acesso 30/10/2013.</w:t>
      </w:r>
    </w:p>
    <w:p w:rsidR="00BC29A7" w:rsidRPr="003F1385" w:rsidRDefault="00BC29A7" w:rsidP="00BC29A7">
      <w:pPr>
        <w:autoSpaceDE w:val="0"/>
        <w:autoSpaceDN w:val="0"/>
        <w:adjustRightInd w:val="0"/>
        <w:spacing w:before="240" w:after="240" w:line="240" w:lineRule="auto"/>
        <w:jc w:val="both"/>
        <w:rPr>
          <w:rFonts w:cs="Times New Roman"/>
          <w:bCs/>
          <w:szCs w:val="24"/>
          <w:lang w:val="pt-PT"/>
        </w:rPr>
      </w:pPr>
      <w:r w:rsidRPr="003F1385">
        <w:rPr>
          <w:rFonts w:cs="Times New Roman"/>
          <w:bCs/>
          <w:szCs w:val="24"/>
        </w:rPr>
        <w:t xml:space="preserve">IBGE.  </w:t>
      </w:r>
      <w:r w:rsidRPr="003F1385">
        <w:rPr>
          <w:rFonts w:cs="Times New Roman"/>
          <w:b/>
          <w:bCs/>
          <w:szCs w:val="24"/>
        </w:rPr>
        <w:t>Estimativas da população residente nos municípios brasileiros com data em 1º de julho de 2013</w:t>
      </w:r>
      <w:r w:rsidRPr="003F1385">
        <w:rPr>
          <w:rFonts w:cs="Times New Roman"/>
          <w:bCs/>
          <w:szCs w:val="24"/>
        </w:rPr>
        <w:t xml:space="preserve">. </w:t>
      </w:r>
      <w:r w:rsidRPr="003F1385">
        <w:rPr>
          <w:rFonts w:cs="Times New Roman"/>
          <w:bCs/>
          <w:szCs w:val="24"/>
          <w:lang w:val="pt-PT"/>
        </w:rPr>
        <w:t xml:space="preserve">Acesso 30/10/2013. </w:t>
      </w:r>
    </w:p>
    <w:p w:rsidR="00BC29A7" w:rsidRPr="003F1385" w:rsidRDefault="00BC29A7" w:rsidP="00BC29A7">
      <w:pPr>
        <w:autoSpaceDE w:val="0"/>
        <w:autoSpaceDN w:val="0"/>
        <w:adjustRightInd w:val="0"/>
        <w:spacing w:before="240" w:after="240" w:line="240" w:lineRule="auto"/>
        <w:jc w:val="both"/>
        <w:rPr>
          <w:rFonts w:cs="Times New Roman"/>
          <w:bCs/>
          <w:szCs w:val="24"/>
          <w:lang w:val="pt-PT"/>
        </w:rPr>
      </w:pPr>
      <w:r w:rsidRPr="003F1385">
        <w:rPr>
          <w:rFonts w:cs="Times New Roman"/>
          <w:bCs/>
          <w:color w:val="000000" w:themeColor="text1"/>
          <w:szCs w:val="24"/>
        </w:rPr>
        <w:lastRenderedPageBreak/>
        <w:t xml:space="preserve">IBGE.  </w:t>
      </w:r>
      <w:r w:rsidRPr="003F1385">
        <w:rPr>
          <w:rFonts w:cs="Times New Roman"/>
          <w:b/>
          <w:bCs/>
          <w:color w:val="000000" w:themeColor="text1"/>
          <w:szCs w:val="24"/>
          <w:lang w:val="pt-PT"/>
        </w:rPr>
        <w:t xml:space="preserve">Sistema de Recuperação de Dados Automática (Sidra) (2010). </w:t>
      </w:r>
      <w:hyperlink r:id="rId273" w:history="1">
        <w:r w:rsidRPr="003F1385">
          <w:rPr>
            <w:rStyle w:val="Hyperlink"/>
            <w:rFonts w:cs="Times New Roman"/>
            <w:bCs/>
            <w:iCs/>
            <w:color w:val="000000" w:themeColor="text1"/>
            <w:szCs w:val="24"/>
            <w:u w:val="none"/>
            <w:lang w:val="pt-PT"/>
          </w:rPr>
          <w:t>População residente, por cor ou raça, segundo a situação do domicílio, o sexo e a idade</w:t>
        </w:r>
      </w:hyperlink>
      <w:r w:rsidRPr="003F1385">
        <w:rPr>
          <w:rFonts w:cs="Times New Roman"/>
          <w:b/>
          <w:bCs/>
          <w:color w:val="000000" w:themeColor="text1"/>
          <w:szCs w:val="24"/>
          <w:lang w:val="pt-PT"/>
        </w:rPr>
        <w:t>.</w:t>
      </w:r>
      <w:r w:rsidRPr="003F1385">
        <w:rPr>
          <w:rFonts w:cs="Times New Roman"/>
          <w:bCs/>
          <w:color w:val="000000" w:themeColor="text1"/>
          <w:szCs w:val="24"/>
          <w:lang w:val="pt-PT"/>
        </w:rPr>
        <w:t xml:space="preserve"> Acesso 01/11/2013.</w:t>
      </w:r>
    </w:p>
    <w:p w:rsidR="00BC29A7" w:rsidRPr="003F1385" w:rsidRDefault="00BC29A7" w:rsidP="00BC29A7">
      <w:pPr>
        <w:autoSpaceDE w:val="0"/>
        <w:autoSpaceDN w:val="0"/>
        <w:adjustRightInd w:val="0"/>
        <w:spacing w:before="240" w:after="240" w:line="240" w:lineRule="auto"/>
        <w:jc w:val="both"/>
        <w:rPr>
          <w:rFonts w:cs="Times New Roman"/>
          <w:bCs/>
          <w:szCs w:val="24"/>
        </w:rPr>
      </w:pPr>
      <w:r w:rsidRPr="003F1385">
        <w:rPr>
          <w:rFonts w:cs="Times New Roman"/>
          <w:bCs/>
          <w:szCs w:val="24"/>
        </w:rPr>
        <w:t xml:space="preserve">IBGE. </w:t>
      </w:r>
      <w:r w:rsidRPr="003F1385">
        <w:rPr>
          <w:rFonts w:cs="Times New Roman"/>
          <w:b/>
          <w:bCs/>
          <w:szCs w:val="24"/>
        </w:rPr>
        <w:t>Censo Demográfico 2010: Características da População e dos Domicílios: Resultados do Universo</w:t>
      </w:r>
      <w:r w:rsidRPr="003F1385">
        <w:rPr>
          <w:rFonts w:cs="Times New Roman"/>
          <w:bCs/>
          <w:szCs w:val="24"/>
        </w:rPr>
        <w:t>. Acesso 30/10/2013.</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IBGE. Instituto Brasileiro de Geografia e Estatística. </w:t>
      </w:r>
      <w:r w:rsidRPr="00145E79">
        <w:rPr>
          <w:rFonts w:cs="Times New Roman"/>
          <w:b/>
          <w:szCs w:val="24"/>
        </w:rPr>
        <w:t>Banco de dados @Cidades. Disponível</w:t>
      </w:r>
      <w:r w:rsidRPr="00C92BF5">
        <w:rPr>
          <w:rFonts w:cs="Times New Roman"/>
          <w:szCs w:val="24"/>
        </w:rPr>
        <w:t xml:space="preserve"> em: &lt;http://cidades.ibge.gov.br/xtras/home.php&gt;. Acesso em 02 de outubro de 2013.</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IBGE. Instituto Brasileiro de Geografia e Estatística. </w:t>
      </w:r>
      <w:r w:rsidRPr="00145E79">
        <w:rPr>
          <w:rFonts w:cs="Times New Roman"/>
          <w:b/>
          <w:szCs w:val="24"/>
        </w:rPr>
        <w:t>Censo de 2010</w:t>
      </w:r>
      <w:r w:rsidRPr="00C92BF5">
        <w:rPr>
          <w:rFonts w:cs="Times New Roman"/>
          <w:szCs w:val="24"/>
        </w:rPr>
        <w:t>. Rio de Janeiro, 2010.</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IBGE. Instituto Brasileiro de Geografia e Estatística. </w:t>
      </w:r>
      <w:r w:rsidRPr="00145E79">
        <w:rPr>
          <w:rFonts w:cs="Times New Roman"/>
          <w:b/>
          <w:szCs w:val="24"/>
        </w:rPr>
        <w:t>Censo Populacional</w:t>
      </w:r>
      <w:r w:rsidRPr="00C92BF5">
        <w:rPr>
          <w:rFonts w:cs="Times New Roman"/>
          <w:szCs w:val="24"/>
        </w:rPr>
        <w:t>. Rio de Janeiro, 2013.</w:t>
      </w:r>
    </w:p>
    <w:p w:rsidR="00BC29A7" w:rsidRPr="003F1385" w:rsidRDefault="00BC29A7" w:rsidP="00BC29A7">
      <w:pPr>
        <w:autoSpaceDE w:val="0"/>
        <w:autoSpaceDN w:val="0"/>
        <w:adjustRightInd w:val="0"/>
        <w:spacing w:before="240" w:after="240" w:line="240" w:lineRule="auto"/>
        <w:jc w:val="both"/>
        <w:rPr>
          <w:rFonts w:cs="Times New Roman"/>
          <w:bCs/>
          <w:szCs w:val="24"/>
          <w:lang w:val="pt-PT"/>
        </w:rPr>
      </w:pPr>
      <w:r w:rsidRPr="003F1385">
        <w:rPr>
          <w:rFonts w:cs="Times New Roman"/>
          <w:bCs/>
          <w:szCs w:val="24"/>
          <w:lang w:val="pt-PT"/>
        </w:rPr>
        <w:t xml:space="preserve">IBGE. </w:t>
      </w:r>
      <w:r w:rsidRPr="003F1385">
        <w:rPr>
          <w:rFonts w:cs="Times New Roman"/>
          <w:b/>
          <w:bCs/>
          <w:szCs w:val="24"/>
          <w:lang w:val="pt-PT"/>
        </w:rPr>
        <w:t xml:space="preserve">Sistema de Recuperação de Dados Automática (Sidra) (2010). </w:t>
      </w:r>
      <w:hyperlink r:id="rId274" w:history="1">
        <w:r w:rsidRPr="003F1385">
          <w:rPr>
            <w:rStyle w:val="Hyperlink"/>
            <w:rFonts w:cs="Times New Roman"/>
            <w:bCs/>
            <w:iCs/>
            <w:color w:val="auto"/>
            <w:szCs w:val="24"/>
            <w:u w:val="none"/>
            <w:lang w:val="pt-PT"/>
          </w:rPr>
          <w:t>População residente por sexo, situação e grupos de idade - Amostra - Características Gerais da População</w:t>
        </w:r>
      </w:hyperlink>
      <w:r w:rsidRPr="003F1385">
        <w:rPr>
          <w:rFonts w:cs="Times New Roman"/>
          <w:b/>
          <w:bCs/>
          <w:szCs w:val="24"/>
          <w:lang w:val="pt-PT"/>
        </w:rPr>
        <w:t>.</w:t>
      </w:r>
      <w:r w:rsidRPr="003F1385">
        <w:rPr>
          <w:rFonts w:cs="Times New Roman"/>
          <w:bCs/>
          <w:szCs w:val="24"/>
          <w:lang w:val="pt-PT"/>
        </w:rPr>
        <w:t xml:space="preserve"> Acesso 01/11/2013.</w:t>
      </w:r>
    </w:p>
    <w:p w:rsidR="00BC29A7" w:rsidRPr="00C92BF5" w:rsidRDefault="00BC29A7" w:rsidP="00BC29A7">
      <w:pPr>
        <w:spacing w:before="240" w:after="240" w:line="240" w:lineRule="auto"/>
        <w:jc w:val="both"/>
        <w:rPr>
          <w:rFonts w:cs="Times New Roman"/>
          <w:szCs w:val="24"/>
        </w:rPr>
      </w:pPr>
      <w:r w:rsidRPr="00C92BF5">
        <w:rPr>
          <w:rFonts w:cs="Times New Roman"/>
          <w:szCs w:val="24"/>
        </w:rPr>
        <w:t>IGA. Mapa Geomorfológico - PROJETO RADAR-MG, 1977, Escala1:500.000.</w:t>
      </w:r>
    </w:p>
    <w:p w:rsidR="00BC29A7" w:rsidRPr="003F1385" w:rsidRDefault="00BC29A7" w:rsidP="00BC29A7">
      <w:pPr>
        <w:spacing w:before="240" w:after="240" w:line="240" w:lineRule="auto"/>
        <w:jc w:val="both"/>
        <w:rPr>
          <w:rFonts w:cs="Times New Roman"/>
          <w:szCs w:val="24"/>
          <w:lang w:eastAsia="pt-BR"/>
        </w:rPr>
      </w:pPr>
      <w:r w:rsidRPr="003F1385">
        <w:rPr>
          <w:rFonts w:cs="Times New Roman"/>
          <w:szCs w:val="24"/>
          <w:lang w:eastAsia="pt-BR"/>
        </w:rPr>
        <w:t xml:space="preserve">MARQUES R. M. </w:t>
      </w:r>
      <w:r w:rsidRPr="003F1385">
        <w:rPr>
          <w:rFonts w:cs="Times New Roman"/>
          <w:b/>
          <w:szCs w:val="24"/>
          <w:lang w:eastAsia="pt-BR"/>
        </w:rPr>
        <w:t>O benefício de prestação continuada nos municípios brasileiros:</w:t>
      </w:r>
      <w:r w:rsidRPr="003F1385">
        <w:rPr>
          <w:rFonts w:cs="Times New Roman"/>
          <w:szCs w:val="24"/>
          <w:lang w:eastAsia="pt-BR"/>
        </w:rPr>
        <w:t xml:space="preserve"> relatório final de pesquisa. Brasília: CNPq/ MDS/ SAGI. 2004.</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MINAS GERAIS - Empresa de Assistência Técnica e Extensão Rural do Estado de Minas Gerais. Ouro Preto: </w:t>
      </w:r>
      <w:r w:rsidRPr="00C92BF5">
        <w:rPr>
          <w:rFonts w:cs="Times New Roman"/>
          <w:b/>
          <w:szCs w:val="24"/>
        </w:rPr>
        <w:t>Caracterização de Ecossistemas</w:t>
      </w:r>
      <w:r w:rsidRPr="00C92BF5">
        <w:rPr>
          <w:rFonts w:cs="Times New Roman"/>
          <w:szCs w:val="24"/>
        </w:rPr>
        <w:t>. Belo Horizonte, 2008. 57p</w:t>
      </w:r>
    </w:p>
    <w:p w:rsidR="00BC29A7" w:rsidRPr="00C92BF5" w:rsidRDefault="00BC29A7" w:rsidP="00BC29A7">
      <w:pPr>
        <w:spacing w:before="240" w:after="240" w:line="240" w:lineRule="auto"/>
        <w:jc w:val="both"/>
        <w:rPr>
          <w:rFonts w:cs="Times New Roman"/>
          <w:szCs w:val="24"/>
        </w:rPr>
      </w:pPr>
      <w:r w:rsidRPr="00C92BF5">
        <w:rPr>
          <w:rFonts w:cs="Times New Roman"/>
          <w:szCs w:val="24"/>
        </w:rPr>
        <w:t>MINAS GERAIS. Resolução Conjunta SEMAD-IGAM n° 1548, de 29 de março de 2012. Belo Horizonte, 2012. Disponível em: &lt;</w:t>
      </w:r>
      <w:hyperlink r:id="rId275" w:history="1">
        <w:r w:rsidRPr="00C92BF5">
          <w:rPr>
            <w:rFonts w:cs="Times New Roman"/>
            <w:szCs w:val="24"/>
          </w:rPr>
          <w:t>http://redemineira.igam.mg.gov.br/blog/resolucao-conjunta-semad-igam-n%C2%BA-1548-de-29-de-marco-2012/</w:t>
        </w:r>
      </w:hyperlink>
      <w:r w:rsidRPr="00C92BF5">
        <w:rPr>
          <w:rFonts w:cs="Times New Roman"/>
          <w:szCs w:val="24"/>
        </w:rPr>
        <w:t>&gt;. Acesso em 06 de outubro de 2013.</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MINAS GERAIS. Secretaria de Estado de Meio Ambiente e Desenvolvimento Sustentável (SEMAD) e Instituto Mineiro de Gestão das Águas (IGAM). </w:t>
      </w:r>
      <w:r w:rsidRPr="00C92BF5">
        <w:rPr>
          <w:rFonts w:cs="Times New Roman"/>
          <w:b/>
          <w:szCs w:val="24"/>
        </w:rPr>
        <w:t>Manual Técnico e Administrativo de Outorga de Direito de Usos de Recursos Hídricos no Estado de Minas Gerias</w:t>
      </w:r>
      <w:r w:rsidRPr="00C92BF5">
        <w:rPr>
          <w:rFonts w:cs="Times New Roman"/>
          <w:szCs w:val="24"/>
        </w:rPr>
        <w:t>. Belo Horizonte. 2010. 227 p.</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MONTEIRO, J.H.P. </w:t>
      </w:r>
      <w:r w:rsidRPr="00C92BF5">
        <w:rPr>
          <w:rFonts w:cs="Times New Roman"/>
          <w:b/>
          <w:szCs w:val="24"/>
        </w:rPr>
        <w:t>Manual de Gerenciamento Integrado de resíduos sólidos.</w:t>
      </w:r>
      <w:r w:rsidRPr="00C92BF5">
        <w:rPr>
          <w:rFonts w:cs="Times New Roman"/>
          <w:szCs w:val="24"/>
        </w:rPr>
        <w:t xml:space="preserve"> Rio de Janeiro: IBAM, 2001.</w:t>
      </w:r>
    </w:p>
    <w:p w:rsidR="00BC29A7" w:rsidRPr="00C92BF5" w:rsidRDefault="00BC29A7" w:rsidP="00BC29A7">
      <w:pPr>
        <w:spacing w:before="240" w:after="240" w:line="240" w:lineRule="auto"/>
        <w:jc w:val="both"/>
        <w:rPr>
          <w:rFonts w:cs="Times New Roman"/>
          <w:szCs w:val="24"/>
          <w:lang w:eastAsia="pt-BR"/>
        </w:rPr>
      </w:pPr>
      <w:r w:rsidRPr="00C92BF5">
        <w:rPr>
          <w:rFonts w:cs="Times New Roman"/>
          <w:szCs w:val="24"/>
          <w:lang w:eastAsia="pt-BR"/>
        </w:rPr>
        <w:t xml:space="preserve">NUVOLARI, Ariovaldo (org.). </w:t>
      </w:r>
      <w:r w:rsidRPr="00C92BF5">
        <w:rPr>
          <w:rFonts w:cs="Times New Roman"/>
          <w:b/>
          <w:szCs w:val="24"/>
          <w:lang w:eastAsia="pt-BR"/>
        </w:rPr>
        <w:t>Esgoto Sanitário: coleta, transporte, tratamento e reuso agrícola</w:t>
      </w:r>
      <w:r w:rsidRPr="00C92BF5">
        <w:rPr>
          <w:rFonts w:cs="Times New Roman"/>
          <w:szCs w:val="24"/>
          <w:lang w:eastAsia="pt-BR"/>
        </w:rPr>
        <w:t>. Edgard Bluecher. São Paulo, 2003.</w:t>
      </w:r>
    </w:p>
    <w:p w:rsidR="00BC29A7" w:rsidRPr="003F1385" w:rsidRDefault="00BC29A7" w:rsidP="00BC29A7">
      <w:pPr>
        <w:autoSpaceDE w:val="0"/>
        <w:autoSpaceDN w:val="0"/>
        <w:adjustRightInd w:val="0"/>
        <w:spacing w:before="240" w:after="240" w:line="240" w:lineRule="auto"/>
        <w:jc w:val="both"/>
        <w:rPr>
          <w:rFonts w:cs="Times New Roman"/>
          <w:bCs/>
          <w:szCs w:val="24"/>
        </w:rPr>
      </w:pPr>
      <w:r w:rsidRPr="003F1385">
        <w:rPr>
          <w:rFonts w:cs="Times New Roman"/>
          <w:bCs/>
          <w:szCs w:val="24"/>
          <w:lang w:val="pt-PT"/>
        </w:rPr>
        <w:lastRenderedPageBreak/>
        <w:t xml:space="preserve">ODM. </w:t>
      </w:r>
      <w:r w:rsidRPr="003F1385">
        <w:rPr>
          <w:rFonts w:cs="Times New Roman"/>
          <w:b/>
          <w:bCs/>
          <w:szCs w:val="24"/>
        </w:rPr>
        <w:t xml:space="preserve">"Como está o Brasil em relação aos Objetivos de Desenvolvimento do Milênio" (Equipe ODM). </w:t>
      </w:r>
      <w:r w:rsidRPr="003F1385">
        <w:rPr>
          <w:rFonts w:cs="Times New Roman"/>
          <w:bCs/>
          <w:szCs w:val="24"/>
        </w:rPr>
        <w:t>Disponível em &lt;</w:t>
      </w:r>
      <w:hyperlink r:id="rId276" w:history="1">
        <w:r w:rsidRPr="003F1385">
          <w:rPr>
            <w:rStyle w:val="Hyperlink"/>
            <w:rFonts w:cs="Times New Roman"/>
            <w:bCs/>
            <w:color w:val="000000" w:themeColor="text1"/>
            <w:szCs w:val="24"/>
            <w:u w:val="none"/>
          </w:rPr>
          <w:t>http://www.odmbrasil.gov.br</w:t>
        </w:r>
      </w:hyperlink>
      <w:r w:rsidRPr="003F1385">
        <w:rPr>
          <w:rFonts w:cs="Times New Roman"/>
          <w:bCs/>
          <w:color w:val="000000" w:themeColor="text1"/>
          <w:szCs w:val="24"/>
        </w:rPr>
        <w:t xml:space="preserve">&gt; </w:t>
      </w:r>
      <w:r w:rsidRPr="003F1385">
        <w:rPr>
          <w:rFonts w:cs="Times New Roman"/>
          <w:bCs/>
          <w:szCs w:val="24"/>
          <w:lang w:val="pt-PT"/>
        </w:rPr>
        <w:t>Acesso 01/11/2013.</w:t>
      </w:r>
    </w:p>
    <w:p w:rsidR="00BC29A7" w:rsidRPr="00C92BF5" w:rsidRDefault="00BC29A7" w:rsidP="00BC29A7">
      <w:pPr>
        <w:spacing w:before="240" w:after="240" w:line="240" w:lineRule="auto"/>
        <w:jc w:val="both"/>
        <w:rPr>
          <w:rFonts w:cs="Times New Roman"/>
          <w:szCs w:val="24"/>
        </w:rPr>
      </w:pPr>
      <w:r w:rsidRPr="00C92BF5">
        <w:rPr>
          <w:rFonts w:cs="Times New Roman"/>
          <w:szCs w:val="24"/>
        </w:rPr>
        <w:t>OMS. Organização Mundial de Saúde. 2012. Disponível em: http:&lt;//www.who.int/countries/bra/es/&gt;. Acesso em 09 de outubro de 2013.</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PEREIRA, H.F; SANT’ANNA FILHO, R; DURÃO, F.W; GLÓRIA, A.M. N. Equipe Técnica da Consultoria Loci Planejamento e Projetos. </w:t>
      </w:r>
      <w:r w:rsidRPr="00C92BF5">
        <w:rPr>
          <w:rFonts w:cs="Times New Roman"/>
          <w:b/>
          <w:szCs w:val="24"/>
        </w:rPr>
        <w:t>Plano de Gestão Integrada de Resíduos Sólidos Urbanos do Município de Aimorés - MG</w:t>
      </w:r>
      <w:r w:rsidRPr="00C92BF5">
        <w:rPr>
          <w:rFonts w:cs="Times New Roman"/>
          <w:szCs w:val="24"/>
        </w:rPr>
        <w:t>. Etapa Final – Versão Preliminar. Belo Horizonte, Dezembro de 2004.</w:t>
      </w:r>
    </w:p>
    <w:p w:rsidR="00BC29A7" w:rsidRPr="00C92BF5" w:rsidRDefault="00BC29A7" w:rsidP="00BC29A7">
      <w:pPr>
        <w:spacing w:before="240" w:after="240" w:line="240" w:lineRule="auto"/>
        <w:jc w:val="both"/>
        <w:rPr>
          <w:rFonts w:cs="Times New Roman"/>
          <w:szCs w:val="24"/>
          <w:lang w:eastAsia="pt-BR"/>
        </w:rPr>
      </w:pPr>
      <w:r w:rsidRPr="00C92BF5">
        <w:rPr>
          <w:rFonts w:cs="Times New Roman"/>
          <w:szCs w:val="24"/>
          <w:lang w:eastAsia="pt-BR"/>
        </w:rPr>
        <w:t xml:space="preserve">PIRH - </w:t>
      </w:r>
      <w:r w:rsidRPr="00C92BF5">
        <w:rPr>
          <w:rFonts w:cs="Times New Roman"/>
          <w:b/>
          <w:szCs w:val="24"/>
          <w:lang w:eastAsia="pt-BR"/>
        </w:rPr>
        <w:t>PLANO INTEGRADO DE RECURSOS HÍDRICOS DA BACIA HIDROGRÁFICA DO RIO DOCE E PLANOS DE AÇÕES PARA AS UNIDADES DE PLANEJAMENTO E GESTÃO DE RECURSOS HÍDRICOS NO ÂMBITO DA BACIA DO RIO DOCE - PIRH</w:t>
      </w:r>
      <w:r w:rsidRPr="00C92BF5">
        <w:rPr>
          <w:rFonts w:cs="Times New Roman"/>
          <w:szCs w:val="24"/>
          <w:lang w:eastAsia="pt-BR"/>
        </w:rPr>
        <w:t xml:space="preserve">. Disponível em:&lt; </w:t>
      </w:r>
      <w:hyperlink r:id="rId277" w:history="1">
        <w:r w:rsidRPr="00C92BF5">
          <w:rPr>
            <w:rFonts w:cs="Times New Roman"/>
            <w:szCs w:val="24"/>
            <w:lang w:eastAsia="pt-BR"/>
          </w:rPr>
          <w:t>http://www.riodoce.cbh.gov.br/_docs/planobacia/PIRH/PIRH_Doce_Volume_III.pdf</w:t>
        </w:r>
      </w:hyperlink>
      <w:r w:rsidRPr="00C92BF5">
        <w:rPr>
          <w:rFonts w:cs="Times New Roman"/>
          <w:szCs w:val="24"/>
          <w:lang w:eastAsia="pt-BR"/>
        </w:rPr>
        <w:t>.&gt; Acesso em 07 de novembro de 2013.</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PLANO DIRETOR DE DRENAGEM URBANA. </w:t>
      </w:r>
      <w:r w:rsidRPr="00145E79">
        <w:rPr>
          <w:rFonts w:cs="Times New Roman"/>
          <w:b/>
          <w:szCs w:val="24"/>
        </w:rPr>
        <w:t>Manual de Drenagem Urbana</w:t>
      </w:r>
      <w:r w:rsidRPr="00C92BF5">
        <w:rPr>
          <w:rFonts w:cs="Times New Roman"/>
          <w:szCs w:val="24"/>
        </w:rPr>
        <w:t>. IPH-UFRGS Instituto de Pesquisas Hidráulicas Universidade Federal do Rio Grande do Sul, 2005.</w:t>
      </w:r>
    </w:p>
    <w:p w:rsidR="00BC29A7" w:rsidRPr="00C92BF5" w:rsidRDefault="00BC29A7" w:rsidP="00BC29A7">
      <w:pPr>
        <w:spacing w:before="240" w:after="240" w:line="240" w:lineRule="auto"/>
        <w:jc w:val="both"/>
        <w:rPr>
          <w:rFonts w:cs="Times New Roman"/>
          <w:szCs w:val="24"/>
        </w:rPr>
      </w:pPr>
      <w:r w:rsidRPr="00C92BF5">
        <w:rPr>
          <w:rFonts w:cs="Times New Roman"/>
          <w:szCs w:val="24"/>
        </w:rPr>
        <w:t>PLANO INTEGRADO DE RECURSOS HÍDRICOS DA BACIA HIDROGRÁFICA DO RIO DOCE, volume 1, 2010.</w:t>
      </w:r>
    </w:p>
    <w:p w:rsidR="00BC29A7" w:rsidRPr="003F1385" w:rsidRDefault="00BC29A7" w:rsidP="00BC29A7">
      <w:pPr>
        <w:autoSpaceDE w:val="0"/>
        <w:autoSpaceDN w:val="0"/>
        <w:adjustRightInd w:val="0"/>
        <w:spacing w:before="240" w:after="240" w:line="240" w:lineRule="auto"/>
        <w:jc w:val="both"/>
        <w:rPr>
          <w:rFonts w:cs="Times New Roman"/>
          <w:bCs/>
          <w:szCs w:val="24"/>
          <w:lang w:val="pt-PT"/>
        </w:rPr>
      </w:pPr>
      <w:r w:rsidRPr="003F1385">
        <w:rPr>
          <w:rFonts w:cs="Times New Roman"/>
          <w:bCs/>
          <w:szCs w:val="24"/>
          <w:lang w:val="pt-PT"/>
        </w:rPr>
        <w:t xml:space="preserve">PNUD. </w:t>
      </w:r>
      <w:r w:rsidRPr="003F1385">
        <w:rPr>
          <w:rFonts w:cs="Times New Roman"/>
          <w:b/>
          <w:bCs/>
          <w:szCs w:val="24"/>
          <w:lang w:val="pt-PT"/>
        </w:rPr>
        <w:t xml:space="preserve">Indice de Desenvolvimento Humano- IDHM-Municípios, 2000. </w:t>
      </w:r>
      <w:r w:rsidRPr="003F1385">
        <w:rPr>
          <w:rFonts w:cs="Times New Roman"/>
          <w:bCs/>
          <w:szCs w:val="24"/>
          <w:lang w:val="pt-PT"/>
        </w:rPr>
        <w:t>Disponível em</w:t>
      </w:r>
      <w:r w:rsidRPr="003F1385">
        <w:rPr>
          <w:rFonts w:cs="Times New Roman"/>
          <w:b/>
          <w:bCs/>
          <w:szCs w:val="24"/>
          <w:lang w:val="pt-PT"/>
        </w:rPr>
        <w:t xml:space="preserve"> </w:t>
      </w:r>
      <w:r w:rsidRPr="003F1385">
        <w:rPr>
          <w:rFonts w:cs="Times New Roman"/>
          <w:b/>
          <w:bCs/>
          <w:color w:val="000000" w:themeColor="text1"/>
          <w:szCs w:val="24"/>
          <w:lang w:val="pt-PT"/>
        </w:rPr>
        <w:t>&lt;</w:t>
      </w:r>
      <w:hyperlink w:history="1">
        <w:r w:rsidRPr="003F1385">
          <w:rPr>
            <w:rStyle w:val="Hyperlink"/>
            <w:rFonts w:cs="Times New Roman"/>
            <w:bCs/>
            <w:color w:val="000000" w:themeColor="text1"/>
            <w:szCs w:val="24"/>
            <w:u w:val="none"/>
            <w:lang w:val="pt-PT"/>
          </w:rPr>
          <w:t xml:space="preserve">http://www.pnud.org.br&gt; </w:t>
        </w:r>
      </w:hyperlink>
      <w:r w:rsidRPr="003F1385">
        <w:rPr>
          <w:rFonts w:cs="Times New Roman"/>
          <w:bCs/>
          <w:szCs w:val="24"/>
          <w:lang w:val="pt-PT"/>
        </w:rPr>
        <w:t>Acesso 30/10/2013</w:t>
      </w:r>
    </w:p>
    <w:p w:rsidR="00BC29A7" w:rsidRPr="00C92BF5" w:rsidRDefault="00BC29A7" w:rsidP="00BC29A7">
      <w:pPr>
        <w:pStyle w:val="Corpodetexto"/>
        <w:spacing w:before="240" w:after="240" w:line="240" w:lineRule="auto"/>
        <w:jc w:val="both"/>
        <w:rPr>
          <w:rFonts w:cs="Times New Roman"/>
          <w:szCs w:val="24"/>
        </w:rPr>
      </w:pPr>
      <w:r w:rsidRPr="00C92BF5">
        <w:rPr>
          <w:rFonts w:cs="Times New Roman"/>
          <w:szCs w:val="24"/>
        </w:rPr>
        <w:t>Portaria IEF/MG Nº 081, promulgada em 07 de outubro de 1998.</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RADAM. </w:t>
      </w:r>
      <w:r w:rsidRPr="00145E79">
        <w:rPr>
          <w:rFonts w:cs="Times New Roman"/>
          <w:b/>
          <w:szCs w:val="24"/>
        </w:rPr>
        <w:t>Projeto Levantamento de Recursos Naturais Geomorfologia</w:t>
      </w:r>
      <w:r w:rsidRPr="00C92BF5">
        <w:rPr>
          <w:rFonts w:cs="Times New Roman"/>
          <w:szCs w:val="24"/>
        </w:rPr>
        <w:t>. Folha SE.24 Rio Doce, 1987.</w:t>
      </w:r>
    </w:p>
    <w:p w:rsidR="00BC29A7" w:rsidRPr="003F1385" w:rsidRDefault="00BC29A7" w:rsidP="00BC29A7">
      <w:pPr>
        <w:autoSpaceDE w:val="0"/>
        <w:autoSpaceDN w:val="0"/>
        <w:adjustRightInd w:val="0"/>
        <w:spacing w:before="240" w:after="240" w:line="240" w:lineRule="auto"/>
        <w:jc w:val="both"/>
        <w:rPr>
          <w:rFonts w:cs="Times New Roman"/>
          <w:b/>
          <w:bCs/>
          <w:szCs w:val="24"/>
        </w:rPr>
      </w:pPr>
      <w:r w:rsidRPr="003F1385">
        <w:rPr>
          <w:rFonts w:cs="Times New Roman"/>
          <w:b/>
          <w:bCs/>
          <w:szCs w:val="24"/>
        </w:rPr>
        <w:t>ROCHA, S.</w:t>
      </w:r>
      <w:r w:rsidRPr="003F1385">
        <w:rPr>
          <w:rFonts w:cs="Times New Roman"/>
          <w:bCs/>
          <w:szCs w:val="24"/>
        </w:rPr>
        <w:t xml:space="preserve"> Pobreza no Brasil: Afinal, de que se trata? 2ªed. </w:t>
      </w:r>
      <w:r w:rsidRPr="003F1385">
        <w:rPr>
          <w:rFonts w:cs="Times New Roman"/>
          <w:b/>
          <w:bCs/>
          <w:szCs w:val="24"/>
        </w:rPr>
        <w:t xml:space="preserve">Rio de Janeiro: FGV, 2005. </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SANEPAR. Companhia de Saneamento do Paraná. 2012. </w:t>
      </w:r>
      <w:r w:rsidRPr="00C92BF5">
        <w:rPr>
          <w:rFonts w:cs="Times New Roman"/>
          <w:b/>
          <w:szCs w:val="24"/>
        </w:rPr>
        <w:t>Sanepar Educando</w:t>
      </w:r>
      <w:r w:rsidRPr="00C92BF5">
        <w:rPr>
          <w:rFonts w:cs="Times New Roman"/>
          <w:szCs w:val="24"/>
        </w:rPr>
        <w:t>. Doenças relacionadas com a falta de saneamento. Disponível em:&lt;http://educando.sanepar.com.br/ensino_medio/doen%C3%A7-relacionadas-com-falta-de-saneamento&gt;. Acesso em 16 de outubro de 2013.</w:t>
      </w:r>
    </w:p>
    <w:p w:rsidR="00BC29A7" w:rsidRPr="00C92BF5" w:rsidRDefault="00BC29A7" w:rsidP="00BC29A7">
      <w:pPr>
        <w:spacing w:before="240" w:after="240" w:line="240" w:lineRule="auto"/>
        <w:jc w:val="both"/>
        <w:rPr>
          <w:rFonts w:cs="Times New Roman"/>
          <w:szCs w:val="24"/>
        </w:rPr>
      </w:pPr>
      <w:r w:rsidRPr="00C92BF5">
        <w:rPr>
          <w:rFonts w:cs="Times New Roman"/>
          <w:szCs w:val="24"/>
        </w:rPr>
        <w:t>SILVEIRA, 2000. Hidrologia urbana no Brasil. In: Avaliação e controle da drenagem urbana. Porto Alegre: Ed. Da Universidade. P. 511-525.</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SILVEIRA, ANDRÉ. L. L. Provável Efeito Urbano nas relações IDF das chuvas de Porto Alegre. In: Tucci, CARLOS E, M., MARQUES, DAVID, M. L. da Mota. Avaliação e </w:t>
      </w:r>
      <w:r w:rsidRPr="00C92BF5">
        <w:rPr>
          <w:rFonts w:cs="Times New Roman"/>
          <w:szCs w:val="24"/>
        </w:rPr>
        <w:lastRenderedPageBreak/>
        <w:t>controle da drenagem urbana. Porto Alegre: Editora da Universidade UFRGS: ABRH. P129-152.</w:t>
      </w:r>
    </w:p>
    <w:p w:rsidR="00BC29A7" w:rsidRPr="00C92BF5" w:rsidRDefault="00145E79" w:rsidP="00BC29A7">
      <w:pPr>
        <w:spacing w:before="240" w:after="240" w:line="240" w:lineRule="auto"/>
        <w:jc w:val="both"/>
        <w:rPr>
          <w:rFonts w:cs="Times New Roman"/>
          <w:szCs w:val="24"/>
        </w:rPr>
      </w:pPr>
      <w:r>
        <w:rPr>
          <w:rFonts w:cs="Times New Roman"/>
          <w:szCs w:val="24"/>
        </w:rPr>
        <w:t xml:space="preserve">Embrapa. </w:t>
      </w:r>
      <w:r w:rsidR="00BC29A7" w:rsidRPr="00145E79">
        <w:rPr>
          <w:rFonts w:cs="Times New Roman"/>
          <w:b/>
          <w:szCs w:val="24"/>
        </w:rPr>
        <w:t>Sistema Brasileiro de Classificação de Solos</w:t>
      </w:r>
      <w:r w:rsidR="00BC29A7" w:rsidRPr="00C92BF5">
        <w:rPr>
          <w:rFonts w:cs="Times New Roman"/>
          <w:szCs w:val="24"/>
        </w:rPr>
        <w:t>. Rio de Janeiro: Embrapa Solos, 2 edição, 2006.Manual Técnico de Pedologia. Rio de Janeiro: IBGE, 2 edição, 2007.</w:t>
      </w:r>
    </w:p>
    <w:p w:rsidR="00BC29A7" w:rsidRPr="00C92BF5" w:rsidRDefault="00BC29A7" w:rsidP="00BC29A7">
      <w:pPr>
        <w:spacing w:before="240" w:after="240" w:line="240" w:lineRule="auto"/>
        <w:jc w:val="both"/>
        <w:rPr>
          <w:rFonts w:cs="Times New Roman"/>
          <w:szCs w:val="24"/>
        </w:rPr>
      </w:pPr>
      <w:r w:rsidRPr="00C92BF5">
        <w:rPr>
          <w:rFonts w:cs="Times New Roman"/>
          <w:szCs w:val="24"/>
        </w:rPr>
        <w:t>SNIS - SISTEMA NACIONAL DE INFORMAÇÕES SOBRE SANEAMENTO. Disponível em: &lt;http://www.snis.gov.br/&gt;. Acesso em 07 de outubro de 2013.</w:t>
      </w:r>
    </w:p>
    <w:p w:rsidR="00BC29A7" w:rsidRPr="003F1385" w:rsidRDefault="00BC29A7" w:rsidP="00BC29A7">
      <w:pPr>
        <w:autoSpaceDE w:val="0"/>
        <w:autoSpaceDN w:val="0"/>
        <w:adjustRightInd w:val="0"/>
        <w:spacing w:before="240" w:after="240" w:line="240" w:lineRule="auto"/>
        <w:jc w:val="both"/>
        <w:rPr>
          <w:rFonts w:cs="Times New Roman"/>
          <w:bCs/>
          <w:szCs w:val="24"/>
        </w:rPr>
      </w:pPr>
      <w:r w:rsidRPr="003F1385">
        <w:rPr>
          <w:rFonts w:cs="Times New Roman"/>
          <w:bCs/>
          <w:szCs w:val="24"/>
        </w:rPr>
        <w:t xml:space="preserve">SOTEPA. </w:t>
      </w:r>
      <w:r w:rsidRPr="003F1385">
        <w:rPr>
          <w:rFonts w:cs="Times New Roman"/>
          <w:b/>
          <w:bCs/>
          <w:szCs w:val="24"/>
        </w:rPr>
        <w:t xml:space="preserve">Diagnóstico do Plano Municipal de Saneamento Básico de Balneário Camboriú. </w:t>
      </w:r>
      <w:r w:rsidRPr="003F1385">
        <w:rPr>
          <w:rFonts w:cs="Times New Roman"/>
          <w:bCs/>
          <w:szCs w:val="24"/>
        </w:rPr>
        <w:t>Balneário Camboriú: Sotepa, Agosto/2012.</w:t>
      </w:r>
    </w:p>
    <w:p w:rsidR="00BC29A7" w:rsidRPr="00C92BF5" w:rsidRDefault="00467379" w:rsidP="00BC29A7">
      <w:pPr>
        <w:spacing w:before="240" w:after="240" w:line="240" w:lineRule="auto"/>
        <w:jc w:val="both"/>
        <w:rPr>
          <w:rFonts w:cs="Times New Roman"/>
          <w:szCs w:val="24"/>
          <w:lang w:eastAsia="pt-BR"/>
        </w:rPr>
      </w:pPr>
      <w:r w:rsidRPr="00467379">
        <w:rPr>
          <w:rFonts w:cs="Times New Roman"/>
          <w:szCs w:val="24"/>
          <w:lang w:eastAsia="pt-BR"/>
        </w:rPr>
        <w:t>SOUSA</w:t>
      </w:r>
      <w:r w:rsidRPr="00C92BF5">
        <w:rPr>
          <w:rFonts w:cs="Times New Roman"/>
          <w:szCs w:val="24"/>
          <w:lang w:eastAsia="pt-BR"/>
        </w:rPr>
        <w:t>, F. P., CAVALCANTI, P. F. F., VAN HAANDEL, A. C.</w:t>
      </w:r>
      <w:r>
        <w:rPr>
          <w:rFonts w:cs="Times New Roman"/>
          <w:szCs w:val="24"/>
          <w:lang w:eastAsia="pt-BR"/>
        </w:rPr>
        <w:t xml:space="preserve"> </w:t>
      </w:r>
      <w:r w:rsidR="00BC29A7" w:rsidRPr="00C92BF5">
        <w:rPr>
          <w:rFonts w:cs="Times New Roman"/>
          <w:szCs w:val="24"/>
          <w:lang w:eastAsia="pt-BR"/>
        </w:rPr>
        <w:t xml:space="preserve">Efeito da proporção área/profundidade sobre o desempenho de um reator UASB, </w:t>
      </w:r>
      <w:r w:rsidR="00BC29A7" w:rsidRPr="00C92BF5">
        <w:rPr>
          <w:rFonts w:cs="Times New Roman"/>
          <w:b/>
          <w:szCs w:val="24"/>
          <w:lang w:eastAsia="pt-BR"/>
        </w:rPr>
        <w:t>20° Cong. Bras. Eng. Sanitária e Ambiental</w:t>
      </w:r>
      <w:r w:rsidR="00BC29A7" w:rsidRPr="00C92BF5">
        <w:rPr>
          <w:rFonts w:cs="Times New Roman"/>
          <w:szCs w:val="24"/>
          <w:lang w:eastAsia="pt-BR"/>
        </w:rPr>
        <w:t>, Rio de Janeiro, 1998.</w:t>
      </w:r>
    </w:p>
    <w:p w:rsidR="00BC29A7" w:rsidRPr="00A04754" w:rsidRDefault="00BC29A7" w:rsidP="00BC29A7">
      <w:pPr>
        <w:spacing w:before="240" w:after="240" w:line="240" w:lineRule="auto"/>
        <w:jc w:val="both"/>
        <w:rPr>
          <w:rFonts w:cs="Times New Roman"/>
          <w:szCs w:val="24"/>
          <w:lang w:val="en-US"/>
        </w:rPr>
      </w:pPr>
      <w:r w:rsidRPr="00C92BF5">
        <w:rPr>
          <w:rFonts w:cs="Times New Roman"/>
          <w:szCs w:val="24"/>
        </w:rPr>
        <w:t xml:space="preserve">STECH, P.J. </w:t>
      </w:r>
      <w:r w:rsidRPr="00C92BF5">
        <w:rPr>
          <w:rFonts w:cs="Times New Roman"/>
          <w:b/>
          <w:szCs w:val="24"/>
        </w:rPr>
        <w:t>Resíduos sólidos</w:t>
      </w:r>
      <w:r w:rsidRPr="00C92BF5">
        <w:rPr>
          <w:rFonts w:cs="Times New Roman"/>
          <w:szCs w:val="24"/>
        </w:rPr>
        <w:t xml:space="preserve">: Caracterização, resíduos sólidos domésticos: Tratamento e disposição final. </w:t>
      </w:r>
      <w:r w:rsidRPr="00A04754">
        <w:rPr>
          <w:rFonts w:cs="Times New Roman"/>
          <w:szCs w:val="24"/>
          <w:lang w:val="en-US"/>
        </w:rPr>
        <w:t>São Paulo: Cetesb, 1990.</w:t>
      </w:r>
    </w:p>
    <w:p w:rsidR="00BC29A7" w:rsidRPr="00A04754" w:rsidRDefault="00BC29A7" w:rsidP="00BC29A7">
      <w:pPr>
        <w:spacing w:before="240" w:after="240" w:line="240" w:lineRule="auto"/>
        <w:jc w:val="both"/>
        <w:rPr>
          <w:rFonts w:cs="Times New Roman"/>
          <w:szCs w:val="24"/>
        </w:rPr>
      </w:pPr>
      <w:r w:rsidRPr="00C92BF5">
        <w:rPr>
          <w:rFonts w:cs="Times New Roman"/>
          <w:szCs w:val="24"/>
          <w:lang w:val="en-US"/>
        </w:rPr>
        <w:t xml:space="preserve">STRAHLER, A. N. </w:t>
      </w:r>
      <w:r w:rsidRPr="00467379">
        <w:rPr>
          <w:rFonts w:cs="Times New Roman"/>
          <w:b/>
          <w:szCs w:val="24"/>
          <w:lang w:val="en-US"/>
        </w:rPr>
        <w:t>Physical geography</w:t>
      </w:r>
      <w:r w:rsidRPr="00C92BF5">
        <w:rPr>
          <w:rFonts w:cs="Times New Roman"/>
          <w:szCs w:val="24"/>
          <w:lang w:val="en-US"/>
        </w:rPr>
        <w:t xml:space="preserve">. New York: John Willy, 1951. </w:t>
      </w:r>
      <w:r w:rsidRPr="00A04754">
        <w:rPr>
          <w:rFonts w:cs="Times New Roman"/>
          <w:szCs w:val="24"/>
        </w:rPr>
        <w:t>442p.</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TEODORO, V. L. I.; TEIXEIRA, D.; COSTA, D. J. L.; FULLER, B. B. </w:t>
      </w:r>
      <w:r w:rsidRPr="00467379">
        <w:rPr>
          <w:rFonts w:cs="Times New Roman"/>
          <w:b/>
          <w:szCs w:val="24"/>
        </w:rPr>
        <w:t>O conceito de bacia hidrográfica e a importância da caracterização morfométrica para o entendimento da dinâmica ambiental</w:t>
      </w:r>
      <w:r w:rsidRPr="00C92BF5">
        <w:rPr>
          <w:rFonts w:cs="Times New Roman"/>
          <w:szCs w:val="24"/>
        </w:rPr>
        <w:t>. Revista Uniar, 20:137-156, 2007.</w:t>
      </w:r>
    </w:p>
    <w:p w:rsidR="00BC29A7" w:rsidRPr="003F1385" w:rsidRDefault="00BC29A7" w:rsidP="00BC29A7">
      <w:pPr>
        <w:autoSpaceDE w:val="0"/>
        <w:autoSpaceDN w:val="0"/>
        <w:adjustRightInd w:val="0"/>
        <w:spacing w:before="240" w:after="240" w:line="240" w:lineRule="auto"/>
        <w:jc w:val="both"/>
        <w:rPr>
          <w:rFonts w:cs="Times New Roman"/>
          <w:bCs/>
          <w:iCs/>
          <w:szCs w:val="24"/>
          <w:lang w:val="pt-PT"/>
        </w:rPr>
      </w:pPr>
      <w:r w:rsidRPr="003F1385">
        <w:rPr>
          <w:rFonts w:cs="Times New Roman"/>
          <w:bCs/>
          <w:szCs w:val="24"/>
          <w:lang w:val="pt-PT"/>
        </w:rPr>
        <w:t xml:space="preserve">TRATA BRASIL. </w:t>
      </w:r>
      <w:r w:rsidRPr="003F1385">
        <w:rPr>
          <w:rFonts w:cs="Times New Roman"/>
          <w:b/>
          <w:bCs/>
          <w:iCs/>
          <w:szCs w:val="24"/>
        </w:rPr>
        <w:t>Esgotamento Sanitário Inadequado e Impactos na Saúde da População, 2010 &lt;</w:t>
      </w:r>
      <w:r w:rsidRPr="003F1385">
        <w:rPr>
          <w:rFonts w:cs="Times New Roman"/>
          <w:bCs/>
          <w:iCs/>
          <w:szCs w:val="24"/>
        </w:rPr>
        <w:t>http://www.tratabrasil.org.br/novo_site/cms/templates/trata_brasil/files/esgotamento.pdf&gt;</w:t>
      </w:r>
      <w:r w:rsidRPr="003F1385">
        <w:rPr>
          <w:rFonts w:cs="Times New Roman"/>
          <w:bCs/>
          <w:szCs w:val="24"/>
          <w:lang w:val="pt-PT"/>
        </w:rPr>
        <w:t xml:space="preserve"> </w:t>
      </w:r>
      <w:r w:rsidRPr="003F1385">
        <w:rPr>
          <w:rFonts w:cs="Times New Roman"/>
          <w:bCs/>
          <w:iCs/>
          <w:szCs w:val="24"/>
          <w:lang w:val="pt-PT"/>
        </w:rPr>
        <w:t>Acesso 01/11/2013.</w:t>
      </w:r>
    </w:p>
    <w:p w:rsidR="00BC29A7" w:rsidRPr="003F1385" w:rsidRDefault="00BC29A7" w:rsidP="00BC29A7">
      <w:pPr>
        <w:autoSpaceDE w:val="0"/>
        <w:autoSpaceDN w:val="0"/>
        <w:adjustRightInd w:val="0"/>
        <w:spacing w:before="240" w:after="240" w:line="240" w:lineRule="auto"/>
        <w:jc w:val="both"/>
        <w:rPr>
          <w:rFonts w:cs="Times New Roman"/>
          <w:bCs/>
          <w:iCs/>
          <w:szCs w:val="24"/>
        </w:rPr>
      </w:pPr>
      <w:r w:rsidRPr="003F1385">
        <w:rPr>
          <w:rFonts w:cs="Times New Roman"/>
          <w:bCs/>
          <w:iCs/>
          <w:szCs w:val="24"/>
        </w:rPr>
        <w:t xml:space="preserve">TRATA BRASIL; IBOPE.  </w:t>
      </w:r>
      <w:r w:rsidRPr="003F1385">
        <w:rPr>
          <w:rFonts w:cs="Times New Roman"/>
          <w:b/>
          <w:bCs/>
          <w:iCs/>
          <w:szCs w:val="24"/>
        </w:rPr>
        <w:t xml:space="preserve">A percepção da população quanto ao Saneamento Básico e a responsabilidade do Poder Público, 2012. </w:t>
      </w:r>
      <w:r w:rsidRPr="003F1385">
        <w:rPr>
          <w:rFonts w:cs="Times New Roman"/>
          <w:bCs/>
          <w:iCs/>
          <w:szCs w:val="24"/>
        </w:rPr>
        <w:t>Disponível em</w:t>
      </w:r>
      <w:r w:rsidRPr="003F1385">
        <w:rPr>
          <w:rFonts w:cs="Times New Roman"/>
          <w:b/>
          <w:bCs/>
          <w:iCs/>
          <w:szCs w:val="24"/>
        </w:rPr>
        <w:t xml:space="preserve"> </w:t>
      </w:r>
      <w:r w:rsidRPr="003F1385">
        <w:rPr>
          <w:rFonts w:cs="Times New Roman"/>
          <w:bCs/>
          <w:iCs/>
          <w:color w:val="000000" w:themeColor="text1"/>
          <w:szCs w:val="24"/>
        </w:rPr>
        <w:t xml:space="preserve">&lt; </w:t>
      </w:r>
      <w:hyperlink r:id="rId278" w:history="1">
        <w:r w:rsidRPr="003F1385">
          <w:rPr>
            <w:rStyle w:val="Hyperlink"/>
            <w:rFonts w:cs="Times New Roman"/>
            <w:bCs/>
            <w:iCs/>
            <w:color w:val="000000" w:themeColor="text1"/>
            <w:szCs w:val="24"/>
            <w:u w:val="none"/>
          </w:rPr>
          <w:t>http://www.slideshare.net</w:t>
        </w:r>
      </w:hyperlink>
      <w:r w:rsidRPr="003F1385">
        <w:rPr>
          <w:rFonts w:cs="Times New Roman"/>
          <w:bCs/>
          <w:iCs/>
          <w:color w:val="000000" w:themeColor="text1"/>
          <w:szCs w:val="24"/>
        </w:rPr>
        <w:t xml:space="preserve">&gt; </w:t>
      </w:r>
      <w:r w:rsidRPr="003F1385">
        <w:rPr>
          <w:rFonts w:cs="Times New Roman"/>
          <w:bCs/>
          <w:iCs/>
          <w:szCs w:val="24"/>
        </w:rPr>
        <w:t>Acesso 30/10/1013.</w:t>
      </w:r>
    </w:p>
    <w:p w:rsidR="00BC29A7" w:rsidRPr="003F1385" w:rsidRDefault="00BC29A7" w:rsidP="00BC29A7">
      <w:pPr>
        <w:autoSpaceDE w:val="0"/>
        <w:autoSpaceDN w:val="0"/>
        <w:adjustRightInd w:val="0"/>
        <w:spacing w:before="240" w:after="240" w:line="240" w:lineRule="auto"/>
        <w:jc w:val="both"/>
        <w:rPr>
          <w:rFonts w:cs="Times New Roman"/>
          <w:bCs/>
          <w:iCs/>
          <w:szCs w:val="24"/>
        </w:rPr>
      </w:pPr>
      <w:r w:rsidRPr="003F1385">
        <w:rPr>
          <w:rFonts w:cs="Times New Roman"/>
          <w:bCs/>
          <w:iCs/>
          <w:szCs w:val="24"/>
        </w:rPr>
        <w:t>TRATA BRASIL; IBRE/FGV.</w:t>
      </w:r>
      <w:r w:rsidRPr="003F1385">
        <w:rPr>
          <w:rFonts w:cs="Times New Roman"/>
          <w:b/>
          <w:bCs/>
          <w:iCs/>
          <w:szCs w:val="24"/>
        </w:rPr>
        <w:t xml:space="preserve"> Benefícios econômicos da expansão do saneamento brasileiro.</w:t>
      </w:r>
      <w:r w:rsidRPr="003F1385">
        <w:rPr>
          <w:rFonts w:cs="Times New Roman"/>
          <w:bCs/>
          <w:iCs/>
          <w:szCs w:val="24"/>
        </w:rPr>
        <w:t xml:space="preserve"> Rio de Janeiro: FGV, 2010</w:t>
      </w:r>
    </w:p>
    <w:p w:rsidR="00BC29A7" w:rsidRPr="00C92BF5" w:rsidRDefault="00BC29A7" w:rsidP="00BC29A7">
      <w:pPr>
        <w:spacing w:before="240" w:after="240" w:line="240" w:lineRule="auto"/>
        <w:jc w:val="both"/>
        <w:rPr>
          <w:rFonts w:cs="Times New Roman"/>
          <w:color w:val="222222"/>
          <w:szCs w:val="24"/>
        </w:rPr>
      </w:pPr>
      <w:r w:rsidRPr="00C92BF5">
        <w:rPr>
          <w:rFonts w:cs="Times New Roman"/>
          <w:szCs w:val="24"/>
        </w:rPr>
        <w:t xml:space="preserve">TSUTIYA, M. T. </w:t>
      </w:r>
      <w:r w:rsidRPr="00C92BF5">
        <w:rPr>
          <w:rFonts w:cs="Times New Roman"/>
          <w:b/>
          <w:szCs w:val="24"/>
        </w:rPr>
        <w:t>Abastecimento de Água. Departamento de Engenharia Hidráulica e Sanitária da Escola Politécnica da Universidade de São Paulo</w:t>
      </w:r>
      <w:r w:rsidRPr="00C92BF5">
        <w:rPr>
          <w:rFonts w:cs="Times New Roman"/>
          <w:szCs w:val="24"/>
        </w:rPr>
        <w:t>. 3 ª Edição. São Paulo, 2006.</w:t>
      </w:r>
    </w:p>
    <w:p w:rsidR="00BC29A7" w:rsidRPr="00C92BF5" w:rsidRDefault="00BC29A7" w:rsidP="00BC29A7">
      <w:pPr>
        <w:spacing w:before="240" w:after="240" w:line="240" w:lineRule="auto"/>
        <w:jc w:val="both"/>
        <w:rPr>
          <w:rFonts w:cs="Times New Roman"/>
          <w:szCs w:val="24"/>
        </w:rPr>
      </w:pPr>
      <w:r w:rsidRPr="00C92BF5">
        <w:rPr>
          <w:rFonts w:cs="Times New Roman"/>
          <w:szCs w:val="24"/>
        </w:rPr>
        <w:t>T</w:t>
      </w:r>
      <w:r w:rsidR="00467379" w:rsidRPr="00C92BF5">
        <w:rPr>
          <w:rFonts w:cs="Times New Roman"/>
          <w:szCs w:val="24"/>
        </w:rPr>
        <w:t>UCCI</w:t>
      </w:r>
      <w:r w:rsidRPr="00C92BF5">
        <w:rPr>
          <w:rFonts w:cs="Times New Roman"/>
          <w:szCs w:val="24"/>
        </w:rPr>
        <w:t xml:space="preserve">, C. E. M.; </w:t>
      </w:r>
      <w:r w:rsidR="00467379" w:rsidRPr="00C92BF5">
        <w:rPr>
          <w:rFonts w:cs="Times New Roman"/>
          <w:szCs w:val="24"/>
        </w:rPr>
        <w:t>GENZ</w:t>
      </w:r>
      <w:r w:rsidRPr="00C92BF5">
        <w:rPr>
          <w:rFonts w:cs="Times New Roman"/>
          <w:szCs w:val="24"/>
        </w:rPr>
        <w:t xml:space="preserve">, F. 1995 Controle do impacto da urbanização </w:t>
      </w:r>
      <w:r w:rsidRPr="00467379">
        <w:rPr>
          <w:rFonts w:cs="Times New Roman"/>
          <w:b/>
          <w:szCs w:val="24"/>
        </w:rPr>
        <w:t>In: Drenagem urbana</w:t>
      </w:r>
      <w:r w:rsidRPr="00C92BF5">
        <w:rPr>
          <w:rFonts w:cs="Times New Roman"/>
          <w:szCs w:val="24"/>
        </w:rPr>
        <w:t xml:space="preserve">. </w:t>
      </w:r>
      <w:r w:rsidR="00467379" w:rsidRPr="00C92BF5">
        <w:rPr>
          <w:rFonts w:cs="Times New Roman"/>
          <w:szCs w:val="24"/>
        </w:rPr>
        <w:t xml:space="preserve">TUCCI, C. E. M.; PORTO, R. L. L.; BARROS, M. </w:t>
      </w:r>
      <w:r w:rsidRPr="00C92BF5">
        <w:rPr>
          <w:rFonts w:cs="Times New Roman"/>
          <w:szCs w:val="24"/>
        </w:rPr>
        <w:t>T. ABRH 428 p.</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TUCCI, C.E.M. 1998. </w:t>
      </w:r>
      <w:r w:rsidRPr="00467379">
        <w:rPr>
          <w:rFonts w:cs="Times New Roman"/>
          <w:b/>
          <w:szCs w:val="24"/>
        </w:rPr>
        <w:t>Modelos Hidrológicos</w:t>
      </w:r>
      <w:r w:rsidRPr="00C92BF5">
        <w:rPr>
          <w:rFonts w:cs="Times New Roman"/>
          <w:szCs w:val="24"/>
        </w:rPr>
        <w:t>. Ed. da Universidade/UFRGS/ABRH. Porto Alegre. 669p.</w:t>
      </w:r>
    </w:p>
    <w:p w:rsidR="00BC29A7" w:rsidRPr="00C92BF5" w:rsidRDefault="00BC29A7" w:rsidP="00BC29A7">
      <w:pPr>
        <w:spacing w:before="240" w:after="240" w:line="240" w:lineRule="auto"/>
        <w:jc w:val="both"/>
        <w:rPr>
          <w:rFonts w:cs="Times New Roman"/>
          <w:szCs w:val="24"/>
          <w:lang w:eastAsia="pt-BR"/>
        </w:rPr>
      </w:pPr>
      <w:r w:rsidRPr="00C92BF5">
        <w:rPr>
          <w:rFonts w:cs="Times New Roman"/>
          <w:szCs w:val="24"/>
          <w:lang w:eastAsia="pt-BR"/>
        </w:rPr>
        <w:lastRenderedPageBreak/>
        <w:t xml:space="preserve">UFRJ – Universidade Federal do Rio de Janeiro. </w:t>
      </w:r>
      <w:r w:rsidRPr="00C92BF5">
        <w:rPr>
          <w:rFonts w:cs="Times New Roman"/>
          <w:b/>
          <w:szCs w:val="24"/>
          <w:lang w:eastAsia="pt-BR"/>
        </w:rPr>
        <w:t>Reator UASB</w:t>
      </w:r>
      <w:r w:rsidRPr="00C92BF5">
        <w:rPr>
          <w:rFonts w:cs="Times New Roman"/>
          <w:szCs w:val="24"/>
          <w:lang w:eastAsia="pt-BR"/>
        </w:rPr>
        <w:t>. Disponível em: http://www.saneamento.poli.ufrj.br/site/pt-br/reator-uasb/. Acesso em 25 de outubro de 2013.</w:t>
      </w:r>
    </w:p>
    <w:p w:rsidR="00BC29A7" w:rsidRPr="00A04754" w:rsidRDefault="00BC29A7" w:rsidP="00BC29A7">
      <w:pPr>
        <w:spacing w:before="240" w:after="240" w:line="240" w:lineRule="auto"/>
        <w:jc w:val="both"/>
        <w:rPr>
          <w:rFonts w:cs="Times New Roman"/>
          <w:szCs w:val="24"/>
          <w:lang w:val="en-US"/>
        </w:rPr>
      </w:pPr>
      <w:r w:rsidRPr="00C92BF5">
        <w:rPr>
          <w:rFonts w:cs="Times New Roman"/>
          <w:szCs w:val="24"/>
        </w:rPr>
        <w:t xml:space="preserve">UNIVERSIDADE FEDERAL DA BAHIA (UFBA); Apostila de hidrologia. Capítulo 6. Escoamento Superficial. Departamento de Hidráulica e Saneamento. Grupo de Recursos Hídricos. Disponível em:&lt;http://www.hidro.ufcg.edu.br/twiki/pub/HidrologiaAplicada/Semestre20081/ApostilaCap6.pdf&gt;&gt;. </w:t>
      </w:r>
      <w:r w:rsidRPr="00A04754">
        <w:rPr>
          <w:rFonts w:cs="Times New Roman"/>
          <w:szCs w:val="24"/>
          <w:lang w:val="en-US"/>
        </w:rPr>
        <w:t>Acesso em: 15/09/2012.</w:t>
      </w:r>
    </w:p>
    <w:p w:rsidR="00BC29A7" w:rsidRPr="00A04754" w:rsidRDefault="00BC29A7" w:rsidP="00BC29A7">
      <w:pPr>
        <w:spacing w:before="240" w:after="240" w:line="240" w:lineRule="auto"/>
        <w:jc w:val="both"/>
        <w:rPr>
          <w:rFonts w:cs="Times New Roman"/>
          <w:szCs w:val="24"/>
        </w:rPr>
      </w:pPr>
      <w:r w:rsidRPr="00C92BF5">
        <w:rPr>
          <w:rFonts w:cs="Times New Roman"/>
          <w:szCs w:val="24"/>
          <w:lang w:val="en-US"/>
        </w:rPr>
        <w:t xml:space="preserve">URBONAS, B.; STAHRE, P., 1993. Stormwater Best Management Practices and Detetion, Prentice Hall, Englewood Cliffs, New Jersey. </w:t>
      </w:r>
      <w:r w:rsidRPr="00A04754">
        <w:rPr>
          <w:rFonts w:cs="Times New Roman"/>
          <w:szCs w:val="24"/>
        </w:rPr>
        <w:t>450p.</w:t>
      </w:r>
    </w:p>
    <w:p w:rsidR="00BC29A7" w:rsidRPr="00C92BF5" w:rsidRDefault="00467379" w:rsidP="00BC29A7">
      <w:pPr>
        <w:spacing w:before="240" w:after="240" w:line="240" w:lineRule="auto"/>
        <w:jc w:val="both"/>
        <w:rPr>
          <w:rFonts w:cs="Times New Roman"/>
          <w:szCs w:val="24"/>
          <w:lang w:eastAsia="pt-BR"/>
        </w:rPr>
      </w:pPr>
      <w:r w:rsidRPr="00C92BF5">
        <w:rPr>
          <w:rFonts w:cs="Times New Roman"/>
          <w:szCs w:val="24"/>
          <w:lang w:eastAsia="pt-BR"/>
        </w:rPr>
        <w:t xml:space="preserve">VAN HAANDEL, A. C., CAVALCANTI, </w:t>
      </w:r>
      <w:r w:rsidR="00BC29A7" w:rsidRPr="00C92BF5">
        <w:rPr>
          <w:rFonts w:cs="Times New Roman"/>
          <w:szCs w:val="24"/>
          <w:lang w:eastAsia="pt-BR"/>
        </w:rPr>
        <w:t xml:space="preserve">P. F. F. </w:t>
      </w:r>
      <w:r w:rsidR="00BC29A7" w:rsidRPr="00C92BF5">
        <w:rPr>
          <w:rFonts w:cs="Times New Roman"/>
          <w:b/>
          <w:szCs w:val="24"/>
          <w:lang w:eastAsia="pt-BR"/>
        </w:rPr>
        <w:t>Melhoramento do desempenho e aumento da aplicabilidade de lagoas de estabilização através de pré-tratamento anaeróbio em um DAFA</w:t>
      </w:r>
      <w:r w:rsidR="00BC29A7" w:rsidRPr="00C92BF5">
        <w:rPr>
          <w:rFonts w:cs="Times New Roman"/>
          <w:szCs w:val="24"/>
          <w:lang w:eastAsia="pt-BR"/>
        </w:rPr>
        <w:t>, Dept. of Civil Engineering - UFPB, Campina Grande - Brazil,1995.</w:t>
      </w:r>
    </w:p>
    <w:p w:rsidR="00BC29A7" w:rsidRPr="00C92BF5" w:rsidRDefault="00BC29A7" w:rsidP="00BC29A7">
      <w:pPr>
        <w:spacing w:before="240" w:after="240" w:line="240" w:lineRule="auto"/>
        <w:jc w:val="both"/>
        <w:rPr>
          <w:rFonts w:cs="Times New Roman"/>
          <w:szCs w:val="24"/>
        </w:rPr>
      </w:pPr>
      <w:r w:rsidRPr="00C92BF5">
        <w:rPr>
          <w:rFonts w:cs="Times New Roman"/>
          <w:szCs w:val="24"/>
        </w:rPr>
        <w:t xml:space="preserve">VELOSO, H. P.; A. L. R. RANGEL FILHO; LIMA, C. A. </w:t>
      </w:r>
      <w:r w:rsidRPr="00467379">
        <w:rPr>
          <w:rFonts w:cs="Times New Roman"/>
          <w:b/>
          <w:szCs w:val="24"/>
        </w:rPr>
        <w:t>Classificação da vegetação brasileira adaptada a um sistema universal</w:t>
      </w:r>
      <w:r w:rsidRPr="00C92BF5">
        <w:rPr>
          <w:rFonts w:cs="Times New Roman"/>
          <w:szCs w:val="24"/>
        </w:rPr>
        <w:t>. Rio de Janeiro: IBGE, 1991.</w:t>
      </w:r>
    </w:p>
    <w:p w:rsidR="00BC29A7" w:rsidRPr="00C92BF5" w:rsidRDefault="00BC29A7" w:rsidP="00BC29A7">
      <w:pPr>
        <w:spacing w:before="240" w:after="240" w:line="240" w:lineRule="auto"/>
        <w:jc w:val="both"/>
        <w:rPr>
          <w:rFonts w:cs="Times New Roman"/>
          <w:szCs w:val="24"/>
          <w:lang w:eastAsia="pt-BR"/>
        </w:rPr>
      </w:pPr>
      <w:r w:rsidRPr="00C92BF5">
        <w:rPr>
          <w:rFonts w:cs="Times New Roman"/>
          <w:szCs w:val="24"/>
          <w:lang w:eastAsia="pt-BR"/>
        </w:rPr>
        <w:t xml:space="preserve">VON SPERLING, M. </w:t>
      </w:r>
      <w:r w:rsidRPr="00C92BF5">
        <w:rPr>
          <w:rFonts w:cs="Times New Roman"/>
          <w:b/>
          <w:szCs w:val="24"/>
          <w:lang w:eastAsia="pt-BR"/>
        </w:rPr>
        <w:t>Introdução à qualidade das águas e ao tratamento de esgotos. Princípios do tratamento biológico de águas residuárias</w:t>
      </w:r>
      <w:r w:rsidRPr="00C92BF5">
        <w:rPr>
          <w:rFonts w:cs="Times New Roman"/>
          <w:szCs w:val="24"/>
          <w:lang w:eastAsia="pt-BR"/>
        </w:rPr>
        <w:t xml:space="preserve">. V.1. 3ª., editora UFMG: Belo Horizonte, 1996. </w:t>
      </w:r>
    </w:p>
    <w:p w:rsidR="00BC29A7" w:rsidRPr="003F1385" w:rsidRDefault="00BC29A7" w:rsidP="00BC29A7">
      <w:pPr>
        <w:autoSpaceDE w:val="0"/>
        <w:autoSpaceDN w:val="0"/>
        <w:adjustRightInd w:val="0"/>
        <w:spacing w:before="240" w:after="240" w:line="240" w:lineRule="auto"/>
        <w:jc w:val="both"/>
        <w:rPr>
          <w:rFonts w:cs="Times New Roman"/>
          <w:bCs/>
          <w:szCs w:val="24"/>
          <w:lang w:val="pt-PT"/>
        </w:rPr>
      </w:pPr>
      <w:r w:rsidRPr="003F1385">
        <w:rPr>
          <w:rFonts w:cs="Times New Roman"/>
          <w:bCs/>
          <w:szCs w:val="24"/>
          <w:lang w:val="pt-PT"/>
        </w:rPr>
        <w:t>WIKIPEDIA</w:t>
      </w:r>
      <w:r w:rsidRPr="003F1385">
        <w:rPr>
          <w:rFonts w:cs="Times New Roman"/>
          <w:b/>
          <w:bCs/>
          <w:szCs w:val="24"/>
          <w:lang w:val="pt-PT"/>
        </w:rPr>
        <w:t xml:space="preserve"> Aimorés (Minas Gerais). </w:t>
      </w:r>
      <w:r w:rsidRPr="003F1385">
        <w:rPr>
          <w:rFonts w:cs="Times New Roman"/>
          <w:bCs/>
          <w:szCs w:val="24"/>
          <w:lang w:val="pt-PT"/>
        </w:rPr>
        <w:t xml:space="preserve">Disponível em </w:t>
      </w:r>
      <w:r w:rsidRPr="003F1385">
        <w:rPr>
          <w:rFonts w:cs="Times New Roman"/>
          <w:bCs/>
          <w:color w:val="000000" w:themeColor="text1"/>
          <w:szCs w:val="24"/>
          <w:lang w:val="pt-PT"/>
        </w:rPr>
        <w:t xml:space="preserve">&lt; </w:t>
      </w:r>
      <w:hyperlink r:id="rId279" w:history="1">
        <w:r w:rsidRPr="003F1385">
          <w:rPr>
            <w:rStyle w:val="Hyperlink"/>
            <w:rFonts w:cs="Times New Roman"/>
            <w:bCs/>
            <w:color w:val="000000" w:themeColor="text1"/>
            <w:szCs w:val="24"/>
            <w:u w:val="none"/>
            <w:lang w:val="pt-PT"/>
          </w:rPr>
          <w:t>http://pt.wikipedia.org/wiki/Aimor%C3%A9s_(Minas_Gerais)</w:t>
        </w:r>
      </w:hyperlink>
      <w:r w:rsidRPr="003F1385">
        <w:rPr>
          <w:rFonts w:cs="Times New Roman"/>
          <w:bCs/>
          <w:color w:val="000000" w:themeColor="text1"/>
          <w:szCs w:val="24"/>
          <w:lang w:val="pt-PT"/>
        </w:rPr>
        <w:t xml:space="preserve">&gt; </w:t>
      </w:r>
      <w:r w:rsidRPr="003F1385">
        <w:rPr>
          <w:rFonts w:cs="Times New Roman"/>
          <w:bCs/>
          <w:szCs w:val="24"/>
          <w:lang w:val="pt-PT"/>
        </w:rPr>
        <w:t xml:space="preserve">Acesso 31/10/2013. </w:t>
      </w:r>
    </w:p>
    <w:p w:rsidR="00BC29A7" w:rsidRPr="00C92BF5" w:rsidRDefault="00BC29A7" w:rsidP="00BC29A7">
      <w:pPr>
        <w:spacing w:before="240" w:after="240" w:line="240" w:lineRule="auto"/>
        <w:jc w:val="both"/>
        <w:rPr>
          <w:rFonts w:cs="Times New Roman"/>
          <w:szCs w:val="24"/>
        </w:rPr>
      </w:pPr>
      <w:r w:rsidRPr="00C92BF5">
        <w:rPr>
          <w:rFonts w:cs="Times New Roman"/>
          <w:szCs w:val="24"/>
        </w:rPr>
        <w:t>WILKEN, P.S.,1978. Engenharia de drenagem superficial. São Paulo: CETESB 477p.</w:t>
      </w:r>
    </w:p>
    <w:sectPr w:rsidR="00BC29A7" w:rsidRPr="00C92BF5" w:rsidSect="00D467E0">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D790B" w:rsidRDefault="00CD790B" w:rsidP="0026452E">
      <w:pPr>
        <w:spacing w:after="0" w:line="240" w:lineRule="auto"/>
      </w:pPr>
      <w:r>
        <w:separator/>
      </w:r>
    </w:p>
  </w:endnote>
  <w:endnote w:type="continuationSeparator" w:id="0">
    <w:p w:rsidR="00CD790B" w:rsidRDefault="00CD790B" w:rsidP="002645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40000013" w:usb2="00000000" w:usb3="00000000" w:csb0="0000009F" w:csb1="00000000"/>
  </w:font>
  <w:font w:name="ArialM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3730964"/>
      <w:docPartObj>
        <w:docPartGallery w:val="Page Numbers (Bottom of Page)"/>
        <w:docPartUnique/>
      </w:docPartObj>
    </w:sdtPr>
    <w:sdtContent>
      <w:p w:rsidR="004F77E2" w:rsidRDefault="004F77E2">
        <w:pPr>
          <w:pStyle w:val="Rodap"/>
          <w:jc w:val="right"/>
        </w:pPr>
        <w:r>
          <w:pict>
            <v:rect id="_x0000_i1026" style="width:0;height:1.5pt" o:hralign="center" o:hrstd="t" o:hr="t" fillcolor="#a0a0a0" stroked="f"/>
          </w:pict>
        </w:r>
      </w:p>
      <w:p w:rsidR="004F77E2" w:rsidRDefault="004F77E2">
        <w:pPr>
          <w:pStyle w:val="Rodap"/>
          <w:jc w:val="right"/>
        </w:pPr>
      </w:p>
    </w:sdtContent>
  </w:sdt>
  <w:p w:rsidR="004F77E2" w:rsidRPr="00E94D50" w:rsidRDefault="004F77E2" w:rsidP="0038012F">
    <w:pPr>
      <w:pStyle w:val="Rodap"/>
      <w:tabs>
        <w:tab w:val="left" w:pos="7545"/>
      </w:tabs>
      <w:jc w:val="center"/>
      <w:rPr>
        <w:rFonts w:cs="Times New Roman"/>
        <w:b/>
      </w:rPr>
    </w:pPr>
    <w:r>
      <w:rPr>
        <w:rFonts w:cs="Times New Roman"/>
        <w:b/>
      </w:rPr>
      <w:t xml:space="preserve">Fundação Educacional </w:t>
    </w:r>
    <w:r w:rsidRPr="00E94D50">
      <w:rPr>
        <w:rFonts w:cs="Times New Roman"/>
        <w:b/>
      </w:rPr>
      <w:t>de Caratinga</w:t>
    </w:r>
  </w:p>
  <w:p w:rsidR="004F77E2" w:rsidRPr="00E94D50" w:rsidRDefault="004F77E2" w:rsidP="0038012F">
    <w:pPr>
      <w:pStyle w:val="Rodap"/>
      <w:jc w:val="center"/>
      <w:rPr>
        <w:rFonts w:cs="Times New Roman"/>
      </w:rPr>
    </w:pPr>
    <w:r w:rsidRPr="00E94D50">
      <w:rPr>
        <w:rFonts w:cs="Times New Roman"/>
      </w:rPr>
      <w:t>www.unec.edu.br</w:t>
    </w:r>
  </w:p>
  <w:p w:rsidR="004F77E2" w:rsidRPr="00C266EC" w:rsidRDefault="004F77E2" w:rsidP="0038012F">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77E2" w:rsidRDefault="004F77E2">
    <w:pPr>
      <w:pStyle w:val="Rodap"/>
      <w:jc w:val="right"/>
    </w:pPr>
  </w:p>
  <w:p w:rsidR="004F77E2" w:rsidRDefault="004F77E2" w:rsidP="0038012F">
    <w:pPr>
      <w:pStyle w:val="Rodap"/>
      <w:tabs>
        <w:tab w:val="left" w:pos="7545"/>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7059583"/>
      <w:docPartObj>
        <w:docPartGallery w:val="Page Numbers (Bottom of Page)"/>
        <w:docPartUnique/>
      </w:docPartObj>
    </w:sdtPr>
    <w:sdtContent>
      <w:p w:rsidR="004F77E2" w:rsidRDefault="004F77E2" w:rsidP="0038012F">
        <w:pPr>
          <w:pStyle w:val="Rodap"/>
          <w:jc w:val="right"/>
        </w:pPr>
        <w:r>
          <w:pict>
            <v:rect id="_x0000_i1027" style="width:0;height:1.5pt" o:hralign="center" o:hrstd="t" o:hr="t" fillcolor="#a0a0a0" stroked="f"/>
          </w:pict>
        </w:r>
      </w:p>
      <w:p w:rsidR="004F77E2" w:rsidRDefault="004F77E2" w:rsidP="0038012F">
        <w:pPr>
          <w:pStyle w:val="Rodap"/>
          <w:jc w:val="right"/>
        </w:pPr>
      </w:p>
    </w:sdtContent>
  </w:sdt>
  <w:p w:rsidR="004F77E2" w:rsidRPr="00E94D50" w:rsidRDefault="004F77E2" w:rsidP="0038012F">
    <w:pPr>
      <w:pStyle w:val="Rodap"/>
      <w:tabs>
        <w:tab w:val="left" w:pos="7545"/>
      </w:tabs>
      <w:jc w:val="center"/>
      <w:rPr>
        <w:rFonts w:cs="Times New Roman"/>
        <w:b/>
      </w:rPr>
    </w:pPr>
    <w:r>
      <w:rPr>
        <w:rFonts w:cs="Times New Roman"/>
        <w:b/>
      </w:rPr>
      <w:t xml:space="preserve">Fundação Educacional </w:t>
    </w:r>
    <w:r w:rsidRPr="00E94D50">
      <w:rPr>
        <w:rFonts w:cs="Times New Roman"/>
        <w:b/>
      </w:rPr>
      <w:t>de Caratinga</w:t>
    </w:r>
  </w:p>
  <w:p w:rsidR="004F77E2" w:rsidRPr="00E94D50" w:rsidRDefault="004F77E2" w:rsidP="0038012F">
    <w:pPr>
      <w:pStyle w:val="Rodap"/>
      <w:jc w:val="center"/>
      <w:rPr>
        <w:rFonts w:cs="Times New Roman"/>
      </w:rPr>
    </w:pPr>
    <w:r w:rsidRPr="00E94D50">
      <w:rPr>
        <w:rFonts w:cs="Times New Roman"/>
      </w:rPr>
      <w:t>www.unec.edu.br</w:t>
    </w:r>
  </w:p>
  <w:sdt>
    <w:sdtPr>
      <w:id w:val="523832517"/>
      <w:docPartObj>
        <w:docPartGallery w:val="Page Numbers (Bottom of Page)"/>
        <w:docPartUnique/>
      </w:docPartObj>
    </w:sdtPr>
    <w:sdtEndPr>
      <w:rPr>
        <w:rFonts w:cs="Times New Roman"/>
        <w:szCs w:val="24"/>
      </w:rPr>
    </w:sdtEndPr>
    <w:sdtContent>
      <w:p w:rsidR="004F77E2" w:rsidRPr="00B6574E" w:rsidRDefault="004F77E2">
        <w:pPr>
          <w:pStyle w:val="Rodap"/>
          <w:jc w:val="right"/>
          <w:rPr>
            <w:rFonts w:cs="Times New Roman"/>
            <w:szCs w:val="24"/>
          </w:rPr>
        </w:pPr>
        <w:r w:rsidRPr="00B6574E">
          <w:rPr>
            <w:rFonts w:cs="Times New Roman"/>
            <w:szCs w:val="24"/>
          </w:rPr>
          <w:fldChar w:fldCharType="begin"/>
        </w:r>
        <w:r w:rsidRPr="00B6574E">
          <w:rPr>
            <w:rFonts w:cs="Times New Roman"/>
            <w:szCs w:val="24"/>
          </w:rPr>
          <w:instrText>PAGE   \* MERGEFORMAT</w:instrText>
        </w:r>
        <w:r w:rsidRPr="00B6574E">
          <w:rPr>
            <w:rFonts w:cs="Times New Roman"/>
            <w:szCs w:val="24"/>
          </w:rPr>
          <w:fldChar w:fldCharType="separate"/>
        </w:r>
        <w:r w:rsidR="00A466EA">
          <w:rPr>
            <w:rFonts w:cs="Times New Roman"/>
            <w:noProof/>
            <w:szCs w:val="24"/>
          </w:rPr>
          <w:t>155</w:t>
        </w:r>
        <w:r w:rsidRPr="00B6574E">
          <w:rPr>
            <w:rFonts w:cs="Times New Roman"/>
            <w:szCs w:val="24"/>
          </w:rPr>
          <w:fldChar w:fldCharType="end"/>
        </w:r>
      </w:p>
    </w:sdtContent>
  </w:sdt>
  <w:p w:rsidR="004F77E2" w:rsidRPr="00C266EC" w:rsidRDefault="004F77E2" w:rsidP="0038012F">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D790B" w:rsidRDefault="00CD790B" w:rsidP="0026452E">
      <w:pPr>
        <w:spacing w:after="0" w:line="240" w:lineRule="auto"/>
      </w:pPr>
      <w:r>
        <w:separator/>
      </w:r>
    </w:p>
  </w:footnote>
  <w:footnote w:type="continuationSeparator" w:id="0">
    <w:p w:rsidR="00CD790B" w:rsidRDefault="00CD790B" w:rsidP="0026452E">
      <w:pPr>
        <w:spacing w:after="0" w:line="240" w:lineRule="auto"/>
      </w:pPr>
      <w:r>
        <w:continuationSeparator/>
      </w:r>
    </w:p>
  </w:footnote>
  <w:footnote w:id="1">
    <w:p w:rsidR="004F77E2" w:rsidRPr="00846C4F" w:rsidRDefault="004F77E2" w:rsidP="00192DB6">
      <w:pPr>
        <w:pStyle w:val="Textodenotaderodap"/>
        <w:jc w:val="both"/>
        <w:rPr>
          <w:rFonts w:cs="Times New Roman"/>
          <w:sz w:val="18"/>
          <w:szCs w:val="18"/>
        </w:rPr>
      </w:pPr>
      <w:r w:rsidRPr="00846C4F">
        <w:rPr>
          <w:rStyle w:val="Refdenotaderodap"/>
          <w:sz w:val="18"/>
          <w:szCs w:val="18"/>
        </w:rPr>
        <w:footnoteRef/>
      </w:r>
      <w:r w:rsidRPr="00846C4F">
        <w:rPr>
          <w:rFonts w:cs="Times New Roman"/>
          <w:sz w:val="18"/>
          <w:szCs w:val="18"/>
        </w:rPr>
        <w:t xml:space="preserve"> As infecções gastrintestinais consideradas foram, conforme a classificação CID -10: shiguelose, amebíase, diarreia e gastroenterite origem infecciosa presumível, cólera e outras doenças infecciosas intestinais.</w:t>
      </w:r>
    </w:p>
  </w:footnote>
  <w:footnote w:id="2">
    <w:p w:rsidR="004F77E2" w:rsidRPr="008C3A06" w:rsidRDefault="004F77E2" w:rsidP="00192DB6">
      <w:pPr>
        <w:pStyle w:val="Textodenotaderodap"/>
        <w:jc w:val="both"/>
        <w:rPr>
          <w:sz w:val="16"/>
          <w:szCs w:val="16"/>
        </w:rPr>
      </w:pPr>
      <w:r>
        <w:rPr>
          <w:rStyle w:val="Refdenotaderodap"/>
        </w:rPr>
        <w:footnoteRef/>
      </w:r>
      <w:r>
        <w:t xml:space="preserve"> </w:t>
      </w:r>
      <w:r w:rsidRPr="008C3A06">
        <w:rPr>
          <w:sz w:val="16"/>
          <w:szCs w:val="16"/>
        </w:rPr>
        <w:t>Segundo Carneiro</w:t>
      </w:r>
      <w:r>
        <w:rPr>
          <w:sz w:val="16"/>
          <w:szCs w:val="16"/>
        </w:rPr>
        <w:t xml:space="preserve"> (2005)</w:t>
      </w:r>
      <w:r w:rsidRPr="008C3A06">
        <w:rPr>
          <w:sz w:val="16"/>
          <w:szCs w:val="16"/>
        </w:rPr>
        <w:t>, os programas de transferência de renda com condicionalidades vêm ocupando um lugar cada vez mais destaque no âmbito das políticas de combate à pobreza. O programa Bolsa Família (PBF) instituído em 2003, transformado em Lei em 2004, regulamentado pelo Decreto n° 5209, de 17 de setembro de 2004, destina-se às famílias classificadas segundo a sua renda per capita, que traduz a sua condição de pobre (per capita de R$ 140, 00 reais) e miserável (per capita inferior a R$70,00 reais).</w:t>
      </w:r>
    </w:p>
  </w:footnote>
  <w:footnote w:id="3">
    <w:p w:rsidR="004F77E2" w:rsidRPr="008C3A06" w:rsidRDefault="004F77E2" w:rsidP="00192DB6">
      <w:pPr>
        <w:pStyle w:val="Textodenotaderodap"/>
        <w:jc w:val="both"/>
        <w:rPr>
          <w:sz w:val="16"/>
          <w:szCs w:val="16"/>
        </w:rPr>
      </w:pPr>
      <w:r w:rsidRPr="008C3A06">
        <w:rPr>
          <w:rStyle w:val="Refdenotaderodap"/>
        </w:rPr>
        <w:footnoteRef/>
      </w:r>
      <w:r w:rsidRPr="008C3A06">
        <w:rPr>
          <w:sz w:val="16"/>
          <w:szCs w:val="16"/>
        </w:rPr>
        <w:t xml:space="preserve"> O BPC é um benefício não contributivo de um salário mínimo mensal, concedido aos idosos (com 65 anos ou mais) e a pessoas deficientes, em situação de pobreza. Destina-se às pessoas incapazes para uma vida independente e para o trabalho, bem como naqueles casos em que a pessoa não tenha condições de se sustentar financeiramente ou ter o sustento mantido por suas famílias. Para o acesso ao benefício é necessária a comprovação de renda mensal familiar per capita inferior a um quarto do salário mínimo em vigência (MARQUES, 2004).</w:t>
      </w:r>
    </w:p>
  </w:footnote>
  <w:footnote w:id="4">
    <w:p w:rsidR="004F77E2" w:rsidRPr="001D2F23" w:rsidRDefault="004F77E2" w:rsidP="00192DB6">
      <w:pPr>
        <w:pStyle w:val="Textodenotaderodap"/>
        <w:jc w:val="both"/>
        <w:rPr>
          <w:rFonts w:cs="Times New Roman"/>
        </w:rPr>
      </w:pPr>
      <w:r w:rsidRPr="005B16B9">
        <w:rPr>
          <w:rStyle w:val="Refdenotaderodap"/>
        </w:rPr>
        <w:footnoteRef/>
      </w:r>
      <w:r w:rsidRPr="005B16B9">
        <w:rPr>
          <w:rFonts w:cs="Times New Roman"/>
        </w:rPr>
        <w:t xml:space="preserve"> </w:t>
      </w:r>
      <w:r w:rsidRPr="001D2F23">
        <w:rPr>
          <w:rFonts w:cs="Times New Roman"/>
        </w:rPr>
        <w:t>Com base na PNAD (2004), observa-se que 12,2% das pessoas detinham renda familiar per capita inferior a ¼ de salário mínimo, situando-se, assim, abaixo da linha de indigência, enquanto 31,6% da população detinham renda inferior a 1/2 salário mínimo per capita, estando abaixo da linha de pobreza. Retirando-se deste conjunto de rendas aquelas originárias nos Programas de Transferência de Renda, estes números crescem ligeiramente, passando, respectivamente, para 14,5% e 32,9%. .</w:t>
      </w:r>
    </w:p>
  </w:footnote>
  <w:footnote w:id="5">
    <w:p w:rsidR="004F77E2" w:rsidRDefault="004F77E2" w:rsidP="00192DB6">
      <w:pPr>
        <w:pStyle w:val="Textodenotaderodap"/>
        <w:jc w:val="both"/>
      </w:pPr>
      <w:r w:rsidRPr="001D2F23">
        <w:rPr>
          <w:rStyle w:val="Refdenotaderodap"/>
        </w:rPr>
        <w:footnoteRef/>
      </w:r>
      <w:r w:rsidRPr="001D2F23">
        <w:t xml:space="preserve"> </w:t>
      </w:r>
      <w:r w:rsidRPr="001D2F23">
        <w:rPr>
          <w:rFonts w:cs="Times New Roman"/>
        </w:rPr>
        <w:t>O índice de Gini, que mede a concentração de renda, caiu 2,1%, entre janeiro de 2011 e janeiro de 2012, atingindo 0,5190, abaixo de seu piso histórico de 1960 (0,5367).</w:t>
      </w:r>
      <w:r w:rsidRPr="001D2F23">
        <w:t xml:space="preserve"> </w:t>
      </w:r>
      <w:r w:rsidRPr="001D2F23">
        <w:rPr>
          <w:rFonts w:cs="Times New Roman"/>
        </w:rPr>
        <w:t>Estudo do Instituto de Pesquisa Econômica e Aplicada aponta que a distribuição de renda no Brasil só vai melhorar em 2016, quando o índice de Gini ficar abaixo de 0,45.</w:t>
      </w:r>
    </w:p>
  </w:footnote>
  <w:footnote w:id="6">
    <w:p w:rsidR="004F77E2" w:rsidRPr="001D2F23" w:rsidRDefault="004F77E2" w:rsidP="00192DB6">
      <w:pPr>
        <w:spacing w:after="0" w:line="240" w:lineRule="auto"/>
        <w:jc w:val="both"/>
        <w:rPr>
          <w:rFonts w:cs="Times New Roman"/>
          <w:sz w:val="20"/>
          <w:szCs w:val="18"/>
        </w:rPr>
      </w:pPr>
      <w:r w:rsidRPr="001D2F23">
        <w:rPr>
          <w:rStyle w:val="Refdenotaderodap"/>
          <w:sz w:val="20"/>
          <w:szCs w:val="18"/>
        </w:rPr>
        <w:footnoteRef/>
      </w:r>
      <w:r w:rsidRPr="001D2F23">
        <w:rPr>
          <w:rFonts w:cs="Times New Roman"/>
          <w:sz w:val="20"/>
          <w:szCs w:val="18"/>
        </w:rPr>
        <w:t xml:space="preserve"> Segundo FJP (2013), a frequência ao ensino básico é medida pelas taxas de frequência líquida dos ensinos fundamental e médio. A taxa líquida de frequência do ensino fundamental é a razão entre a população de 6 a 14 anos de idade matriculada no ensino fundamental e a população dessa faixa etária. A taxa líquida de frequência do ensino médio é a razão entre a população de 15 a 17 anos de idade matriculada no ensino médio e a população dessa faixa etária. Ambas as taxas utilizam no numerador as matrículas obtidas dos Censos Escolares (INEP/MEC) e no numerador a população retiradas dos censos demográficos para os anos de 2000 e 2010 e estimadas no período intercensitário.</w:t>
      </w:r>
    </w:p>
    <w:p w:rsidR="004F77E2" w:rsidRDefault="004F77E2" w:rsidP="00192DB6">
      <w:pPr>
        <w:pStyle w:val="Textodenotaderodap"/>
      </w:pPr>
    </w:p>
  </w:footnote>
  <w:footnote w:id="7">
    <w:p w:rsidR="004F77E2" w:rsidRPr="001D2F23" w:rsidRDefault="004F77E2" w:rsidP="00192DB6">
      <w:pPr>
        <w:pStyle w:val="Textodenotaderodap"/>
        <w:jc w:val="both"/>
      </w:pPr>
      <w:r w:rsidRPr="001D2F23">
        <w:rPr>
          <w:rStyle w:val="Refdenotaderodap"/>
        </w:rPr>
        <w:footnoteRef/>
      </w:r>
      <w:r w:rsidRPr="001D2F23">
        <w:t xml:space="preserve"> </w:t>
      </w:r>
      <w:r w:rsidRPr="001D2F23">
        <w:rPr>
          <w:rFonts w:cs="Times New Roman"/>
        </w:rPr>
        <w:t>A renda domiciliar per capita está em um patamar muito inferior à média do estado de Minas Gerais (R$ 276) e do Brasil (R$ 297). Ou seja, as famílias de Aimorés são, em média, mais pobres que as famílias do estado de Minas Gerais e do Brasil (AGÊNCIA 21, 2007)</w:t>
      </w:r>
      <w:r w:rsidRPr="001D2F23">
        <w:t>.</w:t>
      </w:r>
    </w:p>
  </w:footnote>
  <w:footnote w:id="8">
    <w:p w:rsidR="004F77E2" w:rsidRPr="001D2F23" w:rsidRDefault="004F77E2" w:rsidP="001D2F23">
      <w:pPr>
        <w:pStyle w:val="Textodenotaderodap"/>
        <w:jc w:val="both"/>
      </w:pPr>
      <w:r w:rsidRPr="001D2F23">
        <w:rPr>
          <w:rStyle w:val="Refdenotaderodap"/>
        </w:rPr>
        <w:footnoteRef/>
      </w:r>
      <w:r w:rsidRPr="001D2F23">
        <w:rPr>
          <w:rFonts w:cs="Times New Roman"/>
        </w:rPr>
        <w:t xml:space="preserve"> O SUAS representa uma nova arquitetura organizacional e de gestão da assistência social, lastreada na descentralização, no co-financiamento pelos três entes federados e na participação e controle sociais. Na área da assistência, a União, a partir de processos de negociação com os estados e os municípios, estabelece a estratégia geral de implantação, traduzidas nas principais diretrizes, metas e critérios de co-financiamento. Contudo, compete aos municípios a organização e a oferta de serviços, programas, projetos e benefícios, no âmbito local, que irão concretizar as funções da Assistência Social (FJP, 2013).</w:t>
      </w:r>
    </w:p>
  </w:footnote>
  <w:footnote w:id="9">
    <w:p w:rsidR="004F77E2" w:rsidRPr="00F8563C" w:rsidRDefault="004F77E2" w:rsidP="00192DB6">
      <w:pPr>
        <w:pStyle w:val="Textodenotaderodap"/>
        <w:jc w:val="both"/>
        <w:rPr>
          <w:sz w:val="18"/>
          <w:szCs w:val="18"/>
        </w:rPr>
      </w:pPr>
      <w:r w:rsidRPr="001D2F23">
        <w:rPr>
          <w:rStyle w:val="Refdenotaderodap"/>
        </w:rPr>
        <w:footnoteRef/>
      </w:r>
      <w:r w:rsidRPr="001D2F23">
        <w:rPr>
          <w:rFonts w:cs="Times New Roman"/>
        </w:rPr>
        <w:t xml:space="preserve"> </w:t>
      </w:r>
      <w:r w:rsidRPr="001D2F23">
        <w:rPr>
          <w:rFonts w:cs="Times New Roman"/>
          <w:iCs/>
        </w:rPr>
        <w:t xml:space="preserve">O CRAS, responsável pela oferta da proteção social básica poderá ofertar os seguintes serviços: Serviço de Proteção e Atendimento Integral à Família - PAIF; Serviço de Convivência e Fortalecimento de Vínculos; e Serviço de Proteção Social Básica no domicílio para pessoas com deficiência e idosas. </w:t>
      </w:r>
      <w:r w:rsidRPr="001D2F23">
        <w:rPr>
          <w:rFonts w:cs="Times New Roman"/>
        </w:rPr>
        <w:t xml:space="preserve">Por outro lado, o Centro de Referência Especializado de Assistência Social – CREAS destina-se à oferta da proteção social especial de média e alta complexidade. </w:t>
      </w:r>
      <w:r w:rsidRPr="001D2F23">
        <w:t>.</w:t>
      </w:r>
    </w:p>
  </w:footnote>
  <w:footnote w:id="10">
    <w:p w:rsidR="004F77E2" w:rsidRPr="001D2F23" w:rsidRDefault="004F77E2" w:rsidP="00192DB6">
      <w:pPr>
        <w:pStyle w:val="Textodenotaderodap"/>
        <w:jc w:val="both"/>
        <w:rPr>
          <w:rFonts w:cs="Times New Roman"/>
          <w:szCs w:val="18"/>
        </w:rPr>
      </w:pPr>
      <w:r w:rsidRPr="001D2F23">
        <w:rPr>
          <w:rStyle w:val="Refdenotaderodap"/>
          <w:szCs w:val="18"/>
        </w:rPr>
        <w:footnoteRef/>
      </w:r>
      <w:r w:rsidRPr="001D2F23">
        <w:rPr>
          <w:rFonts w:cs="Times New Roman"/>
          <w:szCs w:val="18"/>
        </w:rPr>
        <w:t xml:space="preserve"> É um índice que mede o bem-estar de uma população, através do Atlas de Desenvolvimento Humano no Brasil, que gera informações para os 5507 municípios brasileiros e as 27 unidades da Federação, por meio dos seguintes índices: IDH-E (educação), IDH-L (longevidade) e IDH-R (renda), cuja média aritmética simples resulta no IDH-M, que varia de 0 a 1, sendo 1 a posição correspondente aos melhores valores. Foi elaborado em parceria com o Programa das Nações Unidas para o Desenvolvimento (PNUD), com o Instituto de Pesquisa Econômica Aplicada (IPEA) e com a e Fundação João Pinheiro (FJP, 2013).</w:t>
      </w:r>
    </w:p>
    <w:p w:rsidR="004F77E2" w:rsidRDefault="004F77E2" w:rsidP="00192DB6">
      <w:pPr>
        <w:pStyle w:val="Textodenotaderodap"/>
      </w:pPr>
    </w:p>
  </w:footnote>
  <w:footnote w:id="11">
    <w:p w:rsidR="004F77E2" w:rsidRPr="00D20D7E" w:rsidRDefault="004F77E2" w:rsidP="00192DB6">
      <w:pPr>
        <w:pStyle w:val="Textodenotaderodap"/>
        <w:jc w:val="both"/>
        <w:rPr>
          <w:sz w:val="18"/>
          <w:szCs w:val="18"/>
        </w:rPr>
      </w:pPr>
      <w:r w:rsidRPr="00D20D7E">
        <w:rPr>
          <w:rStyle w:val="Refdenotaderodap"/>
          <w:sz w:val="18"/>
          <w:szCs w:val="18"/>
        </w:rPr>
        <w:footnoteRef/>
      </w:r>
      <w:r w:rsidRPr="001D2F23">
        <w:rPr>
          <w:rFonts w:cs="Times New Roman"/>
          <w:szCs w:val="18"/>
        </w:rPr>
        <w:t xml:space="preserve">Na construção do IMRS os indicadores de cada dimensão são transformados em índices, com valores entre 0 e 1, pela fórmula geral: (Valor observado - pior valor) / (melhor valor - pior valor). O índice de cada dimensão é obtido por meio da média ponderada dos índices dos indicadores que o compõem. Da mesma forma, calcula-se o índice de cada dimensão (média ponderada dos índices dos temas que a compõem) e o IMRS (média ponderada dos índices das dimensões). Os pesos definidos para cada dimensão são: Educação (15%); Saúde (15%); Segurança Pública (12%); Meio ambiente e habitação (10%); Cultura (9%); Esporte, Turismo e Lazer (1%), Renda e emprego (13%); Assistência Social (12%) e Finanças Municipais (13%), conforme FJP (2013). </w:t>
      </w:r>
    </w:p>
  </w:footnote>
  <w:footnote w:id="12">
    <w:p w:rsidR="004F77E2" w:rsidRDefault="004F77E2" w:rsidP="00E32574">
      <w:pPr>
        <w:pStyle w:val="Textodenotaderodap"/>
      </w:pPr>
      <w:r w:rsidRPr="00253475">
        <w:rPr>
          <w:rStyle w:val="Refdenotaderodap"/>
        </w:rPr>
        <w:footnoteRef/>
      </w:r>
      <w:r w:rsidRPr="00253475">
        <w:t xml:space="preserve"> Para fins de esclarecimentos, é utilizado o termo surgência para a definição de nascentes e/ou minas d’água.</w:t>
      </w:r>
    </w:p>
  </w:footnote>
  <w:footnote w:id="13">
    <w:p w:rsidR="004F77E2" w:rsidRDefault="004F77E2" w:rsidP="00571B53">
      <w:pPr>
        <w:pStyle w:val="Textodenotaderodap"/>
        <w:jc w:val="both"/>
      </w:pPr>
      <w:r>
        <w:rPr>
          <w:rStyle w:val="Refdenotaderodap"/>
        </w:rPr>
        <w:footnoteRef/>
      </w:r>
      <w:r>
        <w:t xml:space="preserve"> </w:t>
      </w:r>
      <w:r w:rsidRPr="00E549C8">
        <w:t>Considerando os Reservatório de São João do Capim, Santa Terezinha e São José do Limoeiro, todos na Zona Rural.</w:t>
      </w:r>
    </w:p>
  </w:footnote>
  <w:footnote w:id="14">
    <w:p w:rsidR="004F77E2" w:rsidRDefault="004F77E2" w:rsidP="00E32574">
      <w:pPr>
        <w:pStyle w:val="Textodenotaderodap"/>
        <w:jc w:val="both"/>
      </w:pPr>
      <w:r>
        <w:rPr>
          <w:rStyle w:val="Refdenotaderodap"/>
        </w:rPr>
        <w:footnoteRef/>
      </w:r>
      <w:r>
        <w:t xml:space="preserve"> </w:t>
      </w:r>
      <w:r w:rsidRPr="00E11E1B">
        <w:t>Tecnologia para medição e a comunicação de informações. Funciona por meio de transmissão sem fio (sinal de rádio), daí o nome telemetria. Muitas vezes é utilizada com o Datalog, que tem a função de gravar um período de tempo da leitura dos canais de telemetria. É muito utilizada em coleta de dados meteorológicos.</w:t>
      </w:r>
    </w:p>
  </w:footnote>
  <w:footnote w:id="15">
    <w:p w:rsidR="004F77E2" w:rsidRDefault="004F77E2" w:rsidP="00E32574">
      <w:pPr>
        <w:pStyle w:val="Textodenotaderodap"/>
        <w:jc w:val="both"/>
      </w:pPr>
      <w:r>
        <w:rPr>
          <w:rStyle w:val="Refdenotaderodap"/>
        </w:rPr>
        <w:footnoteRef/>
      </w:r>
      <w:r>
        <w:t xml:space="preserve"> </w:t>
      </w:r>
      <w:r w:rsidRPr="008220BF">
        <w:t>Floculação é a agregação de partículas finas em suspensão em um líquido, chamados flocos ou floculados.</w:t>
      </w:r>
    </w:p>
  </w:footnote>
  <w:footnote w:id="16">
    <w:p w:rsidR="004F77E2" w:rsidRDefault="004F77E2" w:rsidP="00E32574">
      <w:pPr>
        <w:pStyle w:val="Textodenotaderodap"/>
        <w:jc w:val="both"/>
      </w:pPr>
      <w:r w:rsidRPr="008220BF">
        <w:rPr>
          <w:rStyle w:val="Refdenotaderodap"/>
        </w:rPr>
        <w:footnoteRef/>
      </w:r>
      <w:r w:rsidRPr="008220BF">
        <w:t xml:space="preserve"> Composto químico (NaClO) utilizado como desinfetante.</w:t>
      </w:r>
      <w:r>
        <w:t xml:space="preserve"> </w:t>
      </w:r>
    </w:p>
  </w:footnote>
  <w:footnote w:id="17">
    <w:p w:rsidR="004F77E2" w:rsidRDefault="004F77E2" w:rsidP="00E32574">
      <w:pPr>
        <w:pStyle w:val="Textodenotaderodap"/>
      </w:pPr>
      <w:r w:rsidRPr="00FF67E4">
        <w:rPr>
          <w:rStyle w:val="Refdenotaderodap"/>
        </w:rPr>
        <w:footnoteRef/>
      </w:r>
      <w:r w:rsidRPr="00FF67E4">
        <w:t xml:space="preserve"> Complementada e alterada pela Resolução n° 430, de 13 de maio de 2011 do Conselho Nacional de Meio Ambiente – CONAMA.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77E2" w:rsidRPr="00E94D50" w:rsidRDefault="004F77E2" w:rsidP="00497B30">
    <w:pPr>
      <w:pStyle w:val="Cabealho"/>
      <w:jc w:val="center"/>
      <w:rPr>
        <w:rFonts w:cs="Times New Roman"/>
      </w:rPr>
    </w:pPr>
    <w:r w:rsidRPr="00E94D50">
      <w:rPr>
        <w:rFonts w:cs="Times New Roman"/>
        <w:noProof/>
        <w:lang w:eastAsia="pt-BR"/>
      </w:rPr>
      <w:drawing>
        <wp:anchor distT="0" distB="0" distL="114300" distR="114300" simplePos="0" relativeHeight="251671552" behindDoc="1" locked="0" layoutInCell="1" allowOverlap="1">
          <wp:simplePos x="0" y="0"/>
          <wp:positionH relativeFrom="column">
            <wp:posOffset>4663440</wp:posOffset>
          </wp:positionH>
          <wp:positionV relativeFrom="paragraph">
            <wp:posOffset>-182880</wp:posOffset>
          </wp:positionV>
          <wp:extent cx="781050" cy="714375"/>
          <wp:effectExtent l="0" t="0" r="0" b="0"/>
          <wp:wrapNone/>
          <wp:docPr id="62"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1050" cy="714375"/>
                  </a:xfrm>
                  <a:prstGeom prst="rect">
                    <a:avLst/>
                  </a:prstGeom>
                </pic:spPr>
              </pic:pic>
            </a:graphicData>
          </a:graphic>
        </wp:anchor>
      </w:drawing>
    </w:r>
    <w:r w:rsidRPr="00E94D50">
      <w:rPr>
        <w:rFonts w:cs="Times New Roman"/>
        <w:noProof/>
        <w:lang w:eastAsia="pt-BR"/>
      </w:rPr>
      <w:drawing>
        <wp:anchor distT="0" distB="0" distL="114300" distR="114300" simplePos="0" relativeHeight="251659264" behindDoc="0" locked="0" layoutInCell="1" allowOverlap="1">
          <wp:simplePos x="0" y="0"/>
          <wp:positionH relativeFrom="column">
            <wp:posOffset>5715</wp:posOffset>
          </wp:positionH>
          <wp:positionV relativeFrom="paragraph">
            <wp:posOffset>-182880</wp:posOffset>
          </wp:positionV>
          <wp:extent cx="590550" cy="714375"/>
          <wp:effectExtent l="0" t="0" r="0" b="0"/>
          <wp:wrapNone/>
          <wp:docPr id="63"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
                  <a:stretch>
                    <a:fillRect/>
                  </a:stretch>
                </pic:blipFill>
                <pic:spPr>
                  <a:xfrm>
                    <a:off x="0" y="0"/>
                    <a:ext cx="590550" cy="714375"/>
                  </a:xfrm>
                  <a:prstGeom prst="rect">
                    <a:avLst/>
                  </a:prstGeom>
                </pic:spPr>
              </pic:pic>
            </a:graphicData>
          </a:graphic>
        </wp:anchor>
      </w:drawing>
    </w:r>
    <w:r w:rsidRPr="00E94D50">
      <w:rPr>
        <w:rFonts w:cs="Times New Roman"/>
      </w:rPr>
      <w:t>MUNICÍPIO DE AIMORÉS - MINAS GERAIS</w:t>
    </w:r>
  </w:p>
  <w:p w:rsidR="004F77E2" w:rsidRPr="00E94D50" w:rsidRDefault="004F77E2" w:rsidP="00497B30">
    <w:pPr>
      <w:pStyle w:val="Cabealho"/>
      <w:jc w:val="center"/>
      <w:rPr>
        <w:rFonts w:cs="Times New Roman"/>
      </w:rPr>
    </w:pPr>
    <w:r w:rsidRPr="00E94D50">
      <w:rPr>
        <w:rFonts w:cs="Times New Roman"/>
      </w:rPr>
      <w:t>Plano Municipal de Saneamento Básico</w:t>
    </w:r>
  </w:p>
  <w:p w:rsidR="004F77E2" w:rsidRPr="00E94D50" w:rsidRDefault="004F77E2" w:rsidP="00497B30">
    <w:pPr>
      <w:pStyle w:val="Cabealho"/>
      <w:jc w:val="center"/>
      <w:rPr>
        <w:rFonts w:cs="Times New Roman"/>
      </w:rPr>
    </w:pPr>
    <w:r>
      <w:rPr>
        <w:rFonts w:cs="Times New Roman"/>
      </w:rPr>
      <w:t>Relatório do Diagnóstico Técnico-Participativo</w:t>
    </w:r>
  </w:p>
  <w:p w:rsidR="004F77E2" w:rsidRPr="00483EC2" w:rsidRDefault="004F77E2" w:rsidP="0038012F">
    <w:pPr>
      <w:pStyle w:val="Cabealho"/>
      <w:jc w:val="center"/>
      <w:rPr>
        <w:rFonts w:cs="Arial"/>
      </w:rPr>
    </w:pPr>
    <w:r>
      <w:pict>
        <v:rect id="_x0000_i1025" style="width:425.2pt;height:3pt" o:hralign="center" o:hrstd="t" o:hrnoshade="t" o:hr="t" fillcolor="black [3213]" stroked="f"/>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77E2" w:rsidRDefault="004F77E2">
    <w:pPr>
      <w:pStyle w:val="Cabealho"/>
      <w:jc w:val="right"/>
    </w:pPr>
  </w:p>
  <w:p w:rsidR="004F77E2" w:rsidRDefault="004F77E2">
    <w:pPr>
      <w:pStyle w:val="Cabealho"/>
      <w:jc w:val="right"/>
    </w:pPr>
  </w:p>
  <w:p w:rsidR="004F77E2" w:rsidRDefault="004F77E2">
    <w:pPr>
      <w:pStyle w:val="Cabealho"/>
      <w:jc w:val="right"/>
    </w:pPr>
  </w:p>
  <w:p w:rsidR="004F77E2" w:rsidRDefault="004F77E2">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77E2" w:rsidRPr="00E94D50" w:rsidRDefault="004F77E2" w:rsidP="00497B30">
    <w:pPr>
      <w:pStyle w:val="Cabealho"/>
      <w:jc w:val="center"/>
      <w:rPr>
        <w:rFonts w:cs="Times New Roman"/>
      </w:rPr>
    </w:pPr>
    <w:r w:rsidRPr="00E94D50">
      <w:rPr>
        <w:rFonts w:cs="Times New Roman"/>
        <w:noProof/>
        <w:lang w:eastAsia="pt-BR"/>
      </w:rPr>
      <w:drawing>
        <wp:anchor distT="0" distB="0" distL="114300" distR="114300" simplePos="0" relativeHeight="251661312" behindDoc="1" locked="0" layoutInCell="1" allowOverlap="1" wp14:anchorId="5BD9E6B4" wp14:editId="517466A0">
          <wp:simplePos x="0" y="0"/>
          <wp:positionH relativeFrom="column">
            <wp:posOffset>4663440</wp:posOffset>
          </wp:positionH>
          <wp:positionV relativeFrom="paragraph">
            <wp:posOffset>-182880</wp:posOffset>
          </wp:positionV>
          <wp:extent cx="781050" cy="714375"/>
          <wp:effectExtent l="0" t="0" r="0" b="0"/>
          <wp:wrapNone/>
          <wp:docPr id="15"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1050" cy="714375"/>
                  </a:xfrm>
                  <a:prstGeom prst="rect">
                    <a:avLst/>
                  </a:prstGeom>
                </pic:spPr>
              </pic:pic>
            </a:graphicData>
          </a:graphic>
        </wp:anchor>
      </w:drawing>
    </w:r>
    <w:r w:rsidRPr="00E94D50">
      <w:rPr>
        <w:rFonts w:cs="Times New Roman"/>
        <w:noProof/>
        <w:lang w:eastAsia="pt-BR"/>
      </w:rPr>
      <w:drawing>
        <wp:anchor distT="0" distB="0" distL="114300" distR="114300" simplePos="0" relativeHeight="251649024" behindDoc="0" locked="0" layoutInCell="1" allowOverlap="1" wp14:anchorId="7991DCCA" wp14:editId="6BD03B53">
          <wp:simplePos x="0" y="0"/>
          <wp:positionH relativeFrom="column">
            <wp:posOffset>5715</wp:posOffset>
          </wp:positionH>
          <wp:positionV relativeFrom="paragraph">
            <wp:posOffset>-182880</wp:posOffset>
          </wp:positionV>
          <wp:extent cx="590550" cy="714375"/>
          <wp:effectExtent l="0" t="0" r="0" b="0"/>
          <wp:wrapNone/>
          <wp:docPr id="16"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
                  <a:stretch>
                    <a:fillRect/>
                  </a:stretch>
                </pic:blipFill>
                <pic:spPr>
                  <a:xfrm>
                    <a:off x="0" y="0"/>
                    <a:ext cx="590550" cy="714375"/>
                  </a:xfrm>
                  <a:prstGeom prst="rect">
                    <a:avLst/>
                  </a:prstGeom>
                </pic:spPr>
              </pic:pic>
            </a:graphicData>
          </a:graphic>
        </wp:anchor>
      </w:drawing>
    </w:r>
    <w:r w:rsidRPr="00E94D50">
      <w:rPr>
        <w:rFonts w:cs="Times New Roman"/>
      </w:rPr>
      <w:t>MUNICÍPIO DE AIMORÉS - MINAS GERAIS</w:t>
    </w:r>
  </w:p>
  <w:p w:rsidR="004F77E2" w:rsidRPr="00E94D50" w:rsidRDefault="004F77E2" w:rsidP="00497B30">
    <w:pPr>
      <w:pStyle w:val="Cabealho"/>
      <w:jc w:val="center"/>
      <w:rPr>
        <w:rFonts w:cs="Times New Roman"/>
      </w:rPr>
    </w:pPr>
    <w:r w:rsidRPr="00E94D50">
      <w:rPr>
        <w:rFonts w:cs="Times New Roman"/>
      </w:rPr>
      <w:t>Plano Municipal de Saneamento Básico</w:t>
    </w:r>
  </w:p>
  <w:p w:rsidR="004F77E2" w:rsidRPr="00E94D50" w:rsidRDefault="004F77E2" w:rsidP="00497B30">
    <w:pPr>
      <w:pStyle w:val="Cabealho"/>
      <w:jc w:val="center"/>
      <w:rPr>
        <w:rFonts w:cs="Times New Roman"/>
      </w:rPr>
    </w:pPr>
    <w:r>
      <w:rPr>
        <w:rFonts w:cs="Times New Roman"/>
      </w:rPr>
      <w:t>Relatório do Diagnóstico Técnico-Participativo</w:t>
    </w:r>
  </w:p>
  <w:p w:rsidR="004F77E2" w:rsidRPr="00483EC2" w:rsidRDefault="004F77E2" w:rsidP="0038012F">
    <w:pPr>
      <w:pStyle w:val="Cabealho"/>
      <w:jc w:val="center"/>
      <w:rPr>
        <w:rFonts w:cs="Arial"/>
      </w:rPr>
    </w:pPr>
    <w:r>
      <w:pict>
        <v:rect id="_x0000_i1028" style="width:425.2pt;height:3pt" o:hralign="center" o:hrstd="t" o:hrnoshade="t" o:hr="t" fillcolor="black [3213]" stroked="f"/>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F77E2" w:rsidRPr="00E94D50" w:rsidRDefault="004F77E2" w:rsidP="00497B30">
    <w:pPr>
      <w:pStyle w:val="Cabealho"/>
      <w:jc w:val="center"/>
      <w:rPr>
        <w:rFonts w:cs="Times New Roman"/>
      </w:rPr>
    </w:pPr>
    <w:r w:rsidRPr="00E94D50">
      <w:rPr>
        <w:rFonts w:cs="Times New Roman"/>
        <w:noProof/>
        <w:lang w:eastAsia="pt-BR"/>
      </w:rPr>
      <w:drawing>
        <wp:anchor distT="0" distB="0" distL="114300" distR="114300" simplePos="0" relativeHeight="251646976" behindDoc="1" locked="0" layoutInCell="1" allowOverlap="1" wp14:anchorId="33BAACB9" wp14:editId="1B810D07">
          <wp:simplePos x="0" y="0"/>
          <wp:positionH relativeFrom="column">
            <wp:posOffset>8105775</wp:posOffset>
          </wp:positionH>
          <wp:positionV relativeFrom="paragraph">
            <wp:posOffset>-163830</wp:posOffset>
          </wp:positionV>
          <wp:extent cx="781050" cy="714375"/>
          <wp:effectExtent l="0" t="0" r="0" b="0"/>
          <wp:wrapNone/>
          <wp:docPr id="34"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1050" cy="714375"/>
                  </a:xfrm>
                  <a:prstGeom prst="rect">
                    <a:avLst/>
                  </a:prstGeom>
                </pic:spPr>
              </pic:pic>
            </a:graphicData>
          </a:graphic>
        </wp:anchor>
      </w:drawing>
    </w:r>
    <w:r w:rsidRPr="00E94D50">
      <w:rPr>
        <w:rFonts w:cs="Times New Roman"/>
        <w:noProof/>
        <w:lang w:eastAsia="pt-BR"/>
      </w:rPr>
      <w:drawing>
        <wp:anchor distT="0" distB="0" distL="114300" distR="114300" simplePos="0" relativeHeight="251644928" behindDoc="0" locked="0" layoutInCell="1" allowOverlap="1" wp14:anchorId="3E42A4A4" wp14:editId="1DB2FC40">
          <wp:simplePos x="0" y="0"/>
          <wp:positionH relativeFrom="column">
            <wp:posOffset>5715</wp:posOffset>
          </wp:positionH>
          <wp:positionV relativeFrom="paragraph">
            <wp:posOffset>-182880</wp:posOffset>
          </wp:positionV>
          <wp:extent cx="590550" cy="714375"/>
          <wp:effectExtent l="0" t="0" r="0" b="0"/>
          <wp:wrapNone/>
          <wp:docPr id="35"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
                  <a:stretch>
                    <a:fillRect/>
                  </a:stretch>
                </pic:blipFill>
                <pic:spPr>
                  <a:xfrm>
                    <a:off x="0" y="0"/>
                    <a:ext cx="590550" cy="714375"/>
                  </a:xfrm>
                  <a:prstGeom prst="rect">
                    <a:avLst/>
                  </a:prstGeom>
                </pic:spPr>
              </pic:pic>
            </a:graphicData>
          </a:graphic>
        </wp:anchor>
      </w:drawing>
    </w:r>
    <w:r w:rsidRPr="00E94D50">
      <w:rPr>
        <w:rFonts w:cs="Times New Roman"/>
      </w:rPr>
      <w:t>MUNICÍPIO DE AIMORÉS - MINAS GERAIS</w:t>
    </w:r>
  </w:p>
  <w:p w:rsidR="004F77E2" w:rsidRPr="00E94D50" w:rsidRDefault="004F77E2" w:rsidP="00497B30">
    <w:pPr>
      <w:pStyle w:val="Cabealho"/>
      <w:jc w:val="center"/>
      <w:rPr>
        <w:rFonts w:cs="Times New Roman"/>
      </w:rPr>
    </w:pPr>
    <w:r w:rsidRPr="00E94D50">
      <w:rPr>
        <w:rFonts w:cs="Times New Roman"/>
      </w:rPr>
      <w:t>Plano Municipal de Saneamento Básico</w:t>
    </w:r>
  </w:p>
  <w:p w:rsidR="004F77E2" w:rsidRPr="00E94D50" w:rsidRDefault="004F77E2" w:rsidP="00497B30">
    <w:pPr>
      <w:pStyle w:val="Cabealho"/>
      <w:jc w:val="center"/>
      <w:rPr>
        <w:rFonts w:cs="Times New Roman"/>
      </w:rPr>
    </w:pPr>
    <w:r>
      <w:rPr>
        <w:rFonts w:cs="Times New Roman"/>
      </w:rPr>
      <w:t>Relatório do Diagnóstico Técnico-Participativo</w:t>
    </w:r>
  </w:p>
  <w:p w:rsidR="004F77E2" w:rsidRDefault="004F77E2" w:rsidP="00033760">
    <w:pPr>
      <w:pStyle w:val="Cabealho"/>
      <w:jc w:val="right"/>
    </w:pPr>
    <w:r>
      <w:pict>
        <v:rect id="_x0000_i1029" style="width:425.2pt;height:3pt" o:hralign="center" o:hrstd="t" o:hrnoshade="t" o:hr="t" fillcolor="black [3213]" stroked="f"/>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C06AC3"/>
    <w:multiLevelType w:val="hybridMultilevel"/>
    <w:tmpl w:val="185E3428"/>
    <w:lvl w:ilvl="0" w:tplc="F23EBDBE">
      <w:start w:val="1"/>
      <w:numFmt w:val="bullet"/>
      <w:lvlText w:val=""/>
      <w:lvlJc w:val="left"/>
      <w:pPr>
        <w:ind w:left="1288" w:hanging="360"/>
      </w:pPr>
      <w:rPr>
        <w:rFonts w:ascii="Symbol" w:hAnsi="Symbol" w:hint="default"/>
        <w:sz w:val="22"/>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1">
    <w:nsid w:val="060A5DAE"/>
    <w:multiLevelType w:val="hybridMultilevel"/>
    <w:tmpl w:val="67940B76"/>
    <w:lvl w:ilvl="0" w:tplc="F23EBDBE">
      <w:start w:val="1"/>
      <w:numFmt w:val="bullet"/>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2">
    <w:nsid w:val="07370A3D"/>
    <w:multiLevelType w:val="multilevel"/>
    <w:tmpl w:val="CB74C66E"/>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pStyle w:val="TTULO3"/>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
    <w:nsid w:val="083B7087"/>
    <w:multiLevelType w:val="hybridMultilevel"/>
    <w:tmpl w:val="918C4352"/>
    <w:lvl w:ilvl="0" w:tplc="F23EBDBE">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4">
    <w:nsid w:val="08BB18EC"/>
    <w:multiLevelType w:val="hybridMultilevel"/>
    <w:tmpl w:val="B5CE1B86"/>
    <w:lvl w:ilvl="0" w:tplc="F23EBDBE">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094B36F9"/>
    <w:multiLevelType w:val="hybridMultilevel"/>
    <w:tmpl w:val="4A8EC134"/>
    <w:lvl w:ilvl="0" w:tplc="F23EBDBE">
      <w:start w:val="1"/>
      <w:numFmt w:val="bullet"/>
      <w:lvlText w:val=""/>
      <w:lvlJc w:val="left"/>
      <w:pPr>
        <w:ind w:left="2084" w:hanging="360"/>
      </w:pPr>
      <w:rPr>
        <w:rFonts w:ascii="Symbol" w:hAnsi="Symbol" w:hint="default"/>
        <w:sz w:val="22"/>
      </w:rPr>
    </w:lvl>
    <w:lvl w:ilvl="1" w:tplc="04160003" w:tentative="1">
      <w:start w:val="1"/>
      <w:numFmt w:val="bullet"/>
      <w:lvlText w:val="o"/>
      <w:lvlJc w:val="left"/>
      <w:pPr>
        <w:ind w:left="2804" w:hanging="360"/>
      </w:pPr>
      <w:rPr>
        <w:rFonts w:ascii="Courier New" w:hAnsi="Courier New" w:cs="Courier New" w:hint="default"/>
      </w:rPr>
    </w:lvl>
    <w:lvl w:ilvl="2" w:tplc="04160005" w:tentative="1">
      <w:start w:val="1"/>
      <w:numFmt w:val="bullet"/>
      <w:lvlText w:val=""/>
      <w:lvlJc w:val="left"/>
      <w:pPr>
        <w:ind w:left="3524" w:hanging="360"/>
      </w:pPr>
      <w:rPr>
        <w:rFonts w:ascii="Wingdings" w:hAnsi="Wingdings" w:hint="default"/>
      </w:rPr>
    </w:lvl>
    <w:lvl w:ilvl="3" w:tplc="04160001" w:tentative="1">
      <w:start w:val="1"/>
      <w:numFmt w:val="bullet"/>
      <w:lvlText w:val=""/>
      <w:lvlJc w:val="left"/>
      <w:pPr>
        <w:ind w:left="4244" w:hanging="360"/>
      </w:pPr>
      <w:rPr>
        <w:rFonts w:ascii="Symbol" w:hAnsi="Symbol" w:hint="default"/>
      </w:rPr>
    </w:lvl>
    <w:lvl w:ilvl="4" w:tplc="04160003" w:tentative="1">
      <w:start w:val="1"/>
      <w:numFmt w:val="bullet"/>
      <w:lvlText w:val="o"/>
      <w:lvlJc w:val="left"/>
      <w:pPr>
        <w:ind w:left="4964" w:hanging="360"/>
      </w:pPr>
      <w:rPr>
        <w:rFonts w:ascii="Courier New" w:hAnsi="Courier New" w:cs="Courier New" w:hint="default"/>
      </w:rPr>
    </w:lvl>
    <w:lvl w:ilvl="5" w:tplc="04160005" w:tentative="1">
      <w:start w:val="1"/>
      <w:numFmt w:val="bullet"/>
      <w:lvlText w:val=""/>
      <w:lvlJc w:val="left"/>
      <w:pPr>
        <w:ind w:left="5684" w:hanging="360"/>
      </w:pPr>
      <w:rPr>
        <w:rFonts w:ascii="Wingdings" w:hAnsi="Wingdings" w:hint="default"/>
      </w:rPr>
    </w:lvl>
    <w:lvl w:ilvl="6" w:tplc="04160001" w:tentative="1">
      <w:start w:val="1"/>
      <w:numFmt w:val="bullet"/>
      <w:lvlText w:val=""/>
      <w:lvlJc w:val="left"/>
      <w:pPr>
        <w:ind w:left="6404" w:hanging="360"/>
      </w:pPr>
      <w:rPr>
        <w:rFonts w:ascii="Symbol" w:hAnsi="Symbol" w:hint="default"/>
      </w:rPr>
    </w:lvl>
    <w:lvl w:ilvl="7" w:tplc="04160003" w:tentative="1">
      <w:start w:val="1"/>
      <w:numFmt w:val="bullet"/>
      <w:lvlText w:val="o"/>
      <w:lvlJc w:val="left"/>
      <w:pPr>
        <w:ind w:left="7124" w:hanging="360"/>
      </w:pPr>
      <w:rPr>
        <w:rFonts w:ascii="Courier New" w:hAnsi="Courier New" w:cs="Courier New" w:hint="default"/>
      </w:rPr>
    </w:lvl>
    <w:lvl w:ilvl="8" w:tplc="04160005" w:tentative="1">
      <w:start w:val="1"/>
      <w:numFmt w:val="bullet"/>
      <w:lvlText w:val=""/>
      <w:lvlJc w:val="left"/>
      <w:pPr>
        <w:ind w:left="7844" w:hanging="360"/>
      </w:pPr>
      <w:rPr>
        <w:rFonts w:ascii="Wingdings" w:hAnsi="Wingdings" w:hint="default"/>
      </w:rPr>
    </w:lvl>
  </w:abstractNum>
  <w:abstractNum w:abstractNumId="6">
    <w:nsid w:val="10716109"/>
    <w:multiLevelType w:val="hybridMultilevel"/>
    <w:tmpl w:val="9CD2A060"/>
    <w:lvl w:ilvl="0" w:tplc="F23EBDBE">
      <w:start w:val="1"/>
      <w:numFmt w:val="bullet"/>
      <w:lvlText w:val=""/>
      <w:lvlJc w:val="left"/>
      <w:pPr>
        <w:ind w:left="1004" w:hanging="360"/>
      </w:pPr>
      <w:rPr>
        <w:rFonts w:ascii="Symbol" w:hAnsi="Symbol" w:hint="default"/>
      </w:rPr>
    </w:lvl>
    <w:lvl w:ilvl="1" w:tplc="D9E489E6">
      <w:numFmt w:val="bullet"/>
      <w:lvlText w:val="·"/>
      <w:lvlJc w:val="left"/>
      <w:pPr>
        <w:ind w:left="1724" w:hanging="360"/>
      </w:pPr>
      <w:rPr>
        <w:rFonts w:ascii="Times New Roman" w:eastAsiaTheme="minorHAnsi" w:hAnsi="Times New Roman" w:cs="Times New Roman"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7">
    <w:nsid w:val="10E010EE"/>
    <w:multiLevelType w:val="hybridMultilevel"/>
    <w:tmpl w:val="6B6EF3FC"/>
    <w:lvl w:ilvl="0" w:tplc="F23EBDBE">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12835148"/>
    <w:multiLevelType w:val="hybridMultilevel"/>
    <w:tmpl w:val="D81C2A34"/>
    <w:lvl w:ilvl="0" w:tplc="F23EBDBE">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9">
    <w:nsid w:val="12DB0718"/>
    <w:multiLevelType w:val="hybridMultilevel"/>
    <w:tmpl w:val="C5F00404"/>
    <w:lvl w:ilvl="0" w:tplc="F23EBDBE">
      <w:start w:val="1"/>
      <w:numFmt w:val="bullet"/>
      <w:lvlText w:val=""/>
      <w:lvlJc w:val="left"/>
      <w:pPr>
        <w:ind w:left="720" w:hanging="360"/>
      </w:pPr>
      <w:rPr>
        <w:rFonts w:ascii="Symbol" w:hAnsi="Symbol" w:hint="default"/>
        <w:sz w:val="2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148724F9"/>
    <w:multiLevelType w:val="hybridMultilevel"/>
    <w:tmpl w:val="5A446872"/>
    <w:lvl w:ilvl="0" w:tplc="F23EBDBE">
      <w:start w:val="1"/>
      <w:numFmt w:val="bullet"/>
      <w:lvlText w:val=""/>
      <w:lvlJc w:val="left"/>
      <w:pPr>
        <w:ind w:left="2084" w:hanging="360"/>
      </w:pPr>
      <w:rPr>
        <w:rFonts w:ascii="Symbol" w:hAnsi="Symbol" w:hint="default"/>
        <w:sz w:val="22"/>
      </w:rPr>
    </w:lvl>
    <w:lvl w:ilvl="1" w:tplc="04160003" w:tentative="1">
      <w:start w:val="1"/>
      <w:numFmt w:val="bullet"/>
      <w:lvlText w:val="o"/>
      <w:lvlJc w:val="left"/>
      <w:pPr>
        <w:ind w:left="2804" w:hanging="360"/>
      </w:pPr>
      <w:rPr>
        <w:rFonts w:ascii="Courier New" w:hAnsi="Courier New" w:cs="Courier New" w:hint="default"/>
      </w:rPr>
    </w:lvl>
    <w:lvl w:ilvl="2" w:tplc="04160005" w:tentative="1">
      <w:start w:val="1"/>
      <w:numFmt w:val="bullet"/>
      <w:lvlText w:val=""/>
      <w:lvlJc w:val="left"/>
      <w:pPr>
        <w:ind w:left="3524" w:hanging="360"/>
      </w:pPr>
      <w:rPr>
        <w:rFonts w:ascii="Wingdings" w:hAnsi="Wingdings" w:hint="default"/>
      </w:rPr>
    </w:lvl>
    <w:lvl w:ilvl="3" w:tplc="04160001" w:tentative="1">
      <w:start w:val="1"/>
      <w:numFmt w:val="bullet"/>
      <w:lvlText w:val=""/>
      <w:lvlJc w:val="left"/>
      <w:pPr>
        <w:ind w:left="4244" w:hanging="360"/>
      </w:pPr>
      <w:rPr>
        <w:rFonts w:ascii="Symbol" w:hAnsi="Symbol" w:hint="default"/>
      </w:rPr>
    </w:lvl>
    <w:lvl w:ilvl="4" w:tplc="04160003" w:tentative="1">
      <w:start w:val="1"/>
      <w:numFmt w:val="bullet"/>
      <w:lvlText w:val="o"/>
      <w:lvlJc w:val="left"/>
      <w:pPr>
        <w:ind w:left="4964" w:hanging="360"/>
      </w:pPr>
      <w:rPr>
        <w:rFonts w:ascii="Courier New" w:hAnsi="Courier New" w:cs="Courier New" w:hint="default"/>
      </w:rPr>
    </w:lvl>
    <w:lvl w:ilvl="5" w:tplc="04160005" w:tentative="1">
      <w:start w:val="1"/>
      <w:numFmt w:val="bullet"/>
      <w:lvlText w:val=""/>
      <w:lvlJc w:val="left"/>
      <w:pPr>
        <w:ind w:left="5684" w:hanging="360"/>
      </w:pPr>
      <w:rPr>
        <w:rFonts w:ascii="Wingdings" w:hAnsi="Wingdings" w:hint="default"/>
      </w:rPr>
    </w:lvl>
    <w:lvl w:ilvl="6" w:tplc="04160001" w:tentative="1">
      <w:start w:val="1"/>
      <w:numFmt w:val="bullet"/>
      <w:lvlText w:val=""/>
      <w:lvlJc w:val="left"/>
      <w:pPr>
        <w:ind w:left="6404" w:hanging="360"/>
      </w:pPr>
      <w:rPr>
        <w:rFonts w:ascii="Symbol" w:hAnsi="Symbol" w:hint="default"/>
      </w:rPr>
    </w:lvl>
    <w:lvl w:ilvl="7" w:tplc="04160003" w:tentative="1">
      <w:start w:val="1"/>
      <w:numFmt w:val="bullet"/>
      <w:lvlText w:val="o"/>
      <w:lvlJc w:val="left"/>
      <w:pPr>
        <w:ind w:left="7124" w:hanging="360"/>
      </w:pPr>
      <w:rPr>
        <w:rFonts w:ascii="Courier New" w:hAnsi="Courier New" w:cs="Courier New" w:hint="default"/>
      </w:rPr>
    </w:lvl>
    <w:lvl w:ilvl="8" w:tplc="04160005" w:tentative="1">
      <w:start w:val="1"/>
      <w:numFmt w:val="bullet"/>
      <w:lvlText w:val=""/>
      <w:lvlJc w:val="left"/>
      <w:pPr>
        <w:ind w:left="7844" w:hanging="360"/>
      </w:pPr>
      <w:rPr>
        <w:rFonts w:ascii="Wingdings" w:hAnsi="Wingdings" w:hint="default"/>
      </w:rPr>
    </w:lvl>
  </w:abstractNum>
  <w:abstractNum w:abstractNumId="11">
    <w:nsid w:val="17AF5AF5"/>
    <w:multiLevelType w:val="hybridMultilevel"/>
    <w:tmpl w:val="4CBC2312"/>
    <w:lvl w:ilvl="0" w:tplc="F23EBDBE">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19837D51"/>
    <w:multiLevelType w:val="hybridMultilevel"/>
    <w:tmpl w:val="A82C1960"/>
    <w:lvl w:ilvl="0" w:tplc="F23EBDBE">
      <w:start w:val="1"/>
      <w:numFmt w:val="bullet"/>
      <w:lvlText w:val=""/>
      <w:lvlJc w:val="left"/>
      <w:pPr>
        <w:ind w:left="1288" w:hanging="360"/>
      </w:pPr>
      <w:rPr>
        <w:rFonts w:ascii="Symbol" w:hAnsi="Symbol" w:hint="default"/>
        <w:sz w:val="22"/>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13">
    <w:nsid w:val="1DBA2A7D"/>
    <w:multiLevelType w:val="hybridMultilevel"/>
    <w:tmpl w:val="83501F02"/>
    <w:lvl w:ilvl="0" w:tplc="F23EBDBE">
      <w:start w:val="1"/>
      <w:numFmt w:val="bullet"/>
      <w:lvlText w:val=""/>
      <w:lvlJc w:val="left"/>
      <w:pPr>
        <w:ind w:left="720" w:hanging="360"/>
      </w:pPr>
      <w:rPr>
        <w:rFonts w:ascii="Symbol" w:hAnsi="Symbol" w:hint="default"/>
        <w:sz w:val="2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1FD60023"/>
    <w:multiLevelType w:val="hybridMultilevel"/>
    <w:tmpl w:val="BED6A786"/>
    <w:lvl w:ilvl="0" w:tplc="F23EBDBE">
      <w:start w:val="1"/>
      <w:numFmt w:val="bullet"/>
      <w:lvlText w:val=""/>
      <w:lvlJc w:val="left"/>
      <w:pPr>
        <w:ind w:left="1920" w:hanging="360"/>
      </w:pPr>
      <w:rPr>
        <w:rFonts w:ascii="Symbol" w:hAnsi="Symbol" w:hint="default"/>
        <w:sz w:val="22"/>
      </w:rPr>
    </w:lvl>
    <w:lvl w:ilvl="1" w:tplc="04160003" w:tentative="1">
      <w:start w:val="1"/>
      <w:numFmt w:val="bullet"/>
      <w:lvlText w:val="o"/>
      <w:lvlJc w:val="left"/>
      <w:pPr>
        <w:ind w:left="2640" w:hanging="360"/>
      </w:pPr>
      <w:rPr>
        <w:rFonts w:ascii="Courier New" w:hAnsi="Courier New" w:cs="Courier New" w:hint="default"/>
      </w:rPr>
    </w:lvl>
    <w:lvl w:ilvl="2" w:tplc="04160005" w:tentative="1">
      <w:start w:val="1"/>
      <w:numFmt w:val="bullet"/>
      <w:lvlText w:val=""/>
      <w:lvlJc w:val="left"/>
      <w:pPr>
        <w:ind w:left="3360" w:hanging="360"/>
      </w:pPr>
      <w:rPr>
        <w:rFonts w:ascii="Wingdings" w:hAnsi="Wingdings" w:hint="default"/>
      </w:rPr>
    </w:lvl>
    <w:lvl w:ilvl="3" w:tplc="04160001" w:tentative="1">
      <w:start w:val="1"/>
      <w:numFmt w:val="bullet"/>
      <w:lvlText w:val=""/>
      <w:lvlJc w:val="left"/>
      <w:pPr>
        <w:ind w:left="4080" w:hanging="360"/>
      </w:pPr>
      <w:rPr>
        <w:rFonts w:ascii="Symbol" w:hAnsi="Symbol" w:hint="default"/>
      </w:rPr>
    </w:lvl>
    <w:lvl w:ilvl="4" w:tplc="04160003" w:tentative="1">
      <w:start w:val="1"/>
      <w:numFmt w:val="bullet"/>
      <w:lvlText w:val="o"/>
      <w:lvlJc w:val="left"/>
      <w:pPr>
        <w:ind w:left="4800" w:hanging="360"/>
      </w:pPr>
      <w:rPr>
        <w:rFonts w:ascii="Courier New" w:hAnsi="Courier New" w:cs="Courier New" w:hint="default"/>
      </w:rPr>
    </w:lvl>
    <w:lvl w:ilvl="5" w:tplc="04160005" w:tentative="1">
      <w:start w:val="1"/>
      <w:numFmt w:val="bullet"/>
      <w:lvlText w:val=""/>
      <w:lvlJc w:val="left"/>
      <w:pPr>
        <w:ind w:left="5520" w:hanging="360"/>
      </w:pPr>
      <w:rPr>
        <w:rFonts w:ascii="Wingdings" w:hAnsi="Wingdings" w:hint="default"/>
      </w:rPr>
    </w:lvl>
    <w:lvl w:ilvl="6" w:tplc="04160001" w:tentative="1">
      <w:start w:val="1"/>
      <w:numFmt w:val="bullet"/>
      <w:lvlText w:val=""/>
      <w:lvlJc w:val="left"/>
      <w:pPr>
        <w:ind w:left="6240" w:hanging="360"/>
      </w:pPr>
      <w:rPr>
        <w:rFonts w:ascii="Symbol" w:hAnsi="Symbol" w:hint="default"/>
      </w:rPr>
    </w:lvl>
    <w:lvl w:ilvl="7" w:tplc="04160003" w:tentative="1">
      <w:start w:val="1"/>
      <w:numFmt w:val="bullet"/>
      <w:lvlText w:val="o"/>
      <w:lvlJc w:val="left"/>
      <w:pPr>
        <w:ind w:left="6960" w:hanging="360"/>
      </w:pPr>
      <w:rPr>
        <w:rFonts w:ascii="Courier New" w:hAnsi="Courier New" w:cs="Courier New" w:hint="default"/>
      </w:rPr>
    </w:lvl>
    <w:lvl w:ilvl="8" w:tplc="04160005" w:tentative="1">
      <w:start w:val="1"/>
      <w:numFmt w:val="bullet"/>
      <w:lvlText w:val=""/>
      <w:lvlJc w:val="left"/>
      <w:pPr>
        <w:ind w:left="7680" w:hanging="360"/>
      </w:pPr>
      <w:rPr>
        <w:rFonts w:ascii="Wingdings" w:hAnsi="Wingdings" w:hint="default"/>
      </w:rPr>
    </w:lvl>
  </w:abstractNum>
  <w:abstractNum w:abstractNumId="15">
    <w:nsid w:val="226F4142"/>
    <w:multiLevelType w:val="hybridMultilevel"/>
    <w:tmpl w:val="72966B18"/>
    <w:lvl w:ilvl="0" w:tplc="F23EBDBE">
      <w:start w:val="1"/>
      <w:numFmt w:val="bullet"/>
      <w:lvlText w:val=""/>
      <w:lvlJc w:val="left"/>
      <w:pPr>
        <w:ind w:left="2084" w:hanging="360"/>
      </w:pPr>
      <w:rPr>
        <w:rFonts w:ascii="Symbol" w:hAnsi="Symbol" w:hint="default"/>
        <w:sz w:val="22"/>
      </w:rPr>
    </w:lvl>
    <w:lvl w:ilvl="1" w:tplc="04160003" w:tentative="1">
      <w:start w:val="1"/>
      <w:numFmt w:val="bullet"/>
      <w:lvlText w:val="o"/>
      <w:lvlJc w:val="left"/>
      <w:pPr>
        <w:ind w:left="2804" w:hanging="360"/>
      </w:pPr>
      <w:rPr>
        <w:rFonts w:ascii="Courier New" w:hAnsi="Courier New" w:cs="Courier New" w:hint="default"/>
      </w:rPr>
    </w:lvl>
    <w:lvl w:ilvl="2" w:tplc="04160005" w:tentative="1">
      <w:start w:val="1"/>
      <w:numFmt w:val="bullet"/>
      <w:lvlText w:val=""/>
      <w:lvlJc w:val="left"/>
      <w:pPr>
        <w:ind w:left="3524" w:hanging="360"/>
      </w:pPr>
      <w:rPr>
        <w:rFonts w:ascii="Wingdings" w:hAnsi="Wingdings" w:hint="default"/>
      </w:rPr>
    </w:lvl>
    <w:lvl w:ilvl="3" w:tplc="04160001" w:tentative="1">
      <w:start w:val="1"/>
      <w:numFmt w:val="bullet"/>
      <w:lvlText w:val=""/>
      <w:lvlJc w:val="left"/>
      <w:pPr>
        <w:ind w:left="4244" w:hanging="360"/>
      </w:pPr>
      <w:rPr>
        <w:rFonts w:ascii="Symbol" w:hAnsi="Symbol" w:hint="default"/>
      </w:rPr>
    </w:lvl>
    <w:lvl w:ilvl="4" w:tplc="04160003" w:tentative="1">
      <w:start w:val="1"/>
      <w:numFmt w:val="bullet"/>
      <w:lvlText w:val="o"/>
      <w:lvlJc w:val="left"/>
      <w:pPr>
        <w:ind w:left="4964" w:hanging="360"/>
      </w:pPr>
      <w:rPr>
        <w:rFonts w:ascii="Courier New" w:hAnsi="Courier New" w:cs="Courier New" w:hint="default"/>
      </w:rPr>
    </w:lvl>
    <w:lvl w:ilvl="5" w:tplc="04160005" w:tentative="1">
      <w:start w:val="1"/>
      <w:numFmt w:val="bullet"/>
      <w:lvlText w:val=""/>
      <w:lvlJc w:val="left"/>
      <w:pPr>
        <w:ind w:left="5684" w:hanging="360"/>
      </w:pPr>
      <w:rPr>
        <w:rFonts w:ascii="Wingdings" w:hAnsi="Wingdings" w:hint="default"/>
      </w:rPr>
    </w:lvl>
    <w:lvl w:ilvl="6" w:tplc="04160001" w:tentative="1">
      <w:start w:val="1"/>
      <w:numFmt w:val="bullet"/>
      <w:lvlText w:val=""/>
      <w:lvlJc w:val="left"/>
      <w:pPr>
        <w:ind w:left="6404" w:hanging="360"/>
      </w:pPr>
      <w:rPr>
        <w:rFonts w:ascii="Symbol" w:hAnsi="Symbol" w:hint="default"/>
      </w:rPr>
    </w:lvl>
    <w:lvl w:ilvl="7" w:tplc="04160003" w:tentative="1">
      <w:start w:val="1"/>
      <w:numFmt w:val="bullet"/>
      <w:lvlText w:val="o"/>
      <w:lvlJc w:val="left"/>
      <w:pPr>
        <w:ind w:left="7124" w:hanging="360"/>
      </w:pPr>
      <w:rPr>
        <w:rFonts w:ascii="Courier New" w:hAnsi="Courier New" w:cs="Courier New" w:hint="default"/>
      </w:rPr>
    </w:lvl>
    <w:lvl w:ilvl="8" w:tplc="04160005" w:tentative="1">
      <w:start w:val="1"/>
      <w:numFmt w:val="bullet"/>
      <w:lvlText w:val=""/>
      <w:lvlJc w:val="left"/>
      <w:pPr>
        <w:ind w:left="7844" w:hanging="360"/>
      </w:pPr>
      <w:rPr>
        <w:rFonts w:ascii="Wingdings" w:hAnsi="Wingdings" w:hint="default"/>
      </w:rPr>
    </w:lvl>
  </w:abstractNum>
  <w:abstractNum w:abstractNumId="16">
    <w:nsid w:val="29BC49C9"/>
    <w:multiLevelType w:val="hybridMultilevel"/>
    <w:tmpl w:val="B5E20F5E"/>
    <w:lvl w:ilvl="0" w:tplc="F23EBDBE">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302C3CFB"/>
    <w:multiLevelType w:val="hybridMultilevel"/>
    <w:tmpl w:val="3F5ACAE8"/>
    <w:lvl w:ilvl="0" w:tplc="F23EBDBE">
      <w:start w:val="1"/>
      <w:numFmt w:val="bullet"/>
      <w:lvlText w:val=""/>
      <w:lvlJc w:val="left"/>
      <w:pPr>
        <w:ind w:left="1080" w:hanging="360"/>
      </w:pPr>
      <w:rPr>
        <w:rFonts w:ascii="Symbol" w:hAnsi="Symbol" w:hint="default"/>
        <w:sz w:val="20"/>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8">
    <w:nsid w:val="30514E2D"/>
    <w:multiLevelType w:val="hybridMultilevel"/>
    <w:tmpl w:val="BB4E450A"/>
    <w:lvl w:ilvl="0" w:tplc="F23EBDBE">
      <w:start w:val="1"/>
      <w:numFmt w:val="bullet"/>
      <w:lvlText w:val=""/>
      <w:lvlJc w:val="left"/>
      <w:pPr>
        <w:ind w:left="1428" w:hanging="360"/>
      </w:pPr>
      <w:rPr>
        <w:rFonts w:ascii="Symbol" w:hAnsi="Symbol" w:hint="default"/>
        <w:sz w:val="22"/>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9">
    <w:nsid w:val="30F67DCB"/>
    <w:multiLevelType w:val="hybridMultilevel"/>
    <w:tmpl w:val="30663DB0"/>
    <w:lvl w:ilvl="0" w:tplc="F23EBDBE">
      <w:start w:val="1"/>
      <w:numFmt w:val="bullet"/>
      <w:lvlText w:val=""/>
      <w:lvlJc w:val="left"/>
      <w:pPr>
        <w:ind w:left="1004" w:hanging="360"/>
      </w:pPr>
      <w:rPr>
        <w:rFonts w:ascii="Symbol" w:hAnsi="Symbol" w:hint="default"/>
        <w:sz w:val="22"/>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20">
    <w:nsid w:val="35912B3A"/>
    <w:multiLevelType w:val="hybridMultilevel"/>
    <w:tmpl w:val="F2D2FDC4"/>
    <w:lvl w:ilvl="0" w:tplc="F23EBDBE">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36870E71"/>
    <w:multiLevelType w:val="hybridMultilevel"/>
    <w:tmpl w:val="80D020A6"/>
    <w:lvl w:ilvl="0" w:tplc="F23EBDBE">
      <w:start w:val="1"/>
      <w:numFmt w:val="bullet"/>
      <w:lvlText w:val=""/>
      <w:lvlJc w:val="left"/>
      <w:pPr>
        <w:ind w:left="720" w:hanging="360"/>
      </w:pPr>
      <w:rPr>
        <w:rFonts w:ascii="Symbol" w:hAnsi="Symbol" w:hint="default"/>
      </w:rPr>
    </w:lvl>
    <w:lvl w:ilvl="1" w:tplc="F23EBDBE">
      <w:start w:val="1"/>
      <w:numFmt w:val="bullet"/>
      <w:lvlText w:val=""/>
      <w:lvlJc w:val="left"/>
      <w:pPr>
        <w:ind w:left="1440" w:hanging="360"/>
      </w:pPr>
      <w:rPr>
        <w:rFonts w:ascii="Symbol" w:hAnsi="Symbol"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nsid w:val="387E0B5F"/>
    <w:multiLevelType w:val="hybridMultilevel"/>
    <w:tmpl w:val="EAA2ECB2"/>
    <w:lvl w:ilvl="0" w:tplc="F23EBDBE">
      <w:start w:val="1"/>
      <w:numFmt w:val="bullet"/>
      <w:lvlText w:val=""/>
      <w:lvlJc w:val="left"/>
      <w:pPr>
        <w:ind w:left="2084" w:hanging="360"/>
      </w:pPr>
      <w:rPr>
        <w:rFonts w:ascii="Symbol" w:hAnsi="Symbol" w:hint="default"/>
        <w:sz w:val="22"/>
      </w:rPr>
    </w:lvl>
    <w:lvl w:ilvl="1" w:tplc="04160003" w:tentative="1">
      <w:start w:val="1"/>
      <w:numFmt w:val="bullet"/>
      <w:lvlText w:val="o"/>
      <w:lvlJc w:val="left"/>
      <w:pPr>
        <w:ind w:left="2804" w:hanging="360"/>
      </w:pPr>
      <w:rPr>
        <w:rFonts w:ascii="Courier New" w:hAnsi="Courier New" w:cs="Courier New" w:hint="default"/>
      </w:rPr>
    </w:lvl>
    <w:lvl w:ilvl="2" w:tplc="04160005" w:tentative="1">
      <w:start w:val="1"/>
      <w:numFmt w:val="bullet"/>
      <w:lvlText w:val=""/>
      <w:lvlJc w:val="left"/>
      <w:pPr>
        <w:ind w:left="3524" w:hanging="360"/>
      </w:pPr>
      <w:rPr>
        <w:rFonts w:ascii="Wingdings" w:hAnsi="Wingdings" w:hint="default"/>
      </w:rPr>
    </w:lvl>
    <w:lvl w:ilvl="3" w:tplc="04160001" w:tentative="1">
      <w:start w:val="1"/>
      <w:numFmt w:val="bullet"/>
      <w:lvlText w:val=""/>
      <w:lvlJc w:val="left"/>
      <w:pPr>
        <w:ind w:left="4244" w:hanging="360"/>
      </w:pPr>
      <w:rPr>
        <w:rFonts w:ascii="Symbol" w:hAnsi="Symbol" w:hint="default"/>
      </w:rPr>
    </w:lvl>
    <w:lvl w:ilvl="4" w:tplc="04160003" w:tentative="1">
      <w:start w:val="1"/>
      <w:numFmt w:val="bullet"/>
      <w:lvlText w:val="o"/>
      <w:lvlJc w:val="left"/>
      <w:pPr>
        <w:ind w:left="4964" w:hanging="360"/>
      </w:pPr>
      <w:rPr>
        <w:rFonts w:ascii="Courier New" w:hAnsi="Courier New" w:cs="Courier New" w:hint="default"/>
      </w:rPr>
    </w:lvl>
    <w:lvl w:ilvl="5" w:tplc="04160005" w:tentative="1">
      <w:start w:val="1"/>
      <w:numFmt w:val="bullet"/>
      <w:lvlText w:val=""/>
      <w:lvlJc w:val="left"/>
      <w:pPr>
        <w:ind w:left="5684" w:hanging="360"/>
      </w:pPr>
      <w:rPr>
        <w:rFonts w:ascii="Wingdings" w:hAnsi="Wingdings" w:hint="default"/>
      </w:rPr>
    </w:lvl>
    <w:lvl w:ilvl="6" w:tplc="04160001" w:tentative="1">
      <w:start w:val="1"/>
      <w:numFmt w:val="bullet"/>
      <w:lvlText w:val=""/>
      <w:lvlJc w:val="left"/>
      <w:pPr>
        <w:ind w:left="6404" w:hanging="360"/>
      </w:pPr>
      <w:rPr>
        <w:rFonts w:ascii="Symbol" w:hAnsi="Symbol" w:hint="default"/>
      </w:rPr>
    </w:lvl>
    <w:lvl w:ilvl="7" w:tplc="04160003" w:tentative="1">
      <w:start w:val="1"/>
      <w:numFmt w:val="bullet"/>
      <w:lvlText w:val="o"/>
      <w:lvlJc w:val="left"/>
      <w:pPr>
        <w:ind w:left="7124" w:hanging="360"/>
      </w:pPr>
      <w:rPr>
        <w:rFonts w:ascii="Courier New" w:hAnsi="Courier New" w:cs="Courier New" w:hint="default"/>
      </w:rPr>
    </w:lvl>
    <w:lvl w:ilvl="8" w:tplc="04160005" w:tentative="1">
      <w:start w:val="1"/>
      <w:numFmt w:val="bullet"/>
      <w:lvlText w:val=""/>
      <w:lvlJc w:val="left"/>
      <w:pPr>
        <w:ind w:left="7844" w:hanging="360"/>
      </w:pPr>
      <w:rPr>
        <w:rFonts w:ascii="Wingdings" w:hAnsi="Wingdings" w:hint="default"/>
      </w:rPr>
    </w:lvl>
  </w:abstractNum>
  <w:abstractNum w:abstractNumId="23">
    <w:nsid w:val="3B905405"/>
    <w:multiLevelType w:val="hybridMultilevel"/>
    <w:tmpl w:val="31F4AEBA"/>
    <w:lvl w:ilvl="0" w:tplc="00646F68">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4">
    <w:nsid w:val="3C2E6006"/>
    <w:multiLevelType w:val="hybridMultilevel"/>
    <w:tmpl w:val="3C2A87D6"/>
    <w:lvl w:ilvl="0" w:tplc="F23EBDBE">
      <w:start w:val="1"/>
      <w:numFmt w:val="bullet"/>
      <w:lvlText w:val=""/>
      <w:lvlJc w:val="left"/>
      <w:pPr>
        <w:ind w:left="2084" w:hanging="360"/>
      </w:pPr>
      <w:rPr>
        <w:rFonts w:ascii="Symbol" w:hAnsi="Symbol" w:hint="default"/>
        <w:sz w:val="22"/>
      </w:rPr>
    </w:lvl>
    <w:lvl w:ilvl="1" w:tplc="04160003" w:tentative="1">
      <w:start w:val="1"/>
      <w:numFmt w:val="bullet"/>
      <w:lvlText w:val="o"/>
      <w:lvlJc w:val="left"/>
      <w:pPr>
        <w:ind w:left="2804" w:hanging="360"/>
      </w:pPr>
      <w:rPr>
        <w:rFonts w:ascii="Courier New" w:hAnsi="Courier New" w:cs="Courier New" w:hint="default"/>
      </w:rPr>
    </w:lvl>
    <w:lvl w:ilvl="2" w:tplc="04160005" w:tentative="1">
      <w:start w:val="1"/>
      <w:numFmt w:val="bullet"/>
      <w:lvlText w:val=""/>
      <w:lvlJc w:val="left"/>
      <w:pPr>
        <w:ind w:left="3524" w:hanging="360"/>
      </w:pPr>
      <w:rPr>
        <w:rFonts w:ascii="Wingdings" w:hAnsi="Wingdings" w:hint="default"/>
      </w:rPr>
    </w:lvl>
    <w:lvl w:ilvl="3" w:tplc="04160001" w:tentative="1">
      <w:start w:val="1"/>
      <w:numFmt w:val="bullet"/>
      <w:lvlText w:val=""/>
      <w:lvlJc w:val="left"/>
      <w:pPr>
        <w:ind w:left="4244" w:hanging="360"/>
      </w:pPr>
      <w:rPr>
        <w:rFonts w:ascii="Symbol" w:hAnsi="Symbol" w:hint="default"/>
      </w:rPr>
    </w:lvl>
    <w:lvl w:ilvl="4" w:tplc="04160003" w:tentative="1">
      <w:start w:val="1"/>
      <w:numFmt w:val="bullet"/>
      <w:lvlText w:val="o"/>
      <w:lvlJc w:val="left"/>
      <w:pPr>
        <w:ind w:left="4964" w:hanging="360"/>
      </w:pPr>
      <w:rPr>
        <w:rFonts w:ascii="Courier New" w:hAnsi="Courier New" w:cs="Courier New" w:hint="default"/>
      </w:rPr>
    </w:lvl>
    <w:lvl w:ilvl="5" w:tplc="04160005" w:tentative="1">
      <w:start w:val="1"/>
      <w:numFmt w:val="bullet"/>
      <w:lvlText w:val=""/>
      <w:lvlJc w:val="left"/>
      <w:pPr>
        <w:ind w:left="5684" w:hanging="360"/>
      </w:pPr>
      <w:rPr>
        <w:rFonts w:ascii="Wingdings" w:hAnsi="Wingdings" w:hint="default"/>
      </w:rPr>
    </w:lvl>
    <w:lvl w:ilvl="6" w:tplc="04160001" w:tentative="1">
      <w:start w:val="1"/>
      <w:numFmt w:val="bullet"/>
      <w:lvlText w:val=""/>
      <w:lvlJc w:val="left"/>
      <w:pPr>
        <w:ind w:left="6404" w:hanging="360"/>
      </w:pPr>
      <w:rPr>
        <w:rFonts w:ascii="Symbol" w:hAnsi="Symbol" w:hint="default"/>
      </w:rPr>
    </w:lvl>
    <w:lvl w:ilvl="7" w:tplc="04160003" w:tentative="1">
      <w:start w:val="1"/>
      <w:numFmt w:val="bullet"/>
      <w:lvlText w:val="o"/>
      <w:lvlJc w:val="left"/>
      <w:pPr>
        <w:ind w:left="7124" w:hanging="360"/>
      </w:pPr>
      <w:rPr>
        <w:rFonts w:ascii="Courier New" w:hAnsi="Courier New" w:cs="Courier New" w:hint="default"/>
      </w:rPr>
    </w:lvl>
    <w:lvl w:ilvl="8" w:tplc="04160005" w:tentative="1">
      <w:start w:val="1"/>
      <w:numFmt w:val="bullet"/>
      <w:lvlText w:val=""/>
      <w:lvlJc w:val="left"/>
      <w:pPr>
        <w:ind w:left="7844" w:hanging="360"/>
      </w:pPr>
      <w:rPr>
        <w:rFonts w:ascii="Wingdings" w:hAnsi="Wingdings" w:hint="default"/>
      </w:rPr>
    </w:lvl>
  </w:abstractNum>
  <w:abstractNum w:abstractNumId="25">
    <w:nsid w:val="3E992457"/>
    <w:multiLevelType w:val="hybridMultilevel"/>
    <w:tmpl w:val="B45A5658"/>
    <w:lvl w:ilvl="0" w:tplc="1F2E8316">
      <w:start w:val="1"/>
      <w:numFmt w:val="lowerLetter"/>
      <w:lvlText w:val="%1)"/>
      <w:lvlJc w:val="left"/>
      <w:pPr>
        <w:ind w:left="1428" w:hanging="360"/>
      </w:pPr>
      <w:rPr>
        <w:rFonts w:hint="default"/>
      </w:rPr>
    </w:lvl>
    <w:lvl w:ilvl="1" w:tplc="CE10E89C">
      <w:numFmt w:val="bullet"/>
      <w:lvlText w:val="•"/>
      <w:lvlJc w:val="left"/>
      <w:pPr>
        <w:ind w:left="2148" w:hanging="360"/>
      </w:pPr>
      <w:rPr>
        <w:rFonts w:ascii="Times New Roman" w:eastAsiaTheme="minorEastAsia" w:hAnsi="Times New Roman" w:cs="Times New Roman"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6">
    <w:nsid w:val="41AA5100"/>
    <w:multiLevelType w:val="hybridMultilevel"/>
    <w:tmpl w:val="7CCE74EE"/>
    <w:lvl w:ilvl="0" w:tplc="F23EBDBE">
      <w:start w:val="1"/>
      <w:numFmt w:val="bullet"/>
      <w:lvlText w:val=""/>
      <w:lvlJc w:val="left"/>
      <w:pPr>
        <w:ind w:left="720" w:hanging="360"/>
      </w:pPr>
      <w:rPr>
        <w:rFonts w:ascii="Symbol" w:hAnsi="Symbol" w:hint="default"/>
        <w:sz w:val="2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424F10C2"/>
    <w:multiLevelType w:val="hybridMultilevel"/>
    <w:tmpl w:val="1B5279A6"/>
    <w:lvl w:ilvl="0" w:tplc="F23EBDBE">
      <w:start w:val="1"/>
      <w:numFmt w:val="bullet"/>
      <w:lvlText w:val=""/>
      <w:lvlJc w:val="left"/>
      <w:pPr>
        <w:ind w:left="2084" w:hanging="360"/>
      </w:pPr>
      <w:rPr>
        <w:rFonts w:ascii="Symbol" w:hAnsi="Symbol" w:hint="default"/>
        <w:sz w:val="22"/>
      </w:rPr>
    </w:lvl>
    <w:lvl w:ilvl="1" w:tplc="04160003" w:tentative="1">
      <w:start w:val="1"/>
      <w:numFmt w:val="bullet"/>
      <w:lvlText w:val="o"/>
      <w:lvlJc w:val="left"/>
      <w:pPr>
        <w:ind w:left="2804" w:hanging="360"/>
      </w:pPr>
      <w:rPr>
        <w:rFonts w:ascii="Courier New" w:hAnsi="Courier New" w:cs="Courier New" w:hint="default"/>
      </w:rPr>
    </w:lvl>
    <w:lvl w:ilvl="2" w:tplc="04160005" w:tentative="1">
      <w:start w:val="1"/>
      <w:numFmt w:val="bullet"/>
      <w:lvlText w:val=""/>
      <w:lvlJc w:val="left"/>
      <w:pPr>
        <w:ind w:left="3524" w:hanging="360"/>
      </w:pPr>
      <w:rPr>
        <w:rFonts w:ascii="Wingdings" w:hAnsi="Wingdings" w:hint="default"/>
      </w:rPr>
    </w:lvl>
    <w:lvl w:ilvl="3" w:tplc="04160001" w:tentative="1">
      <w:start w:val="1"/>
      <w:numFmt w:val="bullet"/>
      <w:lvlText w:val=""/>
      <w:lvlJc w:val="left"/>
      <w:pPr>
        <w:ind w:left="4244" w:hanging="360"/>
      </w:pPr>
      <w:rPr>
        <w:rFonts w:ascii="Symbol" w:hAnsi="Symbol" w:hint="default"/>
      </w:rPr>
    </w:lvl>
    <w:lvl w:ilvl="4" w:tplc="04160003" w:tentative="1">
      <w:start w:val="1"/>
      <w:numFmt w:val="bullet"/>
      <w:lvlText w:val="o"/>
      <w:lvlJc w:val="left"/>
      <w:pPr>
        <w:ind w:left="4964" w:hanging="360"/>
      </w:pPr>
      <w:rPr>
        <w:rFonts w:ascii="Courier New" w:hAnsi="Courier New" w:cs="Courier New" w:hint="default"/>
      </w:rPr>
    </w:lvl>
    <w:lvl w:ilvl="5" w:tplc="04160005" w:tentative="1">
      <w:start w:val="1"/>
      <w:numFmt w:val="bullet"/>
      <w:lvlText w:val=""/>
      <w:lvlJc w:val="left"/>
      <w:pPr>
        <w:ind w:left="5684" w:hanging="360"/>
      </w:pPr>
      <w:rPr>
        <w:rFonts w:ascii="Wingdings" w:hAnsi="Wingdings" w:hint="default"/>
      </w:rPr>
    </w:lvl>
    <w:lvl w:ilvl="6" w:tplc="04160001" w:tentative="1">
      <w:start w:val="1"/>
      <w:numFmt w:val="bullet"/>
      <w:lvlText w:val=""/>
      <w:lvlJc w:val="left"/>
      <w:pPr>
        <w:ind w:left="6404" w:hanging="360"/>
      </w:pPr>
      <w:rPr>
        <w:rFonts w:ascii="Symbol" w:hAnsi="Symbol" w:hint="default"/>
      </w:rPr>
    </w:lvl>
    <w:lvl w:ilvl="7" w:tplc="04160003" w:tentative="1">
      <w:start w:val="1"/>
      <w:numFmt w:val="bullet"/>
      <w:lvlText w:val="o"/>
      <w:lvlJc w:val="left"/>
      <w:pPr>
        <w:ind w:left="7124" w:hanging="360"/>
      </w:pPr>
      <w:rPr>
        <w:rFonts w:ascii="Courier New" w:hAnsi="Courier New" w:cs="Courier New" w:hint="default"/>
      </w:rPr>
    </w:lvl>
    <w:lvl w:ilvl="8" w:tplc="04160005" w:tentative="1">
      <w:start w:val="1"/>
      <w:numFmt w:val="bullet"/>
      <w:lvlText w:val=""/>
      <w:lvlJc w:val="left"/>
      <w:pPr>
        <w:ind w:left="7844" w:hanging="360"/>
      </w:pPr>
      <w:rPr>
        <w:rFonts w:ascii="Wingdings" w:hAnsi="Wingdings" w:hint="default"/>
      </w:rPr>
    </w:lvl>
  </w:abstractNum>
  <w:abstractNum w:abstractNumId="28">
    <w:nsid w:val="43C219D9"/>
    <w:multiLevelType w:val="hybridMultilevel"/>
    <w:tmpl w:val="AD947E72"/>
    <w:lvl w:ilvl="0" w:tplc="F23EBDBE">
      <w:start w:val="1"/>
      <w:numFmt w:val="bullet"/>
      <w:lvlText w:val=""/>
      <w:lvlJc w:val="left"/>
      <w:rPr>
        <w:rFonts w:ascii="Symbol" w:hAnsi="Symbol" w:hint="default"/>
        <w:sz w:val="22"/>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46630BAC"/>
    <w:multiLevelType w:val="hybridMultilevel"/>
    <w:tmpl w:val="3626DCC6"/>
    <w:lvl w:ilvl="0" w:tplc="F23EBDBE">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469E7160"/>
    <w:multiLevelType w:val="hybridMultilevel"/>
    <w:tmpl w:val="60087D28"/>
    <w:lvl w:ilvl="0" w:tplc="F23EBDBE">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499176D0"/>
    <w:multiLevelType w:val="hybridMultilevel"/>
    <w:tmpl w:val="BB762196"/>
    <w:lvl w:ilvl="0" w:tplc="F23EBDBE">
      <w:start w:val="1"/>
      <w:numFmt w:val="bullet"/>
      <w:lvlText w:val=""/>
      <w:lvlJc w:val="left"/>
      <w:pPr>
        <w:ind w:left="720" w:hanging="360"/>
      </w:pPr>
      <w:rPr>
        <w:rFonts w:ascii="Symbol" w:hAnsi="Symbo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4A002703"/>
    <w:multiLevelType w:val="hybridMultilevel"/>
    <w:tmpl w:val="AA027BD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4FF654CB"/>
    <w:multiLevelType w:val="hybridMultilevel"/>
    <w:tmpl w:val="6C603830"/>
    <w:lvl w:ilvl="0" w:tplc="F23EBDBE">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53011199"/>
    <w:multiLevelType w:val="hybridMultilevel"/>
    <w:tmpl w:val="B3FA0EB8"/>
    <w:lvl w:ilvl="0" w:tplc="F23EBDBE">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55F265E1"/>
    <w:multiLevelType w:val="hybridMultilevel"/>
    <w:tmpl w:val="75A6DA9E"/>
    <w:lvl w:ilvl="0" w:tplc="F23EBDBE">
      <w:start w:val="1"/>
      <w:numFmt w:val="bullet"/>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36">
    <w:nsid w:val="56ED1A5F"/>
    <w:multiLevelType w:val="hybridMultilevel"/>
    <w:tmpl w:val="D0A85916"/>
    <w:lvl w:ilvl="0" w:tplc="F23EBDBE">
      <w:start w:val="1"/>
      <w:numFmt w:val="bullet"/>
      <w:lvlText w:val=""/>
      <w:lvlJc w:val="left"/>
      <w:pPr>
        <w:ind w:left="1418" w:hanging="360"/>
      </w:pPr>
      <w:rPr>
        <w:rFonts w:ascii="Symbol" w:hAnsi="Symbol" w:hint="default"/>
      </w:rPr>
    </w:lvl>
    <w:lvl w:ilvl="1" w:tplc="04160003" w:tentative="1">
      <w:start w:val="1"/>
      <w:numFmt w:val="bullet"/>
      <w:lvlText w:val="o"/>
      <w:lvlJc w:val="left"/>
      <w:pPr>
        <w:ind w:left="2138" w:hanging="360"/>
      </w:pPr>
      <w:rPr>
        <w:rFonts w:ascii="Courier New" w:hAnsi="Courier New" w:cs="Courier New" w:hint="default"/>
      </w:rPr>
    </w:lvl>
    <w:lvl w:ilvl="2" w:tplc="04160005" w:tentative="1">
      <w:start w:val="1"/>
      <w:numFmt w:val="bullet"/>
      <w:lvlText w:val=""/>
      <w:lvlJc w:val="left"/>
      <w:pPr>
        <w:ind w:left="2858" w:hanging="360"/>
      </w:pPr>
      <w:rPr>
        <w:rFonts w:ascii="Wingdings" w:hAnsi="Wingdings" w:hint="default"/>
      </w:rPr>
    </w:lvl>
    <w:lvl w:ilvl="3" w:tplc="04160001" w:tentative="1">
      <w:start w:val="1"/>
      <w:numFmt w:val="bullet"/>
      <w:lvlText w:val=""/>
      <w:lvlJc w:val="left"/>
      <w:pPr>
        <w:ind w:left="3578" w:hanging="360"/>
      </w:pPr>
      <w:rPr>
        <w:rFonts w:ascii="Symbol" w:hAnsi="Symbol" w:hint="default"/>
      </w:rPr>
    </w:lvl>
    <w:lvl w:ilvl="4" w:tplc="04160003" w:tentative="1">
      <w:start w:val="1"/>
      <w:numFmt w:val="bullet"/>
      <w:lvlText w:val="o"/>
      <w:lvlJc w:val="left"/>
      <w:pPr>
        <w:ind w:left="4298" w:hanging="360"/>
      </w:pPr>
      <w:rPr>
        <w:rFonts w:ascii="Courier New" w:hAnsi="Courier New" w:cs="Courier New" w:hint="default"/>
      </w:rPr>
    </w:lvl>
    <w:lvl w:ilvl="5" w:tplc="04160005" w:tentative="1">
      <w:start w:val="1"/>
      <w:numFmt w:val="bullet"/>
      <w:lvlText w:val=""/>
      <w:lvlJc w:val="left"/>
      <w:pPr>
        <w:ind w:left="5018" w:hanging="360"/>
      </w:pPr>
      <w:rPr>
        <w:rFonts w:ascii="Wingdings" w:hAnsi="Wingdings" w:hint="default"/>
      </w:rPr>
    </w:lvl>
    <w:lvl w:ilvl="6" w:tplc="04160001" w:tentative="1">
      <w:start w:val="1"/>
      <w:numFmt w:val="bullet"/>
      <w:lvlText w:val=""/>
      <w:lvlJc w:val="left"/>
      <w:pPr>
        <w:ind w:left="5738" w:hanging="360"/>
      </w:pPr>
      <w:rPr>
        <w:rFonts w:ascii="Symbol" w:hAnsi="Symbol" w:hint="default"/>
      </w:rPr>
    </w:lvl>
    <w:lvl w:ilvl="7" w:tplc="04160003" w:tentative="1">
      <w:start w:val="1"/>
      <w:numFmt w:val="bullet"/>
      <w:lvlText w:val="o"/>
      <w:lvlJc w:val="left"/>
      <w:pPr>
        <w:ind w:left="6458" w:hanging="360"/>
      </w:pPr>
      <w:rPr>
        <w:rFonts w:ascii="Courier New" w:hAnsi="Courier New" w:cs="Courier New" w:hint="default"/>
      </w:rPr>
    </w:lvl>
    <w:lvl w:ilvl="8" w:tplc="04160005" w:tentative="1">
      <w:start w:val="1"/>
      <w:numFmt w:val="bullet"/>
      <w:lvlText w:val=""/>
      <w:lvlJc w:val="left"/>
      <w:pPr>
        <w:ind w:left="7178" w:hanging="360"/>
      </w:pPr>
      <w:rPr>
        <w:rFonts w:ascii="Wingdings" w:hAnsi="Wingdings" w:hint="default"/>
      </w:rPr>
    </w:lvl>
  </w:abstractNum>
  <w:abstractNum w:abstractNumId="37">
    <w:nsid w:val="579234B9"/>
    <w:multiLevelType w:val="hybridMultilevel"/>
    <w:tmpl w:val="BA54DF40"/>
    <w:lvl w:ilvl="0" w:tplc="00646F68">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8">
    <w:nsid w:val="5C00469E"/>
    <w:multiLevelType w:val="hybridMultilevel"/>
    <w:tmpl w:val="997838E0"/>
    <w:lvl w:ilvl="0" w:tplc="F23EBDBE">
      <w:start w:val="1"/>
      <w:numFmt w:val="bullet"/>
      <w:lvlText w:val=""/>
      <w:lvlJc w:val="left"/>
      <w:pPr>
        <w:ind w:left="1069" w:hanging="360"/>
      </w:pPr>
      <w:rPr>
        <w:rFonts w:ascii="Symbol" w:hAnsi="Symbol" w:hint="default"/>
        <w:sz w:val="22"/>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39">
    <w:nsid w:val="5FEF22DD"/>
    <w:multiLevelType w:val="hybridMultilevel"/>
    <w:tmpl w:val="5D2489D6"/>
    <w:lvl w:ilvl="0" w:tplc="00646F68">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40">
    <w:nsid w:val="61467617"/>
    <w:multiLevelType w:val="hybridMultilevel"/>
    <w:tmpl w:val="679C3176"/>
    <w:lvl w:ilvl="0" w:tplc="F23EBDBE">
      <w:start w:val="1"/>
      <w:numFmt w:val="bullet"/>
      <w:lvlText w:val=""/>
      <w:lvlJc w:val="left"/>
      <w:rPr>
        <w:rFonts w:ascii="Symbol" w:hAnsi="Symbol" w:hint="default"/>
        <w:b w:val="0"/>
        <w:i w:val="0"/>
        <w:sz w:val="22"/>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nsid w:val="63DD6055"/>
    <w:multiLevelType w:val="hybridMultilevel"/>
    <w:tmpl w:val="CB9CDB96"/>
    <w:lvl w:ilvl="0" w:tplc="00646F68">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nsid w:val="642A7C23"/>
    <w:multiLevelType w:val="hybridMultilevel"/>
    <w:tmpl w:val="59160D36"/>
    <w:lvl w:ilvl="0" w:tplc="F23EBDBE">
      <w:start w:val="1"/>
      <w:numFmt w:val="bullet"/>
      <w:lvlText w:val=""/>
      <w:lvlJc w:val="left"/>
      <w:pPr>
        <w:ind w:left="1069" w:hanging="360"/>
      </w:pPr>
      <w:rPr>
        <w:rFonts w:ascii="Symbol" w:hAnsi="Symbol" w:hint="default"/>
        <w:sz w:val="22"/>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3">
    <w:nsid w:val="64DC0DAF"/>
    <w:multiLevelType w:val="hybridMultilevel"/>
    <w:tmpl w:val="5E3CB934"/>
    <w:lvl w:ilvl="0" w:tplc="F23EBDBE">
      <w:start w:val="1"/>
      <w:numFmt w:val="bullet"/>
      <w:lvlText w:val=""/>
      <w:lvlJc w:val="left"/>
      <w:pPr>
        <w:ind w:left="2084" w:hanging="360"/>
      </w:pPr>
      <w:rPr>
        <w:rFonts w:ascii="Symbol" w:hAnsi="Symbol" w:hint="default"/>
        <w:sz w:val="22"/>
      </w:rPr>
    </w:lvl>
    <w:lvl w:ilvl="1" w:tplc="04160003" w:tentative="1">
      <w:start w:val="1"/>
      <w:numFmt w:val="bullet"/>
      <w:lvlText w:val="o"/>
      <w:lvlJc w:val="left"/>
      <w:pPr>
        <w:ind w:left="2804" w:hanging="360"/>
      </w:pPr>
      <w:rPr>
        <w:rFonts w:ascii="Courier New" w:hAnsi="Courier New" w:cs="Courier New" w:hint="default"/>
      </w:rPr>
    </w:lvl>
    <w:lvl w:ilvl="2" w:tplc="04160005" w:tentative="1">
      <w:start w:val="1"/>
      <w:numFmt w:val="bullet"/>
      <w:lvlText w:val=""/>
      <w:lvlJc w:val="left"/>
      <w:pPr>
        <w:ind w:left="3524" w:hanging="360"/>
      </w:pPr>
      <w:rPr>
        <w:rFonts w:ascii="Wingdings" w:hAnsi="Wingdings" w:hint="default"/>
      </w:rPr>
    </w:lvl>
    <w:lvl w:ilvl="3" w:tplc="04160001" w:tentative="1">
      <w:start w:val="1"/>
      <w:numFmt w:val="bullet"/>
      <w:lvlText w:val=""/>
      <w:lvlJc w:val="left"/>
      <w:pPr>
        <w:ind w:left="4244" w:hanging="360"/>
      </w:pPr>
      <w:rPr>
        <w:rFonts w:ascii="Symbol" w:hAnsi="Symbol" w:hint="default"/>
      </w:rPr>
    </w:lvl>
    <w:lvl w:ilvl="4" w:tplc="04160003" w:tentative="1">
      <w:start w:val="1"/>
      <w:numFmt w:val="bullet"/>
      <w:lvlText w:val="o"/>
      <w:lvlJc w:val="left"/>
      <w:pPr>
        <w:ind w:left="4964" w:hanging="360"/>
      </w:pPr>
      <w:rPr>
        <w:rFonts w:ascii="Courier New" w:hAnsi="Courier New" w:cs="Courier New" w:hint="default"/>
      </w:rPr>
    </w:lvl>
    <w:lvl w:ilvl="5" w:tplc="04160005" w:tentative="1">
      <w:start w:val="1"/>
      <w:numFmt w:val="bullet"/>
      <w:lvlText w:val=""/>
      <w:lvlJc w:val="left"/>
      <w:pPr>
        <w:ind w:left="5684" w:hanging="360"/>
      </w:pPr>
      <w:rPr>
        <w:rFonts w:ascii="Wingdings" w:hAnsi="Wingdings" w:hint="default"/>
      </w:rPr>
    </w:lvl>
    <w:lvl w:ilvl="6" w:tplc="04160001" w:tentative="1">
      <w:start w:val="1"/>
      <w:numFmt w:val="bullet"/>
      <w:lvlText w:val=""/>
      <w:lvlJc w:val="left"/>
      <w:pPr>
        <w:ind w:left="6404" w:hanging="360"/>
      </w:pPr>
      <w:rPr>
        <w:rFonts w:ascii="Symbol" w:hAnsi="Symbol" w:hint="default"/>
      </w:rPr>
    </w:lvl>
    <w:lvl w:ilvl="7" w:tplc="04160003" w:tentative="1">
      <w:start w:val="1"/>
      <w:numFmt w:val="bullet"/>
      <w:lvlText w:val="o"/>
      <w:lvlJc w:val="left"/>
      <w:pPr>
        <w:ind w:left="7124" w:hanging="360"/>
      </w:pPr>
      <w:rPr>
        <w:rFonts w:ascii="Courier New" w:hAnsi="Courier New" w:cs="Courier New" w:hint="default"/>
      </w:rPr>
    </w:lvl>
    <w:lvl w:ilvl="8" w:tplc="04160005" w:tentative="1">
      <w:start w:val="1"/>
      <w:numFmt w:val="bullet"/>
      <w:lvlText w:val=""/>
      <w:lvlJc w:val="left"/>
      <w:pPr>
        <w:ind w:left="7844" w:hanging="360"/>
      </w:pPr>
      <w:rPr>
        <w:rFonts w:ascii="Wingdings" w:hAnsi="Wingdings" w:hint="default"/>
      </w:rPr>
    </w:lvl>
  </w:abstractNum>
  <w:abstractNum w:abstractNumId="44">
    <w:nsid w:val="65ED7A61"/>
    <w:multiLevelType w:val="hybridMultilevel"/>
    <w:tmpl w:val="ECF88064"/>
    <w:lvl w:ilvl="0" w:tplc="3DE2965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66104C63"/>
    <w:multiLevelType w:val="hybridMultilevel"/>
    <w:tmpl w:val="92487BE8"/>
    <w:lvl w:ilvl="0" w:tplc="00646F68">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46">
    <w:nsid w:val="69233C4B"/>
    <w:multiLevelType w:val="hybridMultilevel"/>
    <w:tmpl w:val="9D347314"/>
    <w:lvl w:ilvl="0" w:tplc="F23EBDBE">
      <w:start w:val="1"/>
      <w:numFmt w:val="bullet"/>
      <w:lvlText w:val=""/>
      <w:lvlJc w:val="left"/>
      <w:pPr>
        <w:ind w:left="1428" w:hanging="360"/>
      </w:pPr>
      <w:rPr>
        <w:rFonts w:ascii="Symbol" w:hAnsi="Symbol" w:hint="default"/>
        <w:sz w:val="22"/>
      </w:rPr>
    </w:lvl>
    <w:lvl w:ilvl="1" w:tplc="04160003" w:tentative="1">
      <w:start w:val="1"/>
      <w:numFmt w:val="bullet"/>
      <w:lvlText w:val="o"/>
      <w:lvlJc w:val="left"/>
      <w:pPr>
        <w:ind w:left="2148" w:hanging="360"/>
      </w:pPr>
      <w:rPr>
        <w:rFonts w:ascii="Courier New" w:hAnsi="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47">
    <w:nsid w:val="6C0F3913"/>
    <w:multiLevelType w:val="hybridMultilevel"/>
    <w:tmpl w:val="0B5AD934"/>
    <w:lvl w:ilvl="0" w:tplc="F23EBDBE">
      <w:start w:val="1"/>
      <w:numFmt w:val="bullet"/>
      <w:lvlText w:val=""/>
      <w:lvlJc w:val="left"/>
      <w:pPr>
        <w:ind w:left="1069" w:hanging="360"/>
      </w:pPr>
      <w:rPr>
        <w:rFonts w:ascii="Symbol" w:hAnsi="Symbol" w:hint="default"/>
        <w:sz w:val="22"/>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8">
    <w:nsid w:val="720D24A4"/>
    <w:multiLevelType w:val="hybridMultilevel"/>
    <w:tmpl w:val="C1CC25F0"/>
    <w:lvl w:ilvl="0" w:tplc="F23EBDBE">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9">
    <w:nsid w:val="7647580F"/>
    <w:multiLevelType w:val="hybridMultilevel"/>
    <w:tmpl w:val="E668C596"/>
    <w:lvl w:ilvl="0" w:tplc="F23EBDBE">
      <w:start w:val="1"/>
      <w:numFmt w:val="bullet"/>
      <w:lvlText w:val=""/>
      <w:lvlJc w:val="left"/>
      <w:pPr>
        <w:ind w:left="1004" w:hanging="360"/>
      </w:pPr>
      <w:rPr>
        <w:rFonts w:ascii="Symbol" w:hAnsi="Symbol" w:hint="default"/>
        <w:sz w:val="22"/>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50">
    <w:nsid w:val="76A7244E"/>
    <w:multiLevelType w:val="hybridMultilevel"/>
    <w:tmpl w:val="DF0680F0"/>
    <w:lvl w:ilvl="0" w:tplc="FB2453E2">
      <w:start w:val="1"/>
      <w:numFmt w:val="lowerLetter"/>
      <w:pStyle w:val="Estilo2"/>
      <w:lvlText w:val="%1)"/>
      <w:lvlJc w:val="left"/>
      <w:pPr>
        <w:ind w:left="1728" w:hanging="102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51">
    <w:nsid w:val="77E26BFB"/>
    <w:multiLevelType w:val="hybridMultilevel"/>
    <w:tmpl w:val="BB02C094"/>
    <w:lvl w:ilvl="0" w:tplc="F23EBDBE">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nsid w:val="79E04C25"/>
    <w:multiLevelType w:val="hybridMultilevel"/>
    <w:tmpl w:val="B36CC914"/>
    <w:lvl w:ilvl="0" w:tplc="F23EBDBE">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53">
    <w:nsid w:val="7D311183"/>
    <w:multiLevelType w:val="hybridMultilevel"/>
    <w:tmpl w:val="EF0A17DC"/>
    <w:lvl w:ilvl="0" w:tplc="F23EBDBE">
      <w:start w:val="1"/>
      <w:numFmt w:val="bullet"/>
      <w:lvlText w:val=""/>
      <w:lvlJc w:val="left"/>
      <w:pPr>
        <w:ind w:left="2084" w:hanging="360"/>
      </w:pPr>
      <w:rPr>
        <w:rFonts w:ascii="Symbol" w:hAnsi="Symbol" w:hint="default"/>
        <w:sz w:val="22"/>
      </w:rPr>
    </w:lvl>
    <w:lvl w:ilvl="1" w:tplc="04160003" w:tentative="1">
      <w:start w:val="1"/>
      <w:numFmt w:val="bullet"/>
      <w:lvlText w:val="o"/>
      <w:lvlJc w:val="left"/>
      <w:pPr>
        <w:ind w:left="2804" w:hanging="360"/>
      </w:pPr>
      <w:rPr>
        <w:rFonts w:ascii="Courier New" w:hAnsi="Courier New" w:cs="Courier New" w:hint="default"/>
      </w:rPr>
    </w:lvl>
    <w:lvl w:ilvl="2" w:tplc="04160005" w:tentative="1">
      <w:start w:val="1"/>
      <w:numFmt w:val="bullet"/>
      <w:lvlText w:val=""/>
      <w:lvlJc w:val="left"/>
      <w:pPr>
        <w:ind w:left="3524" w:hanging="360"/>
      </w:pPr>
      <w:rPr>
        <w:rFonts w:ascii="Wingdings" w:hAnsi="Wingdings" w:hint="default"/>
      </w:rPr>
    </w:lvl>
    <w:lvl w:ilvl="3" w:tplc="04160001" w:tentative="1">
      <w:start w:val="1"/>
      <w:numFmt w:val="bullet"/>
      <w:lvlText w:val=""/>
      <w:lvlJc w:val="left"/>
      <w:pPr>
        <w:ind w:left="4244" w:hanging="360"/>
      </w:pPr>
      <w:rPr>
        <w:rFonts w:ascii="Symbol" w:hAnsi="Symbol" w:hint="default"/>
      </w:rPr>
    </w:lvl>
    <w:lvl w:ilvl="4" w:tplc="04160003" w:tentative="1">
      <w:start w:val="1"/>
      <w:numFmt w:val="bullet"/>
      <w:lvlText w:val="o"/>
      <w:lvlJc w:val="left"/>
      <w:pPr>
        <w:ind w:left="4964" w:hanging="360"/>
      </w:pPr>
      <w:rPr>
        <w:rFonts w:ascii="Courier New" w:hAnsi="Courier New" w:cs="Courier New" w:hint="default"/>
      </w:rPr>
    </w:lvl>
    <w:lvl w:ilvl="5" w:tplc="04160005" w:tentative="1">
      <w:start w:val="1"/>
      <w:numFmt w:val="bullet"/>
      <w:lvlText w:val=""/>
      <w:lvlJc w:val="left"/>
      <w:pPr>
        <w:ind w:left="5684" w:hanging="360"/>
      </w:pPr>
      <w:rPr>
        <w:rFonts w:ascii="Wingdings" w:hAnsi="Wingdings" w:hint="default"/>
      </w:rPr>
    </w:lvl>
    <w:lvl w:ilvl="6" w:tplc="04160001" w:tentative="1">
      <w:start w:val="1"/>
      <w:numFmt w:val="bullet"/>
      <w:lvlText w:val=""/>
      <w:lvlJc w:val="left"/>
      <w:pPr>
        <w:ind w:left="6404" w:hanging="360"/>
      </w:pPr>
      <w:rPr>
        <w:rFonts w:ascii="Symbol" w:hAnsi="Symbol" w:hint="default"/>
      </w:rPr>
    </w:lvl>
    <w:lvl w:ilvl="7" w:tplc="04160003" w:tentative="1">
      <w:start w:val="1"/>
      <w:numFmt w:val="bullet"/>
      <w:lvlText w:val="o"/>
      <w:lvlJc w:val="left"/>
      <w:pPr>
        <w:ind w:left="7124" w:hanging="360"/>
      </w:pPr>
      <w:rPr>
        <w:rFonts w:ascii="Courier New" w:hAnsi="Courier New" w:cs="Courier New" w:hint="default"/>
      </w:rPr>
    </w:lvl>
    <w:lvl w:ilvl="8" w:tplc="04160005" w:tentative="1">
      <w:start w:val="1"/>
      <w:numFmt w:val="bullet"/>
      <w:lvlText w:val=""/>
      <w:lvlJc w:val="left"/>
      <w:pPr>
        <w:ind w:left="7844" w:hanging="360"/>
      </w:pPr>
      <w:rPr>
        <w:rFonts w:ascii="Wingdings" w:hAnsi="Wingdings" w:hint="default"/>
      </w:rPr>
    </w:lvl>
  </w:abstractNum>
  <w:abstractNum w:abstractNumId="54">
    <w:nsid w:val="7E8343F0"/>
    <w:multiLevelType w:val="hybridMultilevel"/>
    <w:tmpl w:val="18BEB744"/>
    <w:lvl w:ilvl="0" w:tplc="F23EBDBE">
      <w:start w:val="1"/>
      <w:numFmt w:val="bullet"/>
      <w:lvlText w:val=""/>
      <w:lvlJc w:val="left"/>
      <w:pPr>
        <w:ind w:left="2497" w:hanging="360"/>
      </w:pPr>
      <w:rPr>
        <w:rFonts w:ascii="Symbol" w:hAnsi="Symbol" w:hint="default"/>
      </w:rPr>
    </w:lvl>
    <w:lvl w:ilvl="1" w:tplc="04160003" w:tentative="1">
      <w:start w:val="1"/>
      <w:numFmt w:val="bullet"/>
      <w:lvlText w:val="o"/>
      <w:lvlJc w:val="left"/>
      <w:pPr>
        <w:ind w:left="3217" w:hanging="360"/>
      </w:pPr>
      <w:rPr>
        <w:rFonts w:ascii="Courier New" w:hAnsi="Courier New" w:cs="Courier New" w:hint="default"/>
      </w:rPr>
    </w:lvl>
    <w:lvl w:ilvl="2" w:tplc="04160005" w:tentative="1">
      <w:start w:val="1"/>
      <w:numFmt w:val="bullet"/>
      <w:lvlText w:val=""/>
      <w:lvlJc w:val="left"/>
      <w:pPr>
        <w:ind w:left="3937" w:hanging="360"/>
      </w:pPr>
      <w:rPr>
        <w:rFonts w:ascii="Wingdings" w:hAnsi="Wingdings" w:hint="default"/>
      </w:rPr>
    </w:lvl>
    <w:lvl w:ilvl="3" w:tplc="04160001" w:tentative="1">
      <w:start w:val="1"/>
      <w:numFmt w:val="bullet"/>
      <w:lvlText w:val=""/>
      <w:lvlJc w:val="left"/>
      <w:pPr>
        <w:ind w:left="4657" w:hanging="360"/>
      </w:pPr>
      <w:rPr>
        <w:rFonts w:ascii="Symbol" w:hAnsi="Symbol" w:hint="default"/>
      </w:rPr>
    </w:lvl>
    <w:lvl w:ilvl="4" w:tplc="04160003" w:tentative="1">
      <w:start w:val="1"/>
      <w:numFmt w:val="bullet"/>
      <w:lvlText w:val="o"/>
      <w:lvlJc w:val="left"/>
      <w:pPr>
        <w:ind w:left="5377" w:hanging="360"/>
      </w:pPr>
      <w:rPr>
        <w:rFonts w:ascii="Courier New" w:hAnsi="Courier New" w:cs="Courier New" w:hint="default"/>
      </w:rPr>
    </w:lvl>
    <w:lvl w:ilvl="5" w:tplc="04160005" w:tentative="1">
      <w:start w:val="1"/>
      <w:numFmt w:val="bullet"/>
      <w:lvlText w:val=""/>
      <w:lvlJc w:val="left"/>
      <w:pPr>
        <w:ind w:left="6097" w:hanging="360"/>
      </w:pPr>
      <w:rPr>
        <w:rFonts w:ascii="Wingdings" w:hAnsi="Wingdings" w:hint="default"/>
      </w:rPr>
    </w:lvl>
    <w:lvl w:ilvl="6" w:tplc="04160001" w:tentative="1">
      <w:start w:val="1"/>
      <w:numFmt w:val="bullet"/>
      <w:lvlText w:val=""/>
      <w:lvlJc w:val="left"/>
      <w:pPr>
        <w:ind w:left="6817" w:hanging="360"/>
      </w:pPr>
      <w:rPr>
        <w:rFonts w:ascii="Symbol" w:hAnsi="Symbol" w:hint="default"/>
      </w:rPr>
    </w:lvl>
    <w:lvl w:ilvl="7" w:tplc="04160003" w:tentative="1">
      <w:start w:val="1"/>
      <w:numFmt w:val="bullet"/>
      <w:lvlText w:val="o"/>
      <w:lvlJc w:val="left"/>
      <w:pPr>
        <w:ind w:left="7537" w:hanging="360"/>
      </w:pPr>
      <w:rPr>
        <w:rFonts w:ascii="Courier New" w:hAnsi="Courier New" w:cs="Courier New" w:hint="default"/>
      </w:rPr>
    </w:lvl>
    <w:lvl w:ilvl="8" w:tplc="04160005" w:tentative="1">
      <w:start w:val="1"/>
      <w:numFmt w:val="bullet"/>
      <w:lvlText w:val=""/>
      <w:lvlJc w:val="left"/>
      <w:pPr>
        <w:ind w:left="8257" w:hanging="360"/>
      </w:pPr>
      <w:rPr>
        <w:rFonts w:ascii="Wingdings" w:hAnsi="Wingdings" w:hint="default"/>
      </w:rPr>
    </w:lvl>
  </w:abstractNum>
  <w:abstractNum w:abstractNumId="55">
    <w:nsid w:val="7EE905A1"/>
    <w:multiLevelType w:val="hybridMultilevel"/>
    <w:tmpl w:val="3E70CAAA"/>
    <w:lvl w:ilvl="0" w:tplc="F23EBDBE">
      <w:start w:val="1"/>
      <w:numFmt w:val="bullet"/>
      <w:lvlText w:val=""/>
      <w:lvlJc w:val="left"/>
      <w:pPr>
        <w:ind w:left="1069" w:hanging="360"/>
      </w:pPr>
      <w:rPr>
        <w:rFonts w:ascii="Symbol" w:hAnsi="Symbol" w:hint="default"/>
        <w:sz w:val="22"/>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num w:numId="1">
    <w:abstractNumId w:val="29"/>
  </w:num>
  <w:num w:numId="2">
    <w:abstractNumId w:val="44"/>
  </w:num>
  <w:num w:numId="3">
    <w:abstractNumId w:val="2"/>
  </w:num>
  <w:num w:numId="4">
    <w:abstractNumId w:val="50"/>
  </w:num>
  <w:num w:numId="5">
    <w:abstractNumId w:val="47"/>
  </w:num>
  <w:num w:numId="6">
    <w:abstractNumId w:val="25"/>
  </w:num>
  <w:num w:numId="7">
    <w:abstractNumId w:val="37"/>
  </w:num>
  <w:num w:numId="8">
    <w:abstractNumId w:val="41"/>
  </w:num>
  <w:num w:numId="9">
    <w:abstractNumId w:val="23"/>
  </w:num>
  <w:num w:numId="10">
    <w:abstractNumId w:val="39"/>
  </w:num>
  <w:num w:numId="11">
    <w:abstractNumId w:val="45"/>
  </w:num>
  <w:num w:numId="12">
    <w:abstractNumId w:val="13"/>
  </w:num>
  <w:num w:numId="13">
    <w:abstractNumId w:val="51"/>
  </w:num>
  <w:num w:numId="14">
    <w:abstractNumId w:val="21"/>
  </w:num>
  <w:num w:numId="15">
    <w:abstractNumId w:val="4"/>
  </w:num>
  <w:num w:numId="16">
    <w:abstractNumId w:val="9"/>
  </w:num>
  <w:num w:numId="17">
    <w:abstractNumId w:val="28"/>
  </w:num>
  <w:num w:numId="18">
    <w:abstractNumId w:val="17"/>
  </w:num>
  <w:num w:numId="19">
    <w:abstractNumId w:val="40"/>
  </w:num>
  <w:num w:numId="20">
    <w:abstractNumId w:val="26"/>
  </w:num>
  <w:num w:numId="21">
    <w:abstractNumId w:val="52"/>
  </w:num>
  <w:num w:numId="22">
    <w:abstractNumId w:val="8"/>
  </w:num>
  <w:num w:numId="23">
    <w:abstractNumId w:val="7"/>
  </w:num>
  <w:num w:numId="24">
    <w:abstractNumId w:val="33"/>
  </w:num>
  <w:num w:numId="25">
    <w:abstractNumId w:val="11"/>
  </w:num>
  <w:num w:numId="26">
    <w:abstractNumId w:val="16"/>
  </w:num>
  <w:num w:numId="27">
    <w:abstractNumId w:val="30"/>
  </w:num>
  <w:num w:numId="28">
    <w:abstractNumId w:val="20"/>
  </w:num>
  <w:num w:numId="29">
    <w:abstractNumId w:val="48"/>
  </w:num>
  <w:num w:numId="30">
    <w:abstractNumId w:val="34"/>
  </w:num>
  <w:num w:numId="31">
    <w:abstractNumId w:val="55"/>
  </w:num>
  <w:num w:numId="32">
    <w:abstractNumId w:val="46"/>
  </w:num>
  <w:num w:numId="33">
    <w:abstractNumId w:val="42"/>
  </w:num>
  <w:num w:numId="34">
    <w:abstractNumId w:val="38"/>
  </w:num>
  <w:num w:numId="35">
    <w:abstractNumId w:val="14"/>
  </w:num>
  <w:num w:numId="36">
    <w:abstractNumId w:val="18"/>
  </w:num>
  <w:num w:numId="37">
    <w:abstractNumId w:val="49"/>
  </w:num>
  <w:num w:numId="38">
    <w:abstractNumId w:val="19"/>
  </w:num>
  <w:num w:numId="39">
    <w:abstractNumId w:val="12"/>
  </w:num>
  <w:num w:numId="40">
    <w:abstractNumId w:val="0"/>
  </w:num>
  <w:num w:numId="41">
    <w:abstractNumId w:val="35"/>
  </w:num>
  <w:num w:numId="42">
    <w:abstractNumId w:val="1"/>
  </w:num>
  <w:num w:numId="43">
    <w:abstractNumId w:val="36"/>
  </w:num>
  <w:num w:numId="44">
    <w:abstractNumId w:val="6"/>
  </w:num>
  <w:num w:numId="45">
    <w:abstractNumId w:val="3"/>
  </w:num>
  <w:num w:numId="46">
    <w:abstractNumId w:val="22"/>
  </w:num>
  <w:num w:numId="47">
    <w:abstractNumId w:val="53"/>
  </w:num>
  <w:num w:numId="48">
    <w:abstractNumId w:val="54"/>
  </w:num>
  <w:num w:numId="49">
    <w:abstractNumId w:val="10"/>
  </w:num>
  <w:num w:numId="50">
    <w:abstractNumId w:val="24"/>
  </w:num>
  <w:num w:numId="51">
    <w:abstractNumId w:val="43"/>
  </w:num>
  <w:num w:numId="52">
    <w:abstractNumId w:val="27"/>
  </w:num>
  <w:num w:numId="53">
    <w:abstractNumId w:val="5"/>
  </w:num>
  <w:num w:numId="54">
    <w:abstractNumId w:val="15"/>
  </w:num>
  <w:num w:numId="55">
    <w:abstractNumId w:val="31"/>
  </w:num>
  <w:num w:numId="56">
    <w:abstractNumId w:val="32"/>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439F"/>
    <w:rsid w:val="00000622"/>
    <w:rsid w:val="00000904"/>
    <w:rsid w:val="00001932"/>
    <w:rsid w:val="0000706D"/>
    <w:rsid w:val="0000737B"/>
    <w:rsid w:val="00011AF5"/>
    <w:rsid w:val="00031935"/>
    <w:rsid w:val="00033760"/>
    <w:rsid w:val="00042EDB"/>
    <w:rsid w:val="000512A3"/>
    <w:rsid w:val="00056BE0"/>
    <w:rsid w:val="000736DE"/>
    <w:rsid w:val="00075811"/>
    <w:rsid w:val="000820A8"/>
    <w:rsid w:val="000822F0"/>
    <w:rsid w:val="0008330F"/>
    <w:rsid w:val="000917CE"/>
    <w:rsid w:val="00092E15"/>
    <w:rsid w:val="000A3E8C"/>
    <w:rsid w:val="000B0794"/>
    <w:rsid w:val="000B3308"/>
    <w:rsid w:val="000B3BBE"/>
    <w:rsid w:val="000B4168"/>
    <w:rsid w:val="000C17EB"/>
    <w:rsid w:val="000C310E"/>
    <w:rsid w:val="000C5DD6"/>
    <w:rsid w:val="000D3824"/>
    <w:rsid w:val="000D4533"/>
    <w:rsid w:val="000D4753"/>
    <w:rsid w:val="000F33C7"/>
    <w:rsid w:val="001000C5"/>
    <w:rsid w:val="00106046"/>
    <w:rsid w:val="00107029"/>
    <w:rsid w:val="00121866"/>
    <w:rsid w:val="00122C0C"/>
    <w:rsid w:val="001277BE"/>
    <w:rsid w:val="0013537B"/>
    <w:rsid w:val="00137538"/>
    <w:rsid w:val="0014433B"/>
    <w:rsid w:val="00145E79"/>
    <w:rsid w:val="00146231"/>
    <w:rsid w:val="00146946"/>
    <w:rsid w:val="00146A1B"/>
    <w:rsid w:val="00147624"/>
    <w:rsid w:val="00150494"/>
    <w:rsid w:val="0015306A"/>
    <w:rsid w:val="00160B79"/>
    <w:rsid w:val="00163052"/>
    <w:rsid w:val="00165CA2"/>
    <w:rsid w:val="00166C63"/>
    <w:rsid w:val="00172D03"/>
    <w:rsid w:val="00177EA2"/>
    <w:rsid w:val="001871D4"/>
    <w:rsid w:val="00191932"/>
    <w:rsid w:val="00192DB6"/>
    <w:rsid w:val="001A3C41"/>
    <w:rsid w:val="001A4260"/>
    <w:rsid w:val="001C2081"/>
    <w:rsid w:val="001C24C1"/>
    <w:rsid w:val="001C2E91"/>
    <w:rsid w:val="001C333D"/>
    <w:rsid w:val="001C7BD1"/>
    <w:rsid w:val="001D0A62"/>
    <w:rsid w:val="001D1D58"/>
    <w:rsid w:val="001D2F23"/>
    <w:rsid w:val="001D33A3"/>
    <w:rsid w:val="001D6C68"/>
    <w:rsid w:val="001D7F33"/>
    <w:rsid w:val="001E178D"/>
    <w:rsid w:val="001F0A80"/>
    <w:rsid w:val="001F0E0C"/>
    <w:rsid w:val="00210A37"/>
    <w:rsid w:val="00211E8C"/>
    <w:rsid w:val="002123CF"/>
    <w:rsid w:val="00213AEB"/>
    <w:rsid w:val="002210B9"/>
    <w:rsid w:val="00226813"/>
    <w:rsid w:val="00232721"/>
    <w:rsid w:val="00241EFA"/>
    <w:rsid w:val="0024203B"/>
    <w:rsid w:val="002521A4"/>
    <w:rsid w:val="002533EA"/>
    <w:rsid w:val="002550A4"/>
    <w:rsid w:val="002558A4"/>
    <w:rsid w:val="0026452E"/>
    <w:rsid w:val="00265C1B"/>
    <w:rsid w:val="00272BAF"/>
    <w:rsid w:val="002847A2"/>
    <w:rsid w:val="00291A25"/>
    <w:rsid w:val="002957A8"/>
    <w:rsid w:val="002A3756"/>
    <w:rsid w:val="002B7B98"/>
    <w:rsid w:val="002C1C18"/>
    <w:rsid w:val="002C2531"/>
    <w:rsid w:val="002C2D6F"/>
    <w:rsid w:val="002D2C3F"/>
    <w:rsid w:val="002D7309"/>
    <w:rsid w:val="002E11D6"/>
    <w:rsid w:val="002E28D7"/>
    <w:rsid w:val="002E481F"/>
    <w:rsid w:val="002E6C52"/>
    <w:rsid w:val="002E78E9"/>
    <w:rsid w:val="002F4E16"/>
    <w:rsid w:val="0030116D"/>
    <w:rsid w:val="00302A16"/>
    <w:rsid w:val="00303533"/>
    <w:rsid w:val="00304D22"/>
    <w:rsid w:val="00313ECA"/>
    <w:rsid w:val="00314655"/>
    <w:rsid w:val="00322534"/>
    <w:rsid w:val="003271CA"/>
    <w:rsid w:val="00330A1A"/>
    <w:rsid w:val="00333B19"/>
    <w:rsid w:val="00334E37"/>
    <w:rsid w:val="003419B4"/>
    <w:rsid w:val="0034273A"/>
    <w:rsid w:val="00343110"/>
    <w:rsid w:val="00347E31"/>
    <w:rsid w:val="0035032C"/>
    <w:rsid w:val="00354FA2"/>
    <w:rsid w:val="00357451"/>
    <w:rsid w:val="003672CA"/>
    <w:rsid w:val="003702F8"/>
    <w:rsid w:val="00373BEE"/>
    <w:rsid w:val="0038012F"/>
    <w:rsid w:val="00386A5B"/>
    <w:rsid w:val="00386D60"/>
    <w:rsid w:val="003870BE"/>
    <w:rsid w:val="00390AF3"/>
    <w:rsid w:val="003953CE"/>
    <w:rsid w:val="00397DC9"/>
    <w:rsid w:val="003A071C"/>
    <w:rsid w:val="003A0BBA"/>
    <w:rsid w:val="003A55C9"/>
    <w:rsid w:val="003B53D7"/>
    <w:rsid w:val="003C6612"/>
    <w:rsid w:val="003E1A73"/>
    <w:rsid w:val="003E1CEC"/>
    <w:rsid w:val="003F090E"/>
    <w:rsid w:val="003F1385"/>
    <w:rsid w:val="003F2202"/>
    <w:rsid w:val="003F2C8F"/>
    <w:rsid w:val="003F5401"/>
    <w:rsid w:val="004037C8"/>
    <w:rsid w:val="00403CE1"/>
    <w:rsid w:val="0040435B"/>
    <w:rsid w:val="0043439F"/>
    <w:rsid w:val="00437716"/>
    <w:rsid w:val="0044076B"/>
    <w:rsid w:val="0044629E"/>
    <w:rsid w:val="004502D8"/>
    <w:rsid w:val="00451981"/>
    <w:rsid w:val="004531FC"/>
    <w:rsid w:val="004540A6"/>
    <w:rsid w:val="00460877"/>
    <w:rsid w:val="00466071"/>
    <w:rsid w:val="00467379"/>
    <w:rsid w:val="00475E31"/>
    <w:rsid w:val="0047626B"/>
    <w:rsid w:val="00480C45"/>
    <w:rsid w:val="00497B30"/>
    <w:rsid w:val="004A41CA"/>
    <w:rsid w:val="004A4FA0"/>
    <w:rsid w:val="004B6B35"/>
    <w:rsid w:val="004C547A"/>
    <w:rsid w:val="004C57AC"/>
    <w:rsid w:val="004D6A9A"/>
    <w:rsid w:val="004E4380"/>
    <w:rsid w:val="004F24F3"/>
    <w:rsid w:val="004F571D"/>
    <w:rsid w:val="004F77E2"/>
    <w:rsid w:val="005028F2"/>
    <w:rsid w:val="0050508A"/>
    <w:rsid w:val="00523A67"/>
    <w:rsid w:val="005320AE"/>
    <w:rsid w:val="005333B5"/>
    <w:rsid w:val="0053477A"/>
    <w:rsid w:val="0054384B"/>
    <w:rsid w:val="005445E2"/>
    <w:rsid w:val="0054513D"/>
    <w:rsid w:val="005703B0"/>
    <w:rsid w:val="00571B53"/>
    <w:rsid w:val="00573111"/>
    <w:rsid w:val="0057434B"/>
    <w:rsid w:val="00581F79"/>
    <w:rsid w:val="0058586C"/>
    <w:rsid w:val="00590BF3"/>
    <w:rsid w:val="00593865"/>
    <w:rsid w:val="0059516B"/>
    <w:rsid w:val="005A4625"/>
    <w:rsid w:val="005B295F"/>
    <w:rsid w:val="005B6AB6"/>
    <w:rsid w:val="005B71E7"/>
    <w:rsid w:val="005C3DC4"/>
    <w:rsid w:val="005C4DCE"/>
    <w:rsid w:val="005C7DDE"/>
    <w:rsid w:val="005D1436"/>
    <w:rsid w:val="005D5C15"/>
    <w:rsid w:val="005E0A15"/>
    <w:rsid w:val="005E1505"/>
    <w:rsid w:val="005E5A4F"/>
    <w:rsid w:val="005F075C"/>
    <w:rsid w:val="00606FBD"/>
    <w:rsid w:val="00612D12"/>
    <w:rsid w:val="0061354A"/>
    <w:rsid w:val="006173C5"/>
    <w:rsid w:val="00620CA4"/>
    <w:rsid w:val="006221C2"/>
    <w:rsid w:val="00622AD7"/>
    <w:rsid w:val="00632A7E"/>
    <w:rsid w:val="00635085"/>
    <w:rsid w:val="0064025D"/>
    <w:rsid w:val="00643036"/>
    <w:rsid w:val="0066503D"/>
    <w:rsid w:val="00670690"/>
    <w:rsid w:val="00673009"/>
    <w:rsid w:val="0068197C"/>
    <w:rsid w:val="00684DEA"/>
    <w:rsid w:val="00691EB2"/>
    <w:rsid w:val="00697D30"/>
    <w:rsid w:val="006A24C4"/>
    <w:rsid w:val="006A268C"/>
    <w:rsid w:val="006A31EB"/>
    <w:rsid w:val="006A43ED"/>
    <w:rsid w:val="006A499B"/>
    <w:rsid w:val="006A79FD"/>
    <w:rsid w:val="006B06F3"/>
    <w:rsid w:val="006B79DA"/>
    <w:rsid w:val="006C0AAF"/>
    <w:rsid w:val="006C26A1"/>
    <w:rsid w:val="006E216B"/>
    <w:rsid w:val="006E41B6"/>
    <w:rsid w:val="006E79AA"/>
    <w:rsid w:val="006F3B58"/>
    <w:rsid w:val="006F771C"/>
    <w:rsid w:val="007001D0"/>
    <w:rsid w:val="00701F54"/>
    <w:rsid w:val="00705554"/>
    <w:rsid w:val="00714DBF"/>
    <w:rsid w:val="00732253"/>
    <w:rsid w:val="00740622"/>
    <w:rsid w:val="007505D8"/>
    <w:rsid w:val="007540B9"/>
    <w:rsid w:val="007557FD"/>
    <w:rsid w:val="0075744C"/>
    <w:rsid w:val="0076633E"/>
    <w:rsid w:val="00770677"/>
    <w:rsid w:val="00780A55"/>
    <w:rsid w:val="00781FE4"/>
    <w:rsid w:val="0079362C"/>
    <w:rsid w:val="0079450A"/>
    <w:rsid w:val="0079735E"/>
    <w:rsid w:val="007A0B11"/>
    <w:rsid w:val="007A53AE"/>
    <w:rsid w:val="007A6FD6"/>
    <w:rsid w:val="007A738C"/>
    <w:rsid w:val="007B426E"/>
    <w:rsid w:val="007B639C"/>
    <w:rsid w:val="007C27B3"/>
    <w:rsid w:val="007C4062"/>
    <w:rsid w:val="007D30BE"/>
    <w:rsid w:val="007E6423"/>
    <w:rsid w:val="007E7683"/>
    <w:rsid w:val="008001BF"/>
    <w:rsid w:val="00805706"/>
    <w:rsid w:val="00811B32"/>
    <w:rsid w:val="00815108"/>
    <w:rsid w:val="008309C0"/>
    <w:rsid w:val="00832ECA"/>
    <w:rsid w:val="0083363A"/>
    <w:rsid w:val="00833DC5"/>
    <w:rsid w:val="00843498"/>
    <w:rsid w:val="00845C3D"/>
    <w:rsid w:val="0084727F"/>
    <w:rsid w:val="00847E94"/>
    <w:rsid w:val="00850AF7"/>
    <w:rsid w:val="00852409"/>
    <w:rsid w:val="00857798"/>
    <w:rsid w:val="008662EC"/>
    <w:rsid w:val="008741DF"/>
    <w:rsid w:val="00874333"/>
    <w:rsid w:val="00876CD0"/>
    <w:rsid w:val="008846C3"/>
    <w:rsid w:val="00885F7E"/>
    <w:rsid w:val="00886DAD"/>
    <w:rsid w:val="00887394"/>
    <w:rsid w:val="00887E16"/>
    <w:rsid w:val="00892B00"/>
    <w:rsid w:val="008A2F13"/>
    <w:rsid w:val="008A54BD"/>
    <w:rsid w:val="008A5A61"/>
    <w:rsid w:val="008B0C42"/>
    <w:rsid w:val="008B13DE"/>
    <w:rsid w:val="008C148B"/>
    <w:rsid w:val="008D43D2"/>
    <w:rsid w:val="008E169C"/>
    <w:rsid w:val="008E1A58"/>
    <w:rsid w:val="008E5D92"/>
    <w:rsid w:val="008F34B6"/>
    <w:rsid w:val="008F75B3"/>
    <w:rsid w:val="00903AC6"/>
    <w:rsid w:val="00912AD8"/>
    <w:rsid w:val="0091358D"/>
    <w:rsid w:val="00922902"/>
    <w:rsid w:val="00923EB2"/>
    <w:rsid w:val="00924AB9"/>
    <w:rsid w:val="0094421F"/>
    <w:rsid w:val="00951022"/>
    <w:rsid w:val="00951ADD"/>
    <w:rsid w:val="00964E64"/>
    <w:rsid w:val="009708C0"/>
    <w:rsid w:val="00971B37"/>
    <w:rsid w:val="00985BE4"/>
    <w:rsid w:val="00986205"/>
    <w:rsid w:val="009865BA"/>
    <w:rsid w:val="00987CD2"/>
    <w:rsid w:val="00992458"/>
    <w:rsid w:val="00995ADD"/>
    <w:rsid w:val="009A0C4A"/>
    <w:rsid w:val="009A1FE7"/>
    <w:rsid w:val="009A5082"/>
    <w:rsid w:val="009A5340"/>
    <w:rsid w:val="009B1415"/>
    <w:rsid w:val="009B556B"/>
    <w:rsid w:val="009C05AA"/>
    <w:rsid w:val="009C29C2"/>
    <w:rsid w:val="009C5985"/>
    <w:rsid w:val="009D198A"/>
    <w:rsid w:val="009E1C96"/>
    <w:rsid w:val="009E2AEA"/>
    <w:rsid w:val="009E30DF"/>
    <w:rsid w:val="00A04754"/>
    <w:rsid w:val="00A04928"/>
    <w:rsid w:val="00A07F8F"/>
    <w:rsid w:val="00A11184"/>
    <w:rsid w:val="00A13597"/>
    <w:rsid w:val="00A173AA"/>
    <w:rsid w:val="00A275C9"/>
    <w:rsid w:val="00A318C8"/>
    <w:rsid w:val="00A3385D"/>
    <w:rsid w:val="00A369F0"/>
    <w:rsid w:val="00A4132B"/>
    <w:rsid w:val="00A45AB3"/>
    <w:rsid w:val="00A465BC"/>
    <w:rsid w:val="00A466EA"/>
    <w:rsid w:val="00A550CC"/>
    <w:rsid w:val="00A64C12"/>
    <w:rsid w:val="00A67123"/>
    <w:rsid w:val="00A732CE"/>
    <w:rsid w:val="00A73BC5"/>
    <w:rsid w:val="00A80257"/>
    <w:rsid w:val="00A83BE8"/>
    <w:rsid w:val="00A84A37"/>
    <w:rsid w:val="00A84DE6"/>
    <w:rsid w:val="00A859F3"/>
    <w:rsid w:val="00AA73F0"/>
    <w:rsid w:val="00AA7B12"/>
    <w:rsid w:val="00AB041F"/>
    <w:rsid w:val="00AB05F0"/>
    <w:rsid w:val="00AB7E80"/>
    <w:rsid w:val="00AD3BC2"/>
    <w:rsid w:val="00AD42AE"/>
    <w:rsid w:val="00AD48E4"/>
    <w:rsid w:val="00AE3D64"/>
    <w:rsid w:val="00AE65D3"/>
    <w:rsid w:val="00B02273"/>
    <w:rsid w:val="00B04C7D"/>
    <w:rsid w:val="00B064E0"/>
    <w:rsid w:val="00B16C6C"/>
    <w:rsid w:val="00B17875"/>
    <w:rsid w:val="00B2014E"/>
    <w:rsid w:val="00B21A14"/>
    <w:rsid w:val="00B22169"/>
    <w:rsid w:val="00B244CE"/>
    <w:rsid w:val="00B41C36"/>
    <w:rsid w:val="00B462CA"/>
    <w:rsid w:val="00B515F8"/>
    <w:rsid w:val="00B55826"/>
    <w:rsid w:val="00B67892"/>
    <w:rsid w:val="00B706C2"/>
    <w:rsid w:val="00B70B31"/>
    <w:rsid w:val="00B84A6E"/>
    <w:rsid w:val="00B853AD"/>
    <w:rsid w:val="00B87210"/>
    <w:rsid w:val="00B87BA2"/>
    <w:rsid w:val="00B96AE7"/>
    <w:rsid w:val="00B96B7E"/>
    <w:rsid w:val="00BA2B02"/>
    <w:rsid w:val="00BA341D"/>
    <w:rsid w:val="00BA361D"/>
    <w:rsid w:val="00BA38F4"/>
    <w:rsid w:val="00BA3BE0"/>
    <w:rsid w:val="00BA7595"/>
    <w:rsid w:val="00BB1250"/>
    <w:rsid w:val="00BB3B4E"/>
    <w:rsid w:val="00BB4344"/>
    <w:rsid w:val="00BC05F5"/>
    <w:rsid w:val="00BC10FF"/>
    <w:rsid w:val="00BC29A7"/>
    <w:rsid w:val="00BC3186"/>
    <w:rsid w:val="00BC4359"/>
    <w:rsid w:val="00BD53A4"/>
    <w:rsid w:val="00BF2E72"/>
    <w:rsid w:val="00BF4A30"/>
    <w:rsid w:val="00BF5409"/>
    <w:rsid w:val="00C02BBF"/>
    <w:rsid w:val="00C03B56"/>
    <w:rsid w:val="00C12FCA"/>
    <w:rsid w:val="00C21828"/>
    <w:rsid w:val="00C34884"/>
    <w:rsid w:val="00C36463"/>
    <w:rsid w:val="00C36806"/>
    <w:rsid w:val="00C56A3B"/>
    <w:rsid w:val="00C64654"/>
    <w:rsid w:val="00C660F9"/>
    <w:rsid w:val="00C71966"/>
    <w:rsid w:val="00C77BF3"/>
    <w:rsid w:val="00C80994"/>
    <w:rsid w:val="00C82D86"/>
    <w:rsid w:val="00C92BF5"/>
    <w:rsid w:val="00C930AA"/>
    <w:rsid w:val="00CA0C81"/>
    <w:rsid w:val="00CA1B2C"/>
    <w:rsid w:val="00CA7A38"/>
    <w:rsid w:val="00CB07F3"/>
    <w:rsid w:val="00CB12DC"/>
    <w:rsid w:val="00CB6D10"/>
    <w:rsid w:val="00CC406E"/>
    <w:rsid w:val="00CC77E7"/>
    <w:rsid w:val="00CD790B"/>
    <w:rsid w:val="00CE6EAD"/>
    <w:rsid w:val="00CE7367"/>
    <w:rsid w:val="00CF0615"/>
    <w:rsid w:val="00CF2A01"/>
    <w:rsid w:val="00D06390"/>
    <w:rsid w:val="00D22CE3"/>
    <w:rsid w:val="00D35B10"/>
    <w:rsid w:val="00D467E0"/>
    <w:rsid w:val="00D508FB"/>
    <w:rsid w:val="00D52152"/>
    <w:rsid w:val="00D61A9A"/>
    <w:rsid w:val="00D65098"/>
    <w:rsid w:val="00D70400"/>
    <w:rsid w:val="00D77442"/>
    <w:rsid w:val="00D8518B"/>
    <w:rsid w:val="00D86A05"/>
    <w:rsid w:val="00D92A13"/>
    <w:rsid w:val="00D95526"/>
    <w:rsid w:val="00DA5078"/>
    <w:rsid w:val="00DA60FA"/>
    <w:rsid w:val="00DB07C0"/>
    <w:rsid w:val="00DC09AB"/>
    <w:rsid w:val="00DC3F18"/>
    <w:rsid w:val="00DC7CD7"/>
    <w:rsid w:val="00DD1974"/>
    <w:rsid w:val="00DD53B6"/>
    <w:rsid w:val="00DD779E"/>
    <w:rsid w:val="00DF4722"/>
    <w:rsid w:val="00DF5192"/>
    <w:rsid w:val="00DF7568"/>
    <w:rsid w:val="00E05FF5"/>
    <w:rsid w:val="00E17118"/>
    <w:rsid w:val="00E30BD1"/>
    <w:rsid w:val="00E32574"/>
    <w:rsid w:val="00E40FED"/>
    <w:rsid w:val="00E526B0"/>
    <w:rsid w:val="00E53895"/>
    <w:rsid w:val="00E61E74"/>
    <w:rsid w:val="00E64A13"/>
    <w:rsid w:val="00E66158"/>
    <w:rsid w:val="00E66611"/>
    <w:rsid w:val="00E7020D"/>
    <w:rsid w:val="00E71464"/>
    <w:rsid w:val="00E71A4F"/>
    <w:rsid w:val="00E723BE"/>
    <w:rsid w:val="00E90E6C"/>
    <w:rsid w:val="00E91D4D"/>
    <w:rsid w:val="00EA1700"/>
    <w:rsid w:val="00EB041C"/>
    <w:rsid w:val="00EB04C1"/>
    <w:rsid w:val="00EB3F0B"/>
    <w:rsid w:val="00EC0155"/>
    <w:rsid w:val="00ED46A4"/>
    <w:rsid w:val="00ED4CC4"/>
    <w:rsid w:val="00ED5518"/>
    <w:rsid w:val="00ED6421"/>
    <w:rsid w:val="00ED7617"/>
    <w:rsid w:val="00ED7D13"/>
    <w:rsid w:val="00EE2AB3"/>
    <w:rsid w:val="00EE5E7F"/>
    <w:rsid w:val="00EE6735"/>
    <w:rsid w:val="00EF2510"/>
    <w:rsid w:val="00F071DD"/>
    <w:rsid w:val="00F10578"/>
    <w:rsid w:val="00F109BC"/>
    <w:rsid w:val="00F175B7"/>
    <w:rsid w:val="00F26135"/>
    <w:rsid w:val="00F32EBA"/>
    <w:rsid w:val="00F42D6A"/>
    <w:rsid w:val="00F445D4"/>
    <w:rsid w:val="00F522A3"/>
    <w:rsid w:val="00F53533"/>
    <w:rsid w:val="00F57CB1"/>
    <w:rsid w:val="00F6533B"/>
    <w:rsid w:val="00F663EB"/>
    <w:rsid w:val="00F6688F"/>
    <w:rsid w:val="00F67507"/>
    <w:rsid w:val="00F700D4"/>
    <w:rsid w:val="00F77D5A"/>
    <w:rsid w:val="00F878F3"/>
    <w:rsid w:val="00F97D42"/>
    <w:rsid w:val="00FA71C9"/>
    <w:rsid w:val="00FB0A65"/>
    <w:rsid w:val="00FD15D1"/>
    <w:rsid w:val="00FD35B5"/>
    <w:rsid w:val="00FD4817"/>
    <w:rsid w:val="00FD51E6"/>
    <w:rsid w:val="00FE2CA8"/>
    <w:rsid w:val="00FE4F3E"/>
    <w:rsid w:val="00FF0D8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15:docId w15:val="{3AE59F75-3672-412D-B85A-8E45F5B87C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502D8"/>
    <w:pPr>
      <w:spacing w:after="160" w:line="259" w:lineRule="auto"/>
    </w:pPr>
    <w:rPr>
      <w:rFonts w:ascii="Times New Roman" w:hAnsi="Times New Roman"/>
      <w:sz w:val="24"/>
    </w:rPr>
  </w:style>
  <w:style w:type="paragraph" w:styleId="Ttulo1">
    <w:name w:val="heading 1"/>
    <w:basedOn w:val="Normal"/>
    <w:next w:val="Normal"/>
    <w:link w:val="Ttulo1Char"/>
    <w:qFormat/>
    <w:rsid w:val="0043439F"/>
    <w:pPr>
      <w:keepNext/>
      <w:keepLines/>
      <w:spacing w:before="480" w:after="0"/>
      <w:jc w:val="center"/>
      <w:outlineLvl w:val="0"/>
    </w:pPr>
    <w:rPr>
      <w:rFonts w:eastAsiaTheme="majorEastAsia" w:cstheme="majorBidi"/>
      <w:b/>
      <w:bCs/>
      <w:color w:val="000000" w:themeColor="text1"/>
      <w:sz w:val="32"/>
      <w:szCs w:val="28"/>
    </w:rPr>
  </w:style>
  <w:style w:type="paragraph" w:styleId="Ttulo2">
    <w:name w:val="heading 2"/>
    <w:basedOn w:val="Normal"/>
    <w:next w:val="Normal"/>
    <w:link w:val="Ttulo2Char"/>
    <w:unhideWhenUsed/>
    <w:qFormat/>
    <w:rsid w:val="00E3257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0">
    <w:name w:val="heading 3"/>
    <w:basedOn w:val="Normal"/>
    <w:next w:val="Normal"/>
    <w:link w:val="Ttulo3Char"/>
    <w:qFormat/>
    <w:rsid w:val="00E32574"/>
    <w:pPr>
      <w:keepNext/>
      <w:keepLines/>
      <w:spacing w:before="40" w:after="0"/>
      <w:outlineLvl w:val="2"/>
    </w:pPr>
    <w:rPr>
      <w:rFonts w:ascii="Calibri Light" w:eastAsia="Calibri" w:hAnsi="Calibri Light" w:cs="Times New Roman"/>
      <w:color w:val="1F4D78"/>
      <w:szCs w:val="24"/>
      <w:lang w:eastAsia="pt-BR"/>
    </w:rPr>
  </w:style>
  <w:style w:type="paragraph" w:styleId="Ttulo4">
    <w:name w:val="heading 4"/>
    <w:basedOn w:val="Normal"/>
    <w:next w:val="Normal"/>
    <w:link w:val="Ttulo4Char"/>
    <w:qFormat/>
    <w:rsid w:val="00E32574"/>
    <w:pPr>
      <w:keepNext/>
      <w:spacing w:after="0" w:line="240" w:lineRule="auto"/>
      <w:jc w:val="center"/>
      <w:outlineLvl w:val="3"/>
    </w:pPr>
    <w:rPr>
      <w:rFonts w:eastAsia="Calibri" w:cs="Times New Roman"/>
      <w:b/>
      <w:color w:val="000000"/>
      <w:sz w:val="20"/>
      <w:szCs w:val="20"/>
      <w:lang w:val="en-US" w:eastAsia="pt-BR"/>
    </w:rPr>
  </w:style>
  <w:style w:type="paragraph" w:styleId="Ttulo5">
    <w:name w:val="heading 5"/>
    <w:basedOn w:val="Normal"/>
    <w:next w:val="Normal"/>
    <w:link w:val="Ttulo5Char"/>
    <w:qFormat/>
    <w:rsid w:val="00E32574"/>
    <w:pPr>
      <w:tabs>
        <w:tab w:val="num" w:pos="1008"/>
      </w:tabs>
      <w:spacing w:before="240" w:after="60" w:line="240" w:lineRule="auto"/>
      <w:ind w:left="1008" w:hanging="1008"/>
      <w:jc w:val="both"/>
      <w:outlineLvl w:val="4"/>
    </w:pPr>
    <w:rPr>
      <w:rFonts w:ascii="Arial" w:eastAsia="Times New Roman" w:hAnsi="Arial" w:cs="Times New Roman"/>
      <w:b/>
      <w:bCs/>
      <w:i/>
      <w:iCs/>
      <w:sz w:val="26"/>
      <w:szCs w:val="26"/>
      <w:lang w:eastAsia="pt-BR"/>
    </w:rPr>
  </w:style>
  <w:style w:type="paragraph" w:styleId="Ttulo6">
    <w:name w:val="heading 6"/>
    <w:basedOn w:val="Normal"/>
    <w:next w:val="Normal"/>
    <w:link w:val="Ttulo6Char"/>
    <w:qFormat/>
    <w:rsid w:val="00E32574"/>
    <w:pPr>
      <w:tabs>
        <w:tab w:val="num" w:pos="1152"/>
      </w:tabs>
      <w:spacing w:before="240" w:after="60" w:line="240" w:lineRule="auto"/>
      <w:ind w:left="1152" w:hanging="1152"/>
      <w:jc w:val="both"/>
      <w:outlineLvl w:val="5"/>
    </w:pPr>
    <w:rPr>
      <w:rFonts w:eastAsia="Times New Roman" w:cs="Times New Roman"/>
      <w:b/>
      <w:bCs/>
      <w:sz w:val="20"/>
      <w:szCs w:val="20"/>
      <w:lang w:eastAsia="pt-BR"/>
    </w:rPr>
  </w:style>
  <w:style w:type="paragraph" w:styleId="Ttulo7">
    <w:name w:val="heading 7"/>
    <w:basedOn w:val="Normal"/>
    <w:next w:val="Normal"/>
    <w:link w:val="Ttulo7Char"/>
    <w:qFormat/>
    <w:rsid w:val="00E32574"/>
    <w:pPr>
      <w:tabs>
        <w:tab w:val="num" w:pos="1296"/>
      </w:tabs>
      <w:spacing w:before="240" w:after="60" w:line="240" w:lineRule="auto"/>
      <w:ind w:left="1296" w:hanging="1296"/>
      <w:jc w:val="both"/>
      <w:outlineLvl w:val="6"/>
    </w:pPr>
    <w:rPr>
      <w:rFonts w:eastAsia="Times New Roman" w:cs="Times New Roman"/>
      <w:szCs w:val="24"/>
      <w:lang w:eastAsia="pt-BR"/>
    </w:rPr>
  </w:style>
  <w:style w:type="paragraph" w:styleId="Ttulo8">
    <w:name w:val="heading 8"/>
    <w:basedOn w:val="Normal"/>
    <w:next w:val="Normal"/>
    <w:link w:val="Ttulo8Char"/>
    <w:qFormat/>
    <w:rsid w:val="00E32574"/>
    <w:pPr>
      <w:tabs>
        <w:tab w:val="num" w:pos="1440"/>
      </w:tabs>
      <w:spacing w:before="240" w:after="60" w:line="240" w:lineRule="auto"/>
      <w:ind w:left="1440" w:hanging="1440"/>
      <w:jc w:val="both"/>
      <w:outlineLvl w:val="7"/>
    </w:pPr>
    <w:rPr>
      <w:rFonts w:eastAsia="Times New Roman" w:cs="Times New Roman"/>
      <w:i/>
      <w:iCs/>
      <w:szCs w:val="24"/>
      <w:lang w:eastAsia="pt-BR"/>
    </w:rPr>
  </w:style>
  <w:style w:type="paragraph" w:styleId="Ttulo9">
    <w:name w:val="heading 9"/>
    <w:basedOn w:val="Normal"/>
    <w:next w:val="Normal"/>
    <w:link w:val="Ttulo9Char"/>
    <w:qFormat/>
    <w:rsid w:val="00E32574"/>
    <w:pPr>
      <w:tabs>
        <w:tab w:val="num" w:pos="1584"/>
      </w:tabs>
      <w:spacing w:before="240" w:after="60" w:line="240" w:lineRule="auto"/>
      <w:ind w:left="1584" w:hanging="1584"/>
      <w:jc w:val="both"/>
      <w:outlineLvl w:val="8"/>
    </w:pPr>
    <w:rPr>
      <w:rFonts w:ascii="Arial" w:eastAsia="Times New Roman" w:hAnsi="Arial" w:cs="Times New Roman"/>
      <w:sz w:val="20"/>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43439F"/>
    <w:rPr>
      <w:rFonts w:eastAsiaTheme="majorEastAsia" w:cstheme="majorBidi"/>
      <w:b/>
      <w:bCs/>
      <w:color w:val="000000" w:themeColor="text1"/>
      <w:sz w:val="32"/>
      <w:szCs w:val="28"/>
    </w:rPr>
  </w:style>
  <w:style w:type="character" w:customStyle="1" w:styleId="Ttulo2Char">
    <w:name w:val="Título 2 Char"/>
    <w:basedOn w:val="Fontepargpadro"/>
    <w:link w:val="Ttulo2"/>
    <w:rsid w:val="00E32574"/>
    <w:rPr>
      <w:rFonts w:asciiTheme="majorHAnsi" w:eastAsiaTheme="majorEastAsia" w:hAnsiTheme="majorHAnsi" w:cstheme="majorBidi"/>
      <w:color w:val="365F91" w:themeColor="accent1" w:themeShade="BF"/>
      <w:sz w:val="26"/>
      <w:szCs w:val="26"/>
    </w:rPr>
  </w:style>
  <w:style w:type="character" w:customStyle="1" w:styleId="Ttulo3Char">
    <w:name w:val="Título 3 Char"/>
    <w:basedOn w:val="Fontepargpadro"/>
    <w:link w:val="Ttulo30"/>
    <w:rsid w:val="00E32574"/>
    <w:rPr>
      <w:rFonts w:ascii="Calibri Light" w:eastAsia="Calibri" w:hAnsi="Calibri Light" w:cs="Times New Roman"/>
      <w:color w:val="1F4D78"/>
      <w:sz w:val="24"/>
      <w:szCs w:val="24"/>
      <w:lang w:eastAsia="pt-BR"/>
    </w:rPr>
  </w:style>
  <w:style w:type="character" w:customStyle="1" w:styleId="Ttulo4Char">
    <w:name w:val="Título 4 Char"/>
    <w:basedOn w:val="Fontepargpadro"/>
    <w:link w:val="Ttulo4"/>
    <w:rsid w:val="00E32574"/>
    <w:rPr>
      <w:rFonts w:ascii="Times New Roman" w:eastAsia="Calibri" w:hAnsi="Times New Roman" w:cs="Times New Roman"/>
      <w:b/>
      <w:color w:val="000000"/>
      <w:sz w:val="20"/>
      <w:szCs w:val="20"/>
      <w:lang w:val="en-US" w:eastAsia="pt-BR"/>
    </w:rPr>
  </w:style>
  <w:style w:type="character" w:customStyle="1" w:styleId="Ttulo5Char">
    <w:name w:val="Título 5 Char"/>
    <w:basedOn w:val="Fontepargpadro"/>
    <w:link w:val="Ttulo5"/>
    <w:rsid w:val="00E32574"/>
    <w:rPr>
      <w:rFonts w:ascii="Arial" w:eastAsia="Times New Roman" w:hAnsi="Arial" w:cs="Times New Roman"/>
      <w:b/>
      <w:bCs/>
      <w:i/>
      <w:iCs/>
      <w:sz w:val="26"/>
      <w:szCs w:val="26"/>
      <w:lang w:eastAsia="pt-BR"/>
    </w:rPr>
  </w:style>
  <w:style w:type="character" w:customStyle="1" w:styleId="Ttulo6Char">
    <w:name w:val="Título 6 Char"/>
    <w:basedOn w:val="Fontepargpadro"/>
    <w:link w:val="Ttulo6"/>
    <w:rsid w:val="00E32574"/>
    <w:rPr>
      <w:rFonts w:ascii="Times New Roman" w:eastAsia="Times New Roman" w:hAnsi="Times New Roman" w:cs="Times New Roman"/>
      <w:b/>
      <w:bCs/>
      <w:sz w:val="20"/>
      <w:szCs w:val="20"/>
      <w:lang w:eastAsia="pt-BR"/>
    </w:rPr>
  </w:style>
  <w:style w:type="character" w:customStyle="1" w:styleId="Ttulo7Char">
    <w:name w:val="Título 7 Char"/>
    <w:basedOn w:val="Fontepargpadro"/>
    <w:link w:val="Ttulo7"/>
    <w:rsid w:val="00E32574"/>
    <w:rPr>
      <w:rFonts w:ascii="Times New Roman" w:eastAsia="Times New Roman" w:hAnsi="Times New Roman" w:cs="Times New Roman"/>
      <w:sz w:val="24"/>
      <w:szCs w:val="24"/>
      <w:lang w:eastAsia="pt-BR"/>
    </w:rPr>
  </w:style>
  <w:style w:type="character" w:customStyle="1" w:styleId="Ttulo8Char">
    <w:name w:val="Título 8 Char"/>
    <w:basedOn w:val="Fontepargpadro"/>
    <w:link w:val="Ttulo8"/>
    <w:rsid w:val="00E32574"/>
    <w:rPr>
      <w:rFonts w:ascii="Times New Roman" w:eastAsia="Times New Roman" w:hAnsi="Times New Roman" w:cs="Times New Roman"/>
      <w:i/>
      <w:iCs/>
      <w:sz w:val="24"/>
      <w:szCs w:val="24"/>
      <w:lang w:eastAsia="pt-BR"/>
    </w:rPr>
  </w:style>
  <w:style w:type="character" w:customStyle="1" w:styleId="Ttulo9Char">
    <w:name w:val="Título 9 Char"/>
    <w:basedOn w:val="Fontepargpadro"/>
    <w:link w:val="Ttulo9"/>
    <w:rsid w:val="00E32574"/>
    <w:rPr>
      <w:rFonts w:ascii="Arial" w:eastAsia="Times New Roman" w:hAnsi="Arial" w:cs="Times New Roman"/>
      <w:sz w:val="20"/>
      <w:szCs w:val="20"/>
      <w:lang w:eastAsia="pt-BR"/>
    </w:rPr>
  </w:style>
  <w:style w:type="paragraph" w:styleId="Cabealho">
    <w:name w:val="header"/>
    <w:basedOn w:val="Normal"/>
    <w:link w:val="CabealhoChar"/>
    <w:unhideWhenUsed/>
    <w:rsid w:val="0043439F"/>
    <w:pPr>
      <w:tabs>
        <w:tab w:val="center" w:pos="4252"/>
        <w:tab w:val="right" w:pos="8504"/>
      </w:tabs>
      <w:spacing w:after="0" w:line="240" w:lineRule="auto"/>
    </w:pPr>
  </w:style>
  <w:style w:type="character" w:customStyle="1" w:styleId="CabealhoChar">
    <w:name w:val="Cabeçalho Char"/>
    <w:basedOn w:val="Fontepargpadro"/>
    <w:link w:val="Cabealho"/>
    <w:rsid w:val="0043439F"/>
  </w:style>
  <w:style w:type="paragraph" w:styleId="Rodap">
    <w:name w:val="footer"/>
    <w:basedOn w:val="Normal"/>
    <w:link w:val="RodapChar"/>
    <w:uiPriority w:val="99"/>
    <w:unhideWhenUsed/>
    <w:rsid w:val="0043439F"/>
    <w:pPr>
      <w:tabs>
        <w:tab w:val="center" w:pos="4252"/>
        <w:tab w:val="right" w:pos="8504"/>
      </w:tabs>
      <w:spacing w:after="0" w:line="240" w:lineRule="auto"/>
    </w:pPr>
  </w:style>
  <w:style w:type="character" w:customStyle="1" w:styleId="RodapChar">
    <w:name w:val="Rodapé Char"/>
    <w:basedOn w:val="Fontepargpadro"/>
    <w:link w:val="Rodap"/>
    <w:uiPriority w:val="99"/>
    <w:rsid w:val="0043439F"/>
  </w:style>
  <w:style w:type="paragraph" w:styleId="SemEspaamento">
    <w:name w:val="No Spacing"/>
    <w:link w:val="SemEspaamentoChar"/>
    <w:uiPriority w:val="1"/>
    <w:qFormat/>
    <w:rsid w:val="0043439F"/>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43439F"/>
    <w:rPr>
      <w:rFonts w:eastAsiaTheme="minorEastAsia"/>
      <w:lang w:eastAsia="pt-BR"/>
    </w:rPr>
  </w:style>
  <w:style w:type="character" w:styleId="Hyperlink">
    <w:name w:val="Hyperlink"/>
    <w:basedOn w:val="Fontepargpadro"/>
    <w:uiPriority w:val="99"/>
    <w:unhideWhenUsed/>
    <w:rsid w:val="0043439F"/>
    <w:rPr>
      <w:color w:val="0000FF" w:themeColor="hyperlink"/>
      <w:u w:val="single"/>
    </w:rPr>
  </w:style>
  <w:style w:type="paragraph" w:styleId="CabealhodoSumrio">
    <w:name w:val="TOC Heading"/>
    <w:basedOn w:val="Ttulo1"/>
    <w:next w:val="Normal"/>
    <w:uiPriority w:val="39"/>
    <w:semiHidden/>
    <w:unhideWhenUsed/>
    <w:qFormat/>
    <w:rsid w:val="0043439F"/>
    <w:pPr>
      <w:spacing w:line="276" w:lineRule="auto"/>
      <w:jc w:val="left"/>
      <w:outlineLvl w:val="9"/>
    </w:pPr>
    <w:rPr>
      <w:rFonts w:asciiTheme="majorHAnsi" w:hAnsiTheme="majorHAnsi"/>
      <w:color w:val="365F91" w:themeColor="accent1" w:themeShade="BF"/>
      <w:sz w:val="28"/>
    </w:rPr>
  </w:style>
  <w:style w:type="paragraph" w:styleId="Sumrio1">
    <w:name w:val="toc 1"/>
    <w:basedOn w:val="Normal"/>
    <w:next w:val="Normal"/>
    <w:autoRedefine/>
    <w:uiPriority w:val="39"/>
    <w:unhideWhenUsed/>
    <w:rsid w:val="005C4DCE"/>
    <w:pPr>
      <w:tabs>
        <w:tab w:val="right" w:leader="dot" w:pos="8494"/>
      </w:tabs>
      <w:spacing w:after="100"/>
    </w:pPr>
  </w:style>
  <w:style w:type="paragraph" w:styleId="Recuodecorpodetexto">
    <w:name w:val="Body Text Indent"/>
    <w:basedOn w:val="Normal"/>
    <w:link w:val="RecuodecorpodetextoChar"/>
    <w:uiPriority w:val="99"/>
    <w:rsid w:val="0043439F"/>
    <w:pPr>
      <w:suppressAutoHyphens/>
      <w:spacing w:after="0" w:line="240" w:lineRule="auto"/>
      <w:ind w:firstLine="708"/>
      <w:jc w:val="both"/>
    </w:pPr>
    <w:rPr>
      <w:rFonts w:eastAsia="Times New Roman" w:cs="Times New Roman"/>
      <w:szCs w:val="24"/>
      <w:lang w:eastAsia="ar-SA"/>
    </w:rPr>
  </w:style>
  <w:style w:type="character" w:customStyle="1" w:styleId="RecuodecorpodetextoChar">
    <w:name w:val="Recuo de corpo de texto Char"/>
    <w:basedOn w:val="Fontepargpadro"/>
    <w:link w:val="Recuodecorpodetexto"/>
    <w:uiPriority w:val="99"/>
    <w:rsid w:val="0043439F"/>
    <w:rPr>
      <w:rFonts w:ascii="Times New Roman" w:eastAsia="Times New Roman" w:hAnsi="Times New Roman" w:cs="Times New Roman"/>
      <w:sz w:val="24"/>
      <w:szCs w:val="24"/>
      <w:lang w:eastAsia="ar-SA"/>
    </w:rPr>
  </w:style>
  <w:style w:type="paragraph" w:styleId="Sumrio2">
    <w:name w:val="toc 2"/>
    <w:basedOn w:val="Normal"/>
    <w:next w:val="Normal"/>
    <w:autoRedefine/>
    <w:uiPriority w:val="39"/>
    <w:unhideWhenUsed/>
    <w:rsid w:val="00F77D5A"/>
    <w:pPr>
      <w:tabs>
        <w:tab w:val="right" w:leader="dot" w:pos="8494"/>
      </w:tabs>
      <w:spacing w:after="100"/>
      <w:ind w:left="220"/>
    </w:pPr>
    <w:rPr>
      <w:rFonts w:cs="Times New Roman"/>
    </w:rPr>
  </w:style>
  <w:style w:type="paragraph" w:styleId="Textodebalo">
    <w:name w:val="Balloon Text"/>
    <w:basedOn w:val="Normal"/>
    <w:link w:val="TextodebaloChar"/>
    <w:uiPriority w:val="99"/>
    <w:semiHidden/>
    <w:unhideWhenUsed/>
    <w:rsid w:val="0043439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3439F"/>
    <w:rPr>
      <w:rFonts w:ascii="Tahoma" w:hAnsi="Tahoma" w:cs="Tahoma"/>
      <w:sz w:val="16"/>
      <w:szCs w:val="16"/>
    </w:rPr>
  </w:style>
  <w:style w:type="paragraph" w:customStyle="1" w:styleId="CM73">
    <w:name w:val="CM73"/>
    <w:basedOn w:val="Normal"/>
    <w:next w:val="Normal"/>
    <w:uiPriority w:val="99"/>
    <w:rsid w:val="00673009"/>
    <w:pPr>
      <w:widowControl w:val="0"/>
      <w:autoSpaceDE w:val="0"/>
      <w:autoSpaceDN w:val="0"/>
      <w:adjustRightInd w:val="0"/>
      <w:spacing w:after="0" w:line="240" w:lineRule="auto"/>
    </w:pPr>
    <w:rPr>
      <w:rFonts w:ascii="Arial" w:eastAsiaTheme="minorEastAsia" w:hAnsi="Arial" w:cs="Arial"/>
      <w:szCs w:val="24"/>
      <w:lang w:eastAsia="pt-BR"/>
    </w:rPr>
  </w:style>
  <w:style w:type="paragraph" w:customStyle="1" w:styleId="CM71">
    <w:name w:val="CM71"/>
    <w:basedOn w:val="Normal"/>
    <w:next w:val="Normal"/>
    <w:link w:val="CM71Char"/>
    <w:uiPriority w:val="99"/>
    <w:rsid w:val="00987CD2"/>
    <w:pPr>
      <w:widowControl w:val="0"/>
      <w:autoSpaceDE w:val="0"/>
      <w:autoSpaceDN w:val="0"/>
      <w:adjustRightInd w:val="0"/>
      <w:spacing w:after="0" w:line="240" w:lineRule="auto"/>
    </w:pPr>
    <w:rPr>
      <w:rFonts w:ascii="Arial" w:eastAsiaTheme="minorEastAsia" w:hAnsi="Arial" w:cs="Arial"/>
      <w:szCs w:val="24"/>
      <w:lang w:eastAsia="pt-BR"/>
    </w:rPr>
  </w:style>
  <w:style w:type="paragraph" w:customStyle="1" w:styleId="CM95">
    <w:name w:val="CM95"/>
    <w:basedOn w:val="Normal"/>
    <w:next w:val="Normal"/>
    <w:uiPriority w:val="99"/>
    <w:rsid w:val="00987CD2"/>
    <w:pPr>
      <w:widowControl w:val="0"/>
      <w:autoSpaceDE w:val="0"/>
      <w:autoSpaceDN w:val="0"/>
      <w:adjustRightInd w:val="0"/>
      <w:spacing w:after="0" w:line="240" w:lineRule="auto"/>
    </w:pPr>
    <w:rPr>
      <w:rFonts w:ascii="Arial" w:eastAsiaTheme="minorEastAsia" w:hAnsi="Arial" w:cs="Arial"/>
      <w:szCs w:val="24"/>
      <w:lang w:eastAsia="pt-BR"/>
    </w:rPr>
  </w:style>
  <w:style w:type="paragraph" w:customStyle="1" w:styleId="Default">
    <w:name w:val="Default"/>
    <w:rsid w:val="00987CD2"/>
    <w:pPr>
      <w:widowControl w:val="0"/>
      <w:autoSpaceDE w:val="0"/>
      <w:autoSpaceDN w:val="0"/>
      <w:adjustRightInd w:val="0"/>
      <w:spacing w:after="0" w:line="240" w:lineRule="auto"/>
    </w:pPr>
    <w:rPr>
      <w:rFonts w:ascii="Arial" w:eastAsiaTheme="minorEastAsia" w:hAnsi="Arial" w:cs="Arial"/>
      <w:color w:val="000000"/>
      <w:sz w:val="24"/>
      <w:szCs w:val="24"/>
      <w:lang w:eastAsia="pt-BR"/>
    </w:rPr>
  </w:style>
  <w:style w:type="paragraph" w:customStyle="1" w:styleId="CM7">
    <w:name w:val="CM7"/>
    <w:basedOn w:val="Default"/>
    <w:next w:val="Default"/>
    <w:uiPriority w:val="99"/>
    <w:rsid w:val="00987CD2"/>
    <w:pPr>
      <w:spacing w:line="380" w:lineRule="atLeast"/>
    </w:pPr>
    <w:rPr>
      <w:color w:val="auto"/>
    </w:rPr>
  </w:style>
  <w:style w:type="paragraph" w:customStyle="1" w:styleId="CM19">
    <w:name w:val="CM19"/>
    <w:basedOn w:val="Default"/>
    <w:next w:val="Default"/>
    <w:uiPriority w:val="99"/>
    <w:rsid w:val="002F4E16"/>
    <w:pPr>
      <w:spacing w:line="380" w:lineRule="atLeast"/>
    </w:pPr>
    <w:rPr>
      <w:color w:val="auto"/>
    </w:rPr>
  </w:style>
  <w:style w:type="paragraph" w:customStyle="1" w:styleId="CM81">
    <w:name w:val="CM81"/>
    <w:basedOn w:val="Default"/>
    <w:next w:val="Default"/>
    <w:uiPriority w:val="99"/>
    <w:rsid w:val="002F4E16"/>
    <w:rPr>
      <w:color w:val="auto"/>
    </w:rPr>
  </w:style>
  <w:style w:type="paragraph" w:customStyle="1" w:styleId="CM82">
    <w:name w:val="CM82"/>
    <w:basedOn w:val="Default"/>
    <w:next w:val="Default"/>
    <w:uiPriority w:val="99"/>
    <w:rsid w:val="002F4E16"/>
    <w:rPr>
      <w:color w:val="auto"/>
    </w:rPr>
  </w:style>
  <w:style w:type="paragraph" w:customStyle="1" w:styleId="CM72">
    <w:name w:val="CM72"/>
    <w:basedOn w:val="Default"/>
    <w:next w:val="Default"/>
    <w:uiPriority w:val="99"/>
    <w:rsid w:val="002F4E16"/>
    <w:rPr>
      <w:color w:val="auto"/>
    </w:rPr>
  </w:style>
  <w:style w:type="paragraph" w:customStyle="1" w:styleId="CM70">
    <w:name w:val="CM70"/>
    <w:basedOn w:val="Default"/>
    <w:next w:val="Default"/>
    <w:uiPriority w:val="99"/>
    <w:rsid w:val="002F4E16"/>
    <w:rPr>
      <w:color w:val="auto"/>
    </w:rPr>
  </w:style>
  <w:style w:type="table" w:styleId="Tabelacomgrade">
    <w:name w:val="Table Grid"/>
    <w:basedOn w:val="Tabelanormal"/>
    <w:uiPriority w:val="59"/>
    <w:rsid w:val="002F4E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CM87">
    <w:name w:val="CM87"/>
    <w:basedOn w:val="Default"/>
    <w:next w:val="Default"/>
    <w:uiPriority w:val="99"/>
    <w:rsid w:val="002F4E16"/>
    <w:rPr>
      <w:color w:val="auto"/>
    </w:rPr>
  </w:style>
  <w:style w:type="paragraph" w:customStyle="1" w:styleId="CM89">
    <w:name w:val="CM89"/>
    <w:basedOn w:val="Default"/>
    <w:next w:val="Default"/>
    <w:uiPriority w:val="99"/>
    <w:rsid w:val="002F4E16"/>
    <w:rPr>
      <w:color w:val="auto"/>
    </w:rPr>
  </w:style>
  <w:style w:type="paragraph" w:styleId="PargrafodaLista">
    <w:name w:val="List Paragraph"/>
    <w:basedOn w:val="Normal"/>
    <w:link w:val="PargrafodaListaChar"/>
    <w:uiPriority w:val="34"/>
    <w:qFormat/>
    <w:rsid w:val="00BF4A30"/>
    <w:pPr>
      <w:ind w:left="720"/>
      <w:contextualSpacing/>
    </w:pPr>
  </w:style>
  <w:style w:type="paragraph" w:customStyle="1" w:styleId="CM102">
    <w:name w:val="CM102"/>
    <w:basedOn w:val="Default"/>
    <w:next w:val="Default"/>
    <w:uiPriority w:val="99"/>
    <w:rsid w:val="00DD1974"/>
    <w:rPr>
      <w:color w:val="auto"/>
    </w:rPr>
  </w:style>
  <w:style w:type="paragraph" w:customStyle="1" w:styleId="CM77">
    <w:name w:val="CM77"/>
    <w:basedOn w:val="Default"/>
    <w:next w:val="Default"/>
    <w:uiPriority w:val="99"/>
    <w:rsid w:val="00DD1974"/>
    <w:rPr>
      <w:color w:val="auto"/>
    </w:rPr>
  </w:style>
  <w:style w:type="paragraph" w:customStyle="1" w:styleId="CM74">
    <w:name w:val="CM74"/>
    <w:basedOn w:val="Default"/>
    <w:next w:val="Default"/>
    <w:uiPriority w:val="99"/>
    <w:rsid w:val="00DD1974"/>
    <w:rPr>
      <w:color w:val="auto"/>
    </w:rPr>
  </w:style>
  <w:style w:type="paragraph" w:styleId="NormalWeb">
    <w:name w:val="Normal (Web)"/>
    <w:basedOn w:val="Normal"/>
    <w:uiPriority w:val="99"/>
    <w:unhideWhenUsed/>
    <w:rsid w:val="00AA7B12"/>
    <w:pPr>
      <w:spacing w:before="100" w:beforeAutospacing="1" w:after="100" w:afterAutospacing="1" w:line="240" w:lineRule="auto"/>
    </w:pPr>
    <w:rPr>
      <w:rFonts w:eastAsiaTheme="minorEastAsia" w:cs="Times New Roman"/>
      <w:szCs w:val="24"/>
      <w:lang w:eastAsia="pt-BR"/>
    </w:rPr>
  </w:style>
  <w:style w:type="paragraph" w:customStyle="1" w:styleId="CM45">
    <w:name w:val="CM45"/>
    <w:basedOn w:val="Default"/>
    <w:next w:val="Default"/>
    <w:uiPriority w:val="99"/>
    <w:rsid w:val="004C547A"/>
    <w:pPr>
      <w:spacing w:line="380" w:lineRule="atLeast"/>
    </w:pPr>
    <w:rPr>
      <w:color w:val="auto"/>
    </w:rPr>
  </w:style>
  <w:style w:type="paragraph" w:customStyle="1" w:styleId="CM35">
    <w:name w:val="CM35"/>
    <w:basedOn w:val="Default"/>
    <w:next w:val="Default"/>
    <w:uiPriority w:val="99"/>
    <w:rsid w:val="004C547A"/>
    <w:pPr>
      <w:spacing w:line="380" w:lineRule="atLeast"/>
    </w:pPr>
    <w:rPr>
      <w:color w:val="auto"/>
    </w:rPr>
  </w:style>
  <w:style w:type="paragraph" w:customStyle="1" w:styleId="CM96">
    <w:name w:val="CM96"/>
    <w:basedOn w:val="Default"/>
    <w:next w:val="Default"/>
    <w:uiPriority w:val="99"/>
    <w:rsid w:val="004C547A"/>
    <w:rPr>
      <w:color w:val="auto"/>
    </w:rPr>
  </w:style>
  <w:style w:type="paragraph" w:customStyle="1" w:styleId="CM83">
    <w:name w:val="CM83"/>
    <w:basedOn w:val="Default"/>
    <w:next w:val="Default"/>
    <w:uiPriority w:val="99"/>
    <w:rsid w:val="004C547A"/>
    <w:rPr>
      <w:color w:val="auto"/>
    </w:rPr>
  </w:style>
  <w:style w:type="paragraph" w:styleId="Textodenotaderodap">
    <w:name w:val="footnote text"/>
    <w:aliases w:val="AimoresRPé"/>
    <w:basedOn w:val="Normal"/>
    <w:link w:val="TextodenotaderodapChar"/>
    <w:uiPriority w:val="99"/>
    <w:semiHidden/>
    <w:unhideWhenUsed/>
    <w:rsid w:val="006A31EB"/>
    <w:pPr>
      <w:spacing w:after="0" w:line="240" w:lineRule="auto"/>
    </w:pPr>
    <w:rPr>
      <w:sz w:val="20"/>
      <w:szCs w:val="20"/>
    </w:rPr>
  </w:style>
  <w:style w:type="character" w:customStyle="1" w:styleId="TextodenotaderodapChar">
    <w:name w:val="Texto de nota de rodapé Char"/>
    <w:aliases w:val="AimoresRPé Char"/>
    <w:basedOn w:val="Fontepargpadro"/>
    <w:link w:val="Textodenotaderodap"/>
    <w:uiPriority w:val="99"/>
    <w:semiHidden/>
    <w:rsid w:val="006A31EB"/>
    <w:rPr>
      <w:sz w:val="20"/>
      <w:szCs w:val="20"/>
    </w:rPr>
  </w:style>
  <w:style w:type="character" w:styleId="Refdenotaderodap">
    <w:name w:val="footnote reference"/>
    <w:basedOn w:val="Fontepargpadro"/>
    <w:uiPriority w:val="99"/>
    <w:semiHidden/>
    <w:unhideWhenUsed/>
    <w:rsid w:val="006A31EB"/>
    <w:rPr>
      <w:vertAlign w:val="superscript"/>
    </w:rPr>
  </w:style>
  <w:style w:type="table" w:customStyle="1" w:styleId="Tabelacomgrade1">
    <w:name w:val="Tabela com grade1"/>
    <w:basedOn w:val="Tabelanormal"/>
    <w:next w:val="Tabelacomgrade"/>
    <w:uiPriority w:val="59"/>
    <w:rsid w:val="006A31EB"/>
    <w:pPr>
      <w:spacing w:after="0" w:line="240" w:lineRule="auto"/>
    </w:pPr>
    <w:rPr>
      <w:rFonts w:eastAsiaTheme="minorEastAsia"/>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8A2F13"/>
    <w:pPr>
      <w:spacing w:after="0" w:line="240" w:lineRule="auto"/>
    </w:pPr>
    <w:rPr>
      <w:rFonts w:eastAsiaTheme="minorEastAsia"/>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3">
    <w:name w:val="Tabela com grade3"/>
    <w:basedOn w:val="Tabelanormal"/>
    <w:next w:val="Tabelacomgrade"/>
    <w:uiPriority w:val="59"/>
    <w:rsid w:val="008A2F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50">
    <w:name w:val="CM50"/>
    <w:basedOn w:val="Normal"/>
    <w:next w:val="Normal"/>
    <w:uiPriority w:val="99"/>
    <w:rsid w:val="00E32574"/>
    <w:pPr>
      <w:widowControl w:val="0"/>
      <w:autoSpaceDE w:val="0"/>
      <w:autoSpaceDN w:val="0"/>
      <w:adjustRightInd w:val="0"/>
      <w:spacing w:after="0" w:line="380" w:lineRule="atLeast"/>
    </w:pPr>
    <w:rPr>
      <w:rFonts w:ascii="Arial" w:eastAsia="Times New Roman" w:hAnsi="Arial" w:cs="Arial"/>
      <w:szCs w:val="24"/>
      <w:lang w:eastAsia="pt-BR"/>
    </w:rPr>
  </w:style>
  <w:style w:type="paragraph" w:customStyle="1" w:styleId="CM76">
    <w:name w:val="CM76"/>
    <w:basedOn w:val="Normal"/>
    <w:next w:val="Normal"/>
    <w:uiPriority w:val="99"/>
    <w:rsid w:val="00E32574"/>
    <w:pPr>
      <w:widowControl w:val="0"/>
      <w:autoSpaceDE w:val="0"/>
      <w:autoSpaceDN w:val="0"/>
      <w:adjustRightInd w:val="0"/>
      <w:spacing w:after="0" w:line="240" w:lineRule="auto"/>
    </w:pPr>
    <w:rPr>
      <w:rFonts w:ascii="Arial" w:eastAsia="Times New Roman" w:hAnsi="Arial" w:cs="Arial"/>
      <w:szCs w:val="24"/>
      <w:lang w:eastAsia="pt-BR"/>
    </w:rPr>
  </w:style>
  <w:style w:type="paragraph" w:customStyle="1" w:styleId="CM48">
    <w:name w:val="CM48"/>
    <w:basedOn w:val="Normal"/>
    <w:next w:val="Normal"/>
    <w:uiPriority w:val="99"/>
    <w:rsid w:val="00E32574"/>
    <w:pPr>
      <w:widowControl w:val="0"/>
      <w:autoSpaceDE w:val="0"/>
      <w:autoSpaceDN w:val="0"/>
      <w:adjustRightInd w:val="0"/>
      <w:spacing w:after="0" w:line="380" w:lineRule="atLeast"/>
    </w:pPr>
    <w:rPr>
      <w:rFonts w:ascii="Arial" w:eastAsia="Times New Roman" w:hAnsi="Arial" w:cs="Arial"/>
      <w:szCs w:val="24"/>
      <w:lang w:eastAsia="pt-BR"/>
    </w:rPr>
  </w:style>
  <w:style w:type="paragraph" w:customStyle="1" w:styleId="CM104">
    <w:name w:val="CM104"/>
    <w:basedOn w:val="Normal"/>
    <w:next w:val="Normal"/>
    <w:uiPriority w:val="99"/>
    <w:rsid w:val="00E32574"/>
    <w:pPr>
      <w:widowControl w:val="0"/>
      <w:autoSpaceDE w:val="0"/>
      <w:autoSpaceDN w:val="0"/>
      <w:adjustRightInd w:val="0"/>
      <w:spacing w:after="0" w:line="240" w:lineRule="auto"/>
    </w:pPr>
    <w:rPr>
      <w:rFonts w:ascii="Arial" w:eastAsia="Times New Roman" w:hAnsi="Arial" w:cs="Arial"/>
      <w:szCs w:val="24"/>
      <w:lang w:eastAsia="pt-BR"/>
    </w:rPr>
  </w:style>
  <w:style w:type="character" w:styleId="Forte">
    <w:name w:val="Strong"/>
    <w:basedOn w:val="Fontepargpadro"/>
    <w:uiPriority w:val="22"/>
    <w:qFormat/>
    <w:rsid w:val="00E32574"/>
    <w:rPr>
      <w:rFonts w:cs="Times New Roman"/>
      <w:b/>
    </w:rPr>
  </w:style>
  <w:style w:type="paragraph" w:customStyle="1" w:styleId="CM105">
    <w:name w:val="CM105"/>
    <w:basedOn w:val="Default"/>
    <w:next w:val="Default"/>
    <w:uiPriority w:val="99"/>
    <w:rsid w:val="00E32574"/>
    <w:rPr>
      <w:rFonts w:eastAsia="Times New Roman"/>
      <w:color w:val="auto"/>
    </w:rPr>
  </w:style>
  <w:style w:type="paragraph" w:customStyle="1" w:styleId="CM97">
    <w:name w:val="CM97"/>
    <w:basedOn w:val="Default"/>
    <w:next w:val="Default"/>
    <w:uiPriority w:val="99"/>
    <w:rsid w:val="00E32574"/>
    <w:rPr>
      <w:rFonts w:eastAsia="Times New Roman"/>
      <w:color w:val="auto"/>
    </w:rPr>
  </w:style>
  <w:style w:type="paragraph" w:customStyle="1" w:styleId="Tabela">
    <w:name w:val="Tabela"/>
    <w:basedOn w:val="Normal"/>
    <w:uiPriority w:val="99"/>
    <w:rsid w:val="00E32574"/>
    <w:pPr>
      <w:numPr>
        <w:ilvl w:val="12"/>
      </w:numPr>
      <w:spacing w:after="0" w:line="240" w:lineRule="auto"/>
    </w:pPr>
    <w:rPr>
      <w:rFonts w:ascii="Arial" w:eastAsia="Times New Roman" w:hAnsi="Arial" w:cs="Times New Roman"/>
      <w:sz w:val="20"/>
      <w:szCs w:val="20"/>
      <w:lang w:eastAsia="pt-BR"/>
    </w:rPr>
  </w:style>
  <w:style w:type="paragraph" w:customStyle="1" w:styleId="TTULO3">
    <w:name w:val="TÍTULO 3"/>
    <w:basedOn w:val="Ttulo30"/>
    <w:uiPriority w:val="99"/>
    <w:rsid w:val="00E32574"/>
    <w:pPr>
      <w:keepLines w:val="0"/>
      <w:numPr>
        <w:ilvl w:val="2"/>
        <w:numId w:val="3"/>
      </w:numPr>
      <w:autoSpaceDE w:val="0"/>
      <w:autoSpaceDN w:val="0"/>
      <w:adjustRightInd w:val="0"/>
      <w:spacing w:before="0" w:line="240" w:lineRule="auto"/>
    </w:pPr>
    <w:rPr>
      <w:rFonts w:ascii="Arial" w:hAnsi="Arial" w:cs="Arial"/>
      <w:color w:val="000000"/>
      <w:sz w:val="22"/>
      <w:szCs w:val="20"/>
    </w:rPr>
  </w:style>
  <w:style w:type="paragraph" w:styleId="Textodenotadefim">
    <w:name w:val="endnote text"/>
    <w:basedOn w:val="Normal"/>
    <w:link w:val="TextodenotadefimChar"/>
    <w:uiPriority w:val="99"/>
    <w:semiHidden/>
    <w:rsid w:val="00E32574"/>
    <w:pPr>
      <w:spacing w:after="0" w:line="240" w:lineRule="auto"/>
    </w:pPr>
    <w:rPr>
      <w:rFonts w:ascii="Arial" w:eastAsia="Calibri" w:hAnsi="Arial" w:cs="Times New Roman"/>
      <w:sz w:val="20"/>
      <w:szCs w:val="20"/>
      <w:lang w:eastAsia="pt-BR"/>
    </w:rPr>
  </w:style>
  <w:style w:type="character" w:customStyle="1" w:styleId="TextodenotadefimChar">
    <w:name w:val="Texto de nota de fim Char"/>
    <w:basedOn w:val="Fontepargpadro"/>
    <w:link w:val="Textodenotadefim"/>
    <w:uiPriority w:val="99"/>
    <w:semiHidden/>
    <w:rsid w:val="00E32574"/>
    <w:rPr>
      <w:rFonts w:ascii="Arial" w:eastAsia="Calibri" w:hAnsi="Arial" w:cs="Times New Roman"/>
      <w:sz w:val="20"/>
      <w:szCs w:val="20"/>
      <w:lang w:eastAsia="pt-BR"/>
    </w:rPr>
  </w:style>
  <w:style w:type="paragraph" w:customStyle="1" w:styleId="CM88">
    <w:name w:val="CM88"/>
    <w:basedOn w:val="Default"/>
    <w:next w:val="Default"/>
    <w:uiPriority w:val="99"/>
    <w:rsid w:val="00E32574"/>
    <w:rPr>
      <w:rFonts w:eastAsia="Times New Roman"/>
      <w:color w:val="auto"/>
    </w:rPr>
  </w:style>
  <w:style w:type="paragraph" w:customStyle="1" w:styleId="CM113">
    <w:name w:val="CM113"/>
    <w:basedOn w:val="Default"/>
    <w:next w:val="Default"/>
    <w:uiPriority w:val="99"/>
    <w:rsid w:val="00E32574"/>
    <w:rPr>
      <w:rFonts w:eastAsia="Times New Roman"/>
      <w:color w:val="auto"/>
    </w:rPr>
  </w:style>
  <w:style w:type="paragraph" w:customStyle="1" w:styleId="CM90">
    <w:name w:val="CM90"/>
    <w:basedOn w:val="Normal"/>
    <w:next w:val="Normal"/>
    <w:uiPriority w:val="99"/>
    <w:rsid w:val="00E32574"/>
    <w:pPr>
      <w:widowControl w:val="0"/>
      <w:autoSpaceDE w:val="0"/>
      <w:autoSpaceDN w:val="0"/>
      <w:adjustRightInd w:val="0"/>
      <w:spacing w:after="0" w:line="240" w:lineRule="auto"/>
    </w:pPr>
    <w:rPr>
      <w:rFonts w:ascii="Arial" w:eastAsia="Times New Roman" w:hAnsi="Arial" w:cs="Arial"/>
      <w:szCs w:val="24"/>
      <w:lang w:eastAsia="pt-BR"/>
    </w:rPr>
  </w:style>
  <w:style w:type="paragraph" w:customStyle="1" w:styleId="CM101">
    <w:name w:val="CM101"/>
    <w:basedOn w:val="Normal"/>
    <w:next w:val="Normal"/>
    <w:uiPriority w:val="99"/>
    <w:rsid w:val="00E32574"/>
    <w:pPr>
      <w:widowControl w:val="0"/>
      <w:autoSpaceDE w:val="0"/>
      <w:autoSpaceDN w:val="0"/>
      <w:adjustRightInd w:val="0"/>
      <w:spacing w:after="0" w:line="240" w:lineRule="auto"/>
    </w:pPr>
    <w:rPr>
      <w:rFonts w:ascii="Arial" w:eastAsia="Times New Roman" w:hAnsi="Arial" w:cs="Arial"/>
      <w:szCs w:val="24"/>
      <w:lang w:eastAsia="pt-BR"/>
    </w:rPr>
  </w:style>
  <w:style w:type="paragraph" w:customStyle="1" w:styleId="CM108">
    <w:name w:val="CM108"/>
    <w:basedOn w:val="Default"/>
    <w:next w:val="Default"/>
    <w:uiPriority w:val="99"/>
    <w:rsid w:val="00E32574"/>
    <w:rPr>
      <w:rFonts w:eastAsia="Times New Roman"/>
      <w:color w:val="auto"/>
    </w:rPr>
  </w:style>
  <w:style w:type="character" w:customStyle="1" w:styleId="apple-converted-space">
    <w:name w:val="apple-converted-space"/>
    <w:basedOn w:val="Fontepargpadro"/>
    <w:rsid w:val="00E32574"/>
    <w:rPr>
      <w:rFonts w:cs="Times New Roman"/>
    </w:rPr>
  </w:style>
  <w:style w:type="paragraph" w:customStyle="1" w:styleId="CM25">
    <w:name w:val="CM25"/>
    <w:basedOn w:val="Default"/>
    <w:next w:val="Default"/>
    <w:uiPriority w:val="99"/>
    <w:rsid w:val="00E32574"/>
    <w:rPr>
      <w:rFonts w:eastAsia="Times New Roman"/>
      <w:color w:val="auto"/>
    </w:rPr>
  </w:style>
  <w:style w:type="paragraph" w:customStyle="1" w:styleId="CM114">
    <w:name w:val="CM114"/>
    <w:basedOn w:val="Default"/>
    <w:next w:val="Default"/>
    <w:uiPriority w:val="99"/>
    <w:rsid w:val="00E32574"/>
    <w:rPr>
      <w:rFonts w:eastAsia="Times New Roman"/>
      <w:color w:val="auto"/>
    </w:rPr>
  </w:style>
  <w:style w:type="paragraph" w:styleId="Corpodetexto">
    <w:name w:val="Body Text"/>
    <w:basedOn w:val="Normal"/>
    <w:link w:val="CorpodetextoChar"/>
    <w:unhideWhenUsed/>
    <w:rsid w:val="00E32574"/>
    <w:pPr>
      <w:spacing w:after="120"/>
    </w:pPr>
  </w:style>
  <w:style w:type="character" w:customStyle="1" w:styleId="CorpodetextoChar">
    <w:name w:val="Corpo de texto Char"/>
    <w:basedOn w:val="Fontepargpadro"/>
    <w:link w:val="Corpodetexto"/>
    <w:rsid w:val="00E32574"/>
  </w:style>
  <w:style w:type="paragraph" w:styleId="Corpodetexto2">
    <w:name w:val="Body Text 2"/>
    <w:basedOn w:val="Normal"/>
    <w:link w:val="Corpodetexto2Char"/>
    <w:semiHidden/>
    <w:unhideWhenUsed/>
    <w:rsid w:val="00E32574"/>
    <w:pPr>
      <w:spacing w:after="120" w:line="480" w:lineRule="auto"/>
    </w:pPr>
  </w:style>
  <w:style w:type="character" w:customStyle="1" w:styleId="Corpodetexto2Char">
    <w:name w:val="Corpo de texto 2 Char"/>
    <w:basedOn w:val="Fontepargpadro"/>
    <w:link w:val="Corpodetexto2"/>
    <w:semiHidden/>
    <w:rsid w:val="00E32574"/>
  </w:style>
  <w:style w:type="paragraph" w:styleId="Corpodetexto3">
    <w:name w:val="Body Text 3"/>
    <w:basedOn w:val="Normal"/>
    <w:link w:val="Corpodetexto3Char"/>
    <w:semiHidden/>
    <w:unhideWhenUsed/>
    <w:rsid w:val="00E32574"/>
    <w:pPr>
      <w:spacing w:after="120"/>
    </w:pPr>
    <w:rPr>
      <w:sz w:val="16"/>
      <w:szCs w:val="16"/>
    </w:rPr>
  </w:style>
  <w:style w:type="character" w:customStyle="1" w:styleId="Corpodetexto3Char">
    <w:name w:val="Corpo de texto 3 Char"/>
    <w:basedOn w:val="Fontepargpadro"/>
    <w:link w:val="Corpodetexto3"/>
    <w:semiHidden/>
    <w:rsid w:val="00E32574"/>
    <w:rPr>
      <w:sz w:val="16"/>
      <w:szCs w:val="16"/>
    </w:rPr>
  </w:style>
  <w:style w:type="paragraph" w:customStyle="1" w:styleId="ttulo40">
    <w:name w:val="título 4"/>
    <w:basedOn w:val="Normal"/>
    <w:rsid w:val="00E32574"/>
    <w:pPr>
      <w:spacing w:before="240" w:after="60" w:line="240" w:lineRule="auto"/>
      <w:jc w:val="both"/>
    </w:pPr>
    <w:rPr>
      <w:rFonts w:ascii="Tahoma" w:eastAsia="Times New Roman" w:hAnsi="Tahoma" w:cs="Tahoma"/>
      <w:szCs w:val="24"/>
      <w:lang w:eastAsia="pt-BR"/>
    </w:rPr>
  </w:style>
  <w:style w:type="paragraph" w:customStyle="1" w:styleId="xl29">
    <w:name w:val="xl29"/>
    <w:basedOn w:val="Normal"/>
    <w:rsid w:val="00E32574"/>
    <w:pPr>
      <w:spacing w:before="100" w:beforeAutospacing="1" w:after="100" w:afterAutospacing="1" w:line="240" w:lineRule="auto"/>
      <w:jc w:val="center"/>
    </w:pPr>
    <w:rPr>
      <w:rFonts w:eastAsia="Times New Roman" w:cs="Times New Roman"/>
      <w:szCs w:val="24"/>
      <w:lang w:eastAsia="pt-BR"/>
    </w:rPr>
  </w:style>
  <w:style w:type="paragraph" w:styleId="Legenda">
    <w:name w:val="caption"/>
    <w:basedOn w:val="Normal"/>
    <w:next w:val="Normal"/>
    <w:qFormat/>
    <w:rsid w:val="00146231"/>
    <w:pPr>
      <w:spacing w:after="120" w:line="240" w:lineRule="auto"/>
      <w:jc w:val="center"/>
    </w:pPr>
    <w:rPr>
      <w:rFonts w:eastAsia="Times New Roman" w:cs="Tahoma"/>
      <w:b/>
      <w:bCs/>
      <w:szCs w:val="20"/>
      <w:lang w:eastAsia="pt-BR"/>
    </w:rPr>
  </w:style>
  <w:style w:type="paragraph" w:customStyle="1" w:styleId="TituloFiguras">
    <w:name w:val="Titulo Figuras"/>
    <w:basedOn w:val="CM73"/>
    <w:qFormat/>
    <w:rsid w:val="00887394"/>
    <w:pPr>
      <w:spacing w:line="231" w:lineRule="atLeast"/>
    </w:pPr>
    <w:rPr>
      <w:rFonts w:ascii="Times New Roman" w:hAnsi="Times New Roman" w:cs="Times New Roman"/>
      <w:bCs/>
    </w:rPr>
  </w:style>
  <w:style w:type="paragraph" w:customStyle="1" w:styleId="Fonte">
    <w:name w:val="Fonte"/>
    <w:basedOn w:val="Normal"/>
    <w:qFormat/>
    <w:rsid w:val="00887394"/>
    <w:pPr>
      <w:spacing w:before="80" w:line="240" w:lineRule="auto"/>
    </w:pPr>
    <w:rPr>
      <w:sz w:val="20"/>
    </w:rPr>
  </w:style>
  <w:style w:type="paragraph" w:customStyle="1" w:styleId="capa">
    <w:name w:val="capa"/>
    <w:basedOn w:val="Corpodetexto"/>
    <w:rsid w:val="00E32574"/>
    <w:pPr>
      <w:spacing w:line="360" w:lineRule="auto"/>
      <w:jc w:val="center"/>
    </w:pPr>
    <w:rPr>
      <w:rFonts w:ascii="Tahoma" w:eastAsia="Times New Roman" w:hAnsi="Tahoma" w:cs="Times New Roman"/>
      <w:b/>
      <w:bCs/>
      <w:color w:val="333333"/>
      <w:sz w:val="40"/>
      <w:szCs w:val="32"/>
      <w:lang w:eastAsia="pt-BR"/>
    </w:rPr>
  </w:style>
  <w:style w:type="paragraph" w:customStyle="1" w:styleId="xl27">
    <w:name w:val="xl27"/>
    <w:basedOn w:val="Normal"/>
    <w:rsid w:val="00E32574"/>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pt-BR"/>
    </w:rPr>
  </w:style>
  <w:style w:type="character" w:customStyle="1" w:styleId="f">
    <w:name w:val="f"/>
    <w:basedOn w:val="Fontepargpadro"/>
    <w:rsid w:val="00E32574"/>
  </w:style>
  <w:style w:type="character" w:styleId="nfase">
    <w:name w:val="Emphasis"/>
    <w:uiPriority w:val="20"/>
    <w:qFormat/>
    <w:rsid w:val="00E32574"/>
    <w:rPr>
      <w:i/>
      <w:iCs/>
    </w:rPr>
  </w:style>
  <w:style w:type="character" w:customStyle="1" w:styleId="ft">
    <w:name w:val="ft"/>
    <w:basedOn w:val="Fontepargpadro"/>
    <w:rsid w:val="00E32574"/>
  </w:style>
  <w:style w:type="character" w:customStyle="1" w:styleId="altcts">
    <w:name w:val="altcts"/>
    <w:basedOn w:val="Fontepargpadro"/>
    <w:rsid w:val="00E32574"/>
  </w:style>
  <w:style w:type="character" w:customStyle="1" w:styleId="st">
    <w:name w:val="st"/>
    <w:basedOn w:val="Fontepargpadro"/>
    <w:rsid w:val="00E32574"/>
  </w:style>
  <w:style w:type="paragraph" w:customStyle="1" w:styleId="artigo">
    <w:name w:val="artigo"/>
    <w:basedOn w:val="Normal"/>
    <w:rsid w:val="00E32574"/>
    <w:pPr>
      <w:spacing w:before="100" w:beforeAutospacing="1" w:after="100" w:afterAutospacing="1" w:line="240" w:lineRule="auto"/>
    </w:pPr>
    <w:rPr>
      <w:rFonts w:eastAsia="Times New Roman" w:cs="Times New Roman"/>
      <w:szCs w:val="24"/>
      <w:lang w:eastAsia="pt-BR"/>
    </w:rPr>
  </w:style>
  <w:style w:type="character" w:customStyle="1" w:styleId="url">
    <w:name w:val="url"/>
    <w:rsid w:val="00E32574"/>
  </w:style>
  <w:style w:type="paragraph" w:customStyle="1" w:styleId="cabea">
    <w:name w:val="cabea"/>
    <w:basedOn w:val="Normal"/>
    <w:rsid w:val="00E32574"/>
    <w:pPr>
      <w:spacing w:before="100" w:beforeAutospacing="1" w:after="100" w:afterAutospacing="1" w:line="240" w:lineRule="auto"/>
    </w:pPr>
    <w:rPr>
      <w:rFonts w:eastAsia="Times New Roman" w:cs="Times New Roman"/>
      <w:szCs w:val="24"/>
      <w:lang w:eastAsia="pt-BR"/>
    </w:rPr>
  </w:style>
  <w:style w:type="paragraph" w:customStyle="1" w:styleId="texto1">
    <w:name w:val="texto1"/>
    <w:basedOn w:val="Normal"/>
    <w:rsid w:val="00E32574"/>
    <w:pPr>
      <w:spacing w:before="100" w:beforeAutospacing="1" w:after="100" w:afterAutospacing="1" w:line="240" w:lineRule="auto"/>
    </w:pPr>
    <w:rPr>
      <w:rFonts w:eastAsia="Times New Roman" w:cs="Times New Roman"/>
      <w:szCs w:val="24"/>
      <w:lang w:eastAsia="pt-BR"/>
    </w:rPr>
  </w:style>
  <w:style w:type="paragraph" w:customStyle="1" w:styleId="TituloPrincipal">
    <w:name w:val="Titulo Principal"/>
    <w:basedOn w:val="Normal"/>
    <w:qFormat/>
    <w:rsid w:val="00887394"/>
    <w:pPr>
      <w:jc w:val="center"/>
    </w:pPr>
    <w:rPr>
      <w:rFonts w:cs="Times New Roman"/>
      <w:b/>
      <w:szCs w:val="32"/>
    </w:rPr>
  </w:style>
  <w:style w:type="paragraph" w:customStyle="1" w:styleId="Titulo">
    <w:name w:val="Titulo"/>
    <w:basedOn w:val="Ttulo1"/>
    <w:qFormat/>
    <w:rsid w:val="00971B37"/>
    <w:pPr>
      <w:spacing w:before="240" w:after="120" w:line="360" w:lineRule="auto"/>
      <w:jc w:val="left"/>
    </w:pPr>
    <w:rPr>
      <w:rFonts w:cs="Times New Roman"/>
      <w:sz w:val="24"/>
    </w:rPr>
  </w:style>
  <w:style w:type="paragraph" w:customStyle="1" w:styleId="Subtitulo">
    <w:name w:val="Subtitulo"/>
    <w:basedOn w:val="CM71"/>
    <w:link w:val="SubtituloChar"/>
    <w:qFormat/>
    <w:rsid w:val="00A04754"/>
    <w:pPr>
      <w:spacing w:before="120" w:after="120" w:line="360" w:lineRule="auto"/>
      <w:jc w:val="both"/>
    </w:pPr>
    <w:rPr>
      <w:rFonts w:ascii="Times New Roman" w:hAnsi="Times New Roman"/>
      <w:b/>
      <w:bCs/>
      <w:szCs w:val="22"/>
    </w:rPr>
  </w:style>
  <w:style w:type="paragraph" w:customStyle="1" w:styleId="TituloTabelas">
    <w:name w:val="Titulo Tabelas"/>
    <w:basedOn w:val="CM73"/>
    <w:qFormat/>
    <w:rsid w:val="00887394"/>
    <w:rPr>
      <w:rFonts w:ascii="Times New Roman" w:hAnsi="Times New Roman" w:cs="Times New Roman"/>
      <w:bCs/>
    </w:rPr>
  </w:style>
  <w:style w:type="paragraph" w:styleId="Subttulo">
    <w:name w:val="Subtitle"/>
    <w:basedOn w:val="Normal"/>
    <w:next w:val="Normal"/>
    <w:link w:val="SubttuloChar"/>
    <w:uiPriority w:val="11"/>
    <w:qFormat/>
    <w:rsid w:val="001D0A62"/>
    <w:pPr>
      <w:numPr>
        <w:ilvl w:val="1"/>
      </w:numPr>
    </w:pPr>
    <w:rPr>
      <w:rFonts w:asciiTheme="majorHAnsi" w:eastAsiaTheme="majorEastAsia" w:hAnsiTheme="majorHAnsi" w:cstheme="majorBidi"/>
      <w:i/>
      <w:iCs/>
      <w:color w:val="4F81BD" w:themeColor="accent1"/>
      <w:spacing w:val="15"/>
      <w:szCs w:val="24"/>
    </w:rPr>
  </w:style>
  <w:style w:type="character" w:customStyle="1" w:styleId="SubttuloChar">
    <w:name w:val="Subtítulo Char"/>
    <w:basedOn w:val="Fontepargpadro"/>
    <w:link w:val="Subttulo"/>
    <w:uiPriority w:val="11"/>
    <w:rsid w:val="001D0A62"/>
    <w:rPr>
      <w:rFonts w:asciiTheme="majorHAnsi" w:eastAsiaTheme="majorEastAsia" w:hAnsiTheme="majorHAnsi" w:cstheme="majorBidi"/>
      <w:i/>
      <w:iCs/>
      <w:color w:val="4F81BD" w:themeColor="accent1"/>
      <w:spacing w:val="15"/>
      <w:sz w:val="24"/>
      <w:szCs w:val="24"/>
    </w:rPr>
  </w:style>
  <w:style w:type="paragraph" w:customStyle="1" w:styleId="Subtitulo2">
    <w:name w:val="Subtitulo 2"/>
    <w:basedOn w:val="Normal"/>
    <w:qFormat/>
    <w:rsid w:val="00B22169"/>
    <w:pPr>
      <w:spacing w:before="60" w:line="360" w:lineRule="auto"/>
      <w:ind w:firstLine="709"/>
      <w:jc w:val="both"/>
    </w:pPr>
    <w:rPr>
      <w:rFonts w:cs="Times New Roman"/>
      <w:b/>
    </w:rPr>
  </w:style>
  <w:style w:type="paragraph" w:styleId="Ttulo">
    <w:name w:val="Title"/>
    <w:basedOn w:val="Normal"/>
    <w:next w:val="Normal"/>
    <w:link w:val="TtuloChar"/>
    <w:qFormat/>
    <w:rsid w:val="0079450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9450A"/>
    <w:rPr>
      <w:rFonts w:asciiTheme="majorHAnsi" w:eastAsiaTheme="majorEastAsia" w:hAnsiTheme="majorHAnsi" w:cstheme="majorBidi"/>
      <w:color w:val="17365D" w:themeColor="text2" w:themeShade="BF"/>
      <w:spacing w:val="5"/>
      <w:kern w:val="28"/>
      <w:sz w:val="52"/>
      <w:szCs w:val="52"/>
    </w:rPr>
  </w:style>
  <w:style w:type="paragraph" w:customStyle="1" w:styleId="Referncias">
    <w:name w:val="Referências"/>
    <w:basedOn w:val="Normal"/>
    <w:qFormat/>
    <w:rsid w:val="00303533"/>
    <w:pPr>
      <w:autoSpaceDE w:val="0"/>
      <w:autoSpaceDN w:val="0"/>
      <w:adjustRightInd w:val="0"/>
      <w:spacing w:after="0" w:line="240" w:lineRule="auto"/>
      <w:jc w:val="both"/>
    </w:pPr>
    <w:rPr>
      <w:rFonts w:cs="Arial"/>
      <w:bCs/>
      <w:szCs w:val="26"/>
    </w:rPr>
  </w:style>
  <w:style w:type="paragraph" w:customStyle="1" w:styleId="Subtitulo3">
    <w:name w:val="Subtitulo 3"/>
    <w:basedOn w:val="CM71"/>
    <w:qFormat/>
    <w:rsid w:val="00705554"/>
    <w:pPr>
      <w:spacing w:after="12" w:line="360" w:lineRule="auto"/>
      <w:ind w:firstLine="1134"/>
      <w:jc w:val="both"/>
    </w:pPr>
    <w:rPr>
      <w:rFonts w:ascii="Times New Roman" w:hAnsi="Times New Roman" w:cs="Times New Roman"/>
      <w:b/>
      <w:i/>
      <w:iCs/>
    </w:rPr>
  </w:style>
  <w:style w:type="paragraph" w:customStyle="1" w:styleId="Subtitulo4">
    <w:name w:val="Subtitulo 4"/>
    <w:basedOn w:val="CM71"/>
    <w:rsid w:val="00E61E74"/>
    <w:pPr>
      <w:spacing w:line="360" w:lineRule="auto"/>
      <w:ind w:firstLine="1418"/>
      <w:jc w:val="both"/>
    </w:pPr>
    <w:rPr>
      <w:rFonts w:ascii="Times New Roman" w:hAnsi="Times New Roman" w:cs="Times New Roman"/>
      <w:b/>
      <w:i/>
      <w:iCs/>
    </w:rPr>
  </w:style>
  <w:style w:type="paragraph" w:styleId="Sumrio3">
    <w:name w:val="toc 3"/>
    <w:basedOn w:val="Normal"/>
    <w:next w:val="Normal"/>
    <w:autoRedefine/>
    <w:uiPriority w:val="39"/>
    <w:unhideWhenUsed/>
    <w:rsid w:val="00437716"/>
    <w:pPr>
      <w:tabs>
        <w:tab w:val="right" w:leader="dot" w:pos="8494"/>
      </w:tabs>
      <w:spacing w:after="100"/>
      <w:ind w:left="440"/>
    </w:pPr>
    <w:rPr>
      <w:rFonts w:cs="Times New Roman"/>
      <w:noProof/>
      <w:spacing w:val="-8"/>
      <w:szCs w:val="24"/>
      <w:lang w:eastAsia="pt-BR"/>
    </w:rPr>
  </w:style>
  <w:style w:type="paragraph" w:styleId="Sumrio4">
    <w:name w:val="toc 4"/>
    <w:basedOn w:val="Normal"/>
    <w:next w:val="Normal"/>
    <w:autoRedefine/>
    <w:uiPriority w:val="39"/>
    <w:unhideWhenUsed/>
    <w:rsid w:val="000B0794"/>
    <w:pPr>
      <w:tabs>
        <w:tab w:val="right" w:leader="dot" w:pos="8494"/>
      </w:tabs>
      <w:spacing w:after="100"/>
      <w:ind w:left="660"/>
    </w:pPr>
    <w:rPr>
      <w:rFonts w:cs="Times New Roman"/>
    </w:rPr>
  </w:style>
  <w:style w:type="paragraph" w:styleId="Sumrio5">
    <w:name w:val="toc 5"/>
    <w:basedOn w:val="Normal"/>
    <w:next w:val="Normal"/>
    <w:autoRedefine/>
    <w:uiPriority w:val="39"/>
    <w:unhideWhenUsed/>
    <w:rsid w:val="007557FD"/>
    <w:pPr>
      <w:spacing w:after="100" w:line="276" w:lineRule="auto"/>
      <w:ind w:left="880"/>
    </w:pPr>
    <w:rPr>
      <w:rFonts w:eastAsiaTheme="minorEastAsia"/>
      <w:lang w:eastAsia="pt-BR"/>
    </w:rPr>
  </w:style>
  <w:style w:type="paragraph" w:styleId="Sumrio6">
    <w:name w:val="toc 6"/>
    <w:basedOn w:val="Normal"/>
    <w:next w:val="Normal"/>
    <w:autoRedefine/>
    <w:uiPriority w:val="39"/>
    <w:unhideWhenUsed/>
    <w:rsid w:val="007557FD"/>
    <w:pPr>
      <w:spacing w:after="100" w:line="276" w:lineRule="auto"/>
      <w:ind w:left="1100"/>
    </w:pPr>
    <w:rPr>
      <w:rFonts w:eastAsiaTheme="minorEastAsia"/>
      <w:lang w:eastAsia="pt-BR"/>
    </w:rPr>
  </w:style>
  <w:style w:type="paragraph" w:styleId="Sumrio7">
    <w:name w:val="toc 7"/>
    <w:basedOn w:val="Normal"/>
    <w:next w:val="Normal"/>
    <w:autoRedefine/>
    <w:uiPriority w:val="39"/>
    <w:unhideWhenUsed/>
    <w:rsid w:val="007557FD"/>
    <w:pPr>
      <w:spacing w:after="100" w:line="276" w:lineRule="auto"/>
      <w:ind w:left="1320"/>
    </w:pPr>
    <w:rPr>
      <w:rFonts w:eastAsiaTheme="minorEastAsia"/>
      <w:lang w:eastAsia="pt-BR"/>
    </w:rPr>
  </w:style>
  <w:style w:type="paragraph" w:styleId="Sumrio8">
    <w:name w:val="toc 8"/>
    <w:basedOn w:val="Normal"/>
    <w:next w:val="Normal"/>
    <w:autoRedefine/>
    <w:uiPriority w:val="39"/>
    <w:unhideWhenUsed/>
    <w:rsid w:val="007557FD"/>
    <w:pPr>
      <w:spacing w:after="100" w:line="276" w:lineRule="auto"/>
      <w:ind w:left="1540"/>
    </w:pPr>
    <w:rPr>
      <w:rFonts w:eastAsiaTheme="minorEastAsia"/>
      <w:lang w:eastAsia="pt-BR"/>
    </w:rPr>
  </w:style>
  <w:style w:type="paragraph" w:styleId="Sumrio9">
    <w:name w:val="toc 9"/>
    <w:basedOn w:val="Normal"/>
    <w:next w:val="Normal"/>
    <w:autoRedefine/>
    <w:uiPriority w:val="39"/>
    <w:unhideWhenUsed/>
    <w:rsid w:val="007557FD"/>
    <w:pPr>
      <w:spacing w:after="100" w:line="276" w:lineRule="auto"/>
      <w:ind w:left="1760"/>
    </w:pPr>
    <w:rPr>
      <w:rFonts w:eastAsiaTheme="minorEastAsia"/>
      <w:lang w:eastAsia="pt-BR"/>
    </w:rPr>
  </w:style>
  <w:style w:type="table" w:customStyle="1" w:styleId="TabeladeGrade1Clara1">
    <w:name w:val="Tabela de Grade 1 Clara1"/>
    <w:basedOn w:val="Tabelanormal"/>
    <w:uiPriority w:val="46"/>
    <w:rsid w:val="000C310E"/>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HiperlinkVisitado">
    <w:name w:val="FollowedHyperlink"/>
    <w:basedOn w:val="Fontepargpadro"/>
    <w:uiPriority w:val="99"/>
    <w:semiHidden/>
    <w:unhideWhenUsed/>
    <w:rsid w:val="00CF0615"/>
    <w:rPr>
      <w:color w:val="800080" w:themeColor="followedHyperlink"/>
      <w:u w:val="single"/>
    </w:rPr>
  </w:style>
  <w:style w:type="paragraph" w:customStyle="1" w:styleId="CM75">
    <w:name w:val="CM75"/>
    <w:basedOn w:val="Normal"/>
    <w:next w:val="Normal"/>
    <w:uiPriority w:val="99"/>
    <w:rsid w:val="00DF5192"/>
    <w:pPr>
      <w:widowControl w:val="0"/>
      <w:autoSpaceDE w:val="0"/>
      <w:autoSpaceDN w:val="0"/>
      <w:adjustRightInd w:val="0"/>
      <w:spacing w:after="0" w:line="240" w:lineRule="auto"/>
    </w:pPr>
    <w:rPr>
      <w:rFonts w:ascii="Arial" w:eastAsiaTheme="minorEastAsia" w:hAnsi="Arial" w:cs="Arial"/>
      <w:szCs w:val="24"/>
      <w:lang w:eastAsia="pt-BR"/>
    </w:rPr>
  </w:style>
  <w:style w:type="paragraph" w:customStyle="1" w:styleId="CM79">
    <w:name w:val="CM79"/>
    <w:basedOn w:val="Normal"/>
    <w:next w:val="Normal"/>
    <w:uiPriority w:val="99"/>
    <w:rsid w:val="00DF5192"/>
    <w:pPr>
      <w:widowControl w:val="0"/>
      <w:autoSpaceDE w:val="0"/>
      <w:autoSpaceDN w:val="0"/>
      <w:adjustRightInd w:val="0"/>
      <w:spacing w:after="0" w:line="240" w:lineRule="auto"/>
    </w:pPr>
    <w:rPr>
      <w:rFonts w:ascii="Arial" w:eastAsiaTheme="minorEastAsia" w:hAnsi="Arial" w:cs="Arial"/>
      <w:szCs w:val="24"/>
      <w:lang w:eastAsia="pt-BR"/>
    </w:rPr>
  </w:style>
  <w:style w:type="paragraph" w:styleId="ndicedeilustraes">
    <w:name w:val="table of figures"/>
    <w:basedOn w:val="Normal"/>
    <w:next w:val="Normal"/>
    <w:uiPriority w:val="99"/>
    <w:unhideWhenUsed/>
    <w:rsid w:val="00146231"/>
    <w:pPr>
      <w:spacing w:after="0"/>
    </w:pPr>
    <w:rPr>
      <w:b/>
    </w:rPr>
  </w:style>
  <w:style w:type="paragraph" w:customStyle="1" w:styleId="Estilo1">
    <w:name w:val="Estilo1"/>
    <w:basedOn w:val="Subtitulo"/>
    <w:link w:val="Estilo1Char"/>
    <w:qFormat/>
    <w:rsid w:val="00A04754"/>
  </w:style>
  <w:style w:type="paragraph" w:customStyle="1" w:styleId="Estilo2">
    <w:name w:val="Estilo2"/>
    <w:basedOn w:val="PargrafodaLista"/>
    <w:link w:val="Estilo2Char"/>
    <w:qFormat/>
    <w:rsid w:val="005C4DCE"/>
    <w:pPr>
      <w:numPr>
        <w:numId w:val="4"/>
      </w:numPr>
      <w:spacing w:before="120" w:after="240" w:line="360" w:lineRule="auto"/>
      <w:ind w:left="0" w:firstLine="0"/>
      <w:jc w:val="both"/>
    </w:pPr>
    <w:rPr>
      <w:b/>
      <w:color w:val="222222"/>
      <w:szCs w:val="24"/>
    </w:rPr>
  </w:style>
  <w:style w:type="character" w:customStyle="1" w:styleId="CM71Char">
    <w:name w:val="CM71 Char"/>
    <w:basedOn w:val="Fontepargpadro"/>
    <w:link w:val="CM71"/>
    <w:uiPriority w:val="99"/>
    <w:rsid w:val="00A04754"/>
    <w:rPr>
      <w:rFonts w:ascii="Arial" w:eastAsiaTheme="minorEastAsia" w:hAnsi="Arial" w:cs="Arial"/>
      <w:sz w:val="24"/>
      <w:szCs w:val="24"/>
      <w:lang w:eastAsia="pt-BR"/>
    </w:rPr>
  </w:style>
  <w:style w:type="character" w:customStyle="1" w:styleId="SubtituloChar">
    <w:name w:val="Subtitulo Char"/>
    <w:basedOn w:val="CM71Char"/>
    <w:link w:val="Subtitulo"/>
    <w:rsid w:val="00A04754"/>
    <w:rPr>
      <w:rFonts w:ascii="Times New Roman" w:eastAsiaTheme="minorEastAsia" w:hAnsi="Times New Roman" w:cs="Arial"/>
      <w:b/>
      <w:bCs/>
      <w:sz w:val="24"/>
      <w:szCs w:val="24"/>
      <w:lang w:eastAsia="pt-BR"/>
    </w:rPr>
  </w:style>
  <w:style w:type="character" w:customStyle="1" w:styleId="Estilo1Char">
    <w:name w:val="Estilo1 Char"/>
    <w:basedOn w:val="SubtituloChar"/>
    <w:link w:val="Estilo1"/>
    <w:rsid w:val="00A04754"/>
    <w:rPr>
      <w:rFonts w:ascii="Times New Roman" w:eastAsiaTheme="minorEastAsia" w:hAnsi="Times New Roman" w:cs="Arial"/>
      <w:b/>
      <w:bCs/>
      <w:sz w:val="24"/>
      <w:szCs w:val="24"/>
      <w:lang w:eastAsia="pt-BR"/>
    </w:rPr>
  </w:style>
  <w:style w:type="character" w:customStyle="1" w:styleId="PargrafodaListaChar">
    <w:name w:val="Parágrafo da Lista Char"/>
    <w:basedOn w:val="Fontepargpadro"/>
    <w:link w:val="PargrafodaLista"/>
    <w:uiPriority w:val="34"/>
    <w:rsid w:val="005C4DCE"/>
    <w:rPr>
      <w:rFonts w:ascii="Times New Roman" w:hAnsi="Times New Roman"/>
      <w:sz w:val="24"/>
    </w:rPr>
  </w:style>
  <w:style w:type="character" w:customStyle="1" w:styleId="Estilo2Char">
    <w:name w:val="Estilo2 Char"/>
    <w:basedOn w:val="PargrafodaListaChar"/>
    <w:link w:val="Estilo2"/>
    <w:rsid w:val="005C4DCE"/>
    <w:rPr>
      <w:rFonts w:ascii="Times New Roman" w:hAnsi="Times New Roman"/>
      <w:b/>
      <w:color w:val="22222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0514158">
      <w:bodyDiv w:val="1"/>
      <w:marLeft w:val="0"/>
      <w:marRight w:val="0"/>
      <w:marTop w:val="0"/>
      <w:marBottom w:val="0"/>
      <w:divBdr>
        <w:top w:val="none" w:sz="0" w:space="0" w:color="auto"/>
        <w:left w:val="none" w:sz="0" w:space="0" w:color="auto"/>
        <w:bottom w:val="none" w:sz="0" w:space="0" w:color="auto"/>
        <w:right w:val="none" w:sz="0" w:space="0" w:color="auto"/>
      </w:divBdr>
    </w:div>
    <w:div w:id="1829705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8.jpeg"/><Relationship Id="rId21" Type="http://schemas.openxmlformats.org/officeDocument/2006/relationships/image" Target="media/image9.jpeg"/><Relationship Id="rId63" Type="http://schemas.openxmlformats.org/officeDocument/2006/relationships/hyperlink" Target="http://pt.wikipedia.org/wiki/Igreja_Presbiteriana" TargetMode="External"/><Relationship Id="rId159" Type="http://schemas.openxmlformats.org/officeDocument/2006/relationships/image" Target="media/image110.jpeg"/><Relationship Id="rId170" Type="http://schemas.openxmlformats.org/officeDocument/2006/relationships/image" Target="media/image116.jpeg"/><Relationship Id="rId226" Type="http://schemas.openxmlformats.org/officeDocument/2006/relationships/hyperlink" Target="http://pt.wikipedia.org/wiki/Aimor%C3%A9s_(Minas_Gerais)" TargetMode="External"/><Relationship Id="rId268" Type="http://schemas.openxmlformats.org/officeDocument/2006/relationships/hyperlink" Target="http://www.planalto.gov.br/ccivil_03/_ato2007-2010/2007/lei/l11445.htm" TargetMode="External"/><Relationship Id="rId32" Type="http://schemas.openxmlformats.org/officeDocument/2006/relationships/image" Target="media/image20.jpeg"/><Relationship Id="rId74" Type="http://schemas.openxmlformats.org/officeDocument/2006/relationships/image" Target="media/image33.emf"/><Relationship Id="rId128" Type="http://schemas.openxmlformats.org/officeDocument/2006/relationships/image" Target="media/image79.jpeg"/><Relationship Id="rId5" Type="http://schemas.openxmlformats.org/officeDocument/2006/relationships/webSettings" Target="webSettings.xml"/><Relationship Id="rId181" Type="http://schemas.openxmlformats.org/officeDocument/2006/relationships/image" Target="media/image127.jpeg"/><Relationship Id="rId237" Type="http://schemas.openxmlformats.org/officeDocument/2006/relationships/image" Target="media/image172.jpeg"/><Relationship Id="rId279" Type="http://schemas.openxmlformats.org/officeDocument/2006/relationships/hyperlink" Target="http://pt.wikipedia.org/wiki/Aimor%C3%A9s_(Minas_Gerais)" TargetMode="External"/><Relationship Id="rId22" Type="http://schemas.openxmlformats.org/officeDocument/2006/relationships/image" Target="media/image10.jpeg"/><Relationship Id="rId43" Type="http://schemas.openxmlformats.org/officeDocument/2006/relationships/hyperlink" Target="http://pt.wikipedia.org/wiki/Alto_do_Capim" TargetMode="External"/><Relationship Id="rId64" Type="http://schemas.openxmlformats.org/officeDocument/2006/relationships/hyperlink" Target="http://pt.wikipedia.org/wiki/Igreja_Metodista" TargetMode="External"/><Relationship Id="rId118" Type="http://schemas.openxmlformats.org/officeDocument/2006/relationships/image" Target="media/image69.jpeg"/><Relationship Id="rId139" Type="http://schemas.openxmlformats.org/officeDocument/2006/relationships/image" Target="media/image90.jpeg"/><Relationship Id="rId85" Type="http://schemas.openxmlformats.org/officeDocument/2006/relationships/hyperlink" Target="http://pt.wikipedia.org/wiki/Homic%C3%ADdio" TargetMode="External"/><Relationship Id="rId150" Type="http://schemas.openxmlformats.org/officeDocument/2006/relationships/image" Target="media/image101.jpeg"/><Relationship Id="rId171" Type="http://schemas.openxmlformats.org/officeDocument/2006/relationships/image" Target="media/image117.jpeg"/><Relationship Id="rId192" Type="http://schemas.openxmlformats.org/officeDocument/2006/relationships/image" Target="media/image138.jpeg"/><Relationship Id="rId206" Type="http://schemas.openxmlformats.org/officeDocument/2006/relationships/image" Target="media/image152.jpeg"/><Relationship Id="rId227" Type="http://schemas.openxmlformats.org/officeDocument/2006/relationships/image" Target="media/image165.png"/><Relationship Id="rId248" Type="http://schemas.openxmlformats.org/officeDocument/2006/relationships/image" Target="media/image181.jpeg"/><Relationship Id="rId269" Type="http://schemas.openxmlformats.org/officeDocument/2006/relationships/hyperlink" Target="http://www.cbhdoce.org.br/" TargetMode="External"/><Relationship Id="rId12" Type="http://schemas.openxmlformats.org/officeDocument/2006/relationships/header" Target="header2.xml"/><Relationship Id="rId33" Type="http://schemas.openxmlformats.org/officeDocument/2006/relationships/image" Target="media/image21.jpeg"/><Relationship Id="rId108" Type="http://schemas.openxmlformats.org/officeDocument/2006/relationships/image" Target="media/image59.jpeg"/><Relationship Id="rId129" Type="http://schemas.openxmlformats.org/officeDocument/2006/relationships/image" Target="media/image80.jpeg"/><Relationship Id="rId280" Type="http://schemas.openxmlformats.org/officeDocument/2006/relationships/fontTable" Target="fontTable.xml"/><Relationship Id="rId54" Type="http://schemas.openxmlformats.org/officeDocument/2006/relationships/hyperlink" Target="http://pt.wikipedia.org/wiki/Densidade_populacional" TargetMode="External"/><Relationship Id="rId75" Type="http://schemas.openxmlformats.org/officeDocument/2006/relationships/image" Target="media/image34.emf"/><Relationship Id="rId96" Type="http://schemas.openxmlformats.org/officeDocument/2006/relationships/image" Target="media/image47.jpeg"/><Relationship Id="rId140" Type="http://schemas.openxmlformats.org/officeDocument/2006/relationships/image" Target="media/image91.jpeg"/><Relationship Id="rId161" Type="http://schemas.openxmlformats.org/officeDocument/2006/relationships/image" Target="media/image112.jpeg"/><Relationship Id="rId182" Type="http://schemas.openxmlformats.org/officeDocument/2006/relationships/image" Target="media/image128.jpeg"/><Relationship Id="rId217" Type="http://schemas.openxmlformats.org/officeDocument/2006/relationships/image" Target="media/image163.jpeg"/><Relationship Id="rId6" Type="http://schemas.openxmlformats.org/officeDocument/2006/relationships/footnotes" Target="footnotes.xml"/><Relationship Id="rId238" Type="http://schemas.openxmlformats.org/officeDocument/2006/relationships/image" Target="media/image173.jpeg"/><Relationship Id="rId259" Type="http://schemas.openxmlformats.org/officeDocument/2006/relationships/image" Target="media/image191.jpeg"/><Relationship Id="rId23" Type="http://schemas.openxmlformats.org/officeDocument/2006/relationships/image" Target="media/image11.jpeg"/><Relationship Id="rId119" Type="http://schemas.openxmlformats.org/officeDocument/2006/relationships/image" Target="media/image70.jpeg"/><Relationship Id="rId270" Type="http://schemas.openxmlformats.org/officeDocument/2006/relationships/hyperlink" Target="http://www.mma.gov.br/port/conama/legiabre.cfm?codlegi=646" TargetMode="External"/><Relationship Id="rId44" Type="http://schemas.openxmlformats.org/officeDocument/2006/relationships/hyperlink" Target="http://pt.wikipedia.org/wiki/Concei%C3%A7%C3%A3o_do_Capim" TargetMode="External"/><Relationship Id="rId65" Type="http://schemas.openxmlformats.org/officeDocument/2006/relationships/hyperlink" Target="http://pt.wikipedia.org/wiki/Igreja_Batista" TargetMode="External"/><Relationship Id="rId86" Type="http://schemas.openxmlformats.org/officeDocument/2006/relationships/hyperlink" Target="http://www.fjp.mg.gov.br/" TargetMode="External"/><Relationship Id="rId130" Type="http://schemas.openxmlformats.org/officeDocument/2006/relationships/image" Target="media/image81.jpeg"/><Relationship Id="rId151" Type="http://schemas.openxmlformats.org/officeDocument/2006/relationships/image" Target="media/image102.jpeg"/><Relationship Id="rId172" Type="http://schemas.openxmlformats.org/officeDocument/2006/relationships/image" Target="media/image118.jpeg"/><Relationship Id="rId193" Type="http://schemas.openxmlformats.org/officeDocument/2006/relationships/image" Target="media/image139.jpeg"/><Relationship Id="rId207" Type="http://schemas.openxmlformats.org/officeDocument/2006/relationships/image" Target="media/image153.jpeg"/><Relationship Id="rId228" Type="http://schemas.openxmlformats.org/officeDocument/2006/relationships/hyperlink" Target="http://pt.wikipedia.org/wiki/Aimor%C3%A9s_(Minas_Gerais)" TargetMode="External"/><Relationship Id="rId249" Type="http://schemas.openxmlformats.org/officeDocument/2006/relationships/image" Target="media/image182.jpeg"/><Relationship Id="rId13" Type="http://schemas.openxmlformats.org/officeDocument/2006/relationships/footer" Target="footer2.xml"/><Relationship Id="rId109" Type="http://schemas.openxmlformats.org/officeDocument/2006/relationships/image" Target="media/image60.jpeg"/><Relationship Id="rId260" Type="http://schemas.openxmlformats.org/officeDocument/2006/relationships/image" Target="media/image192.jpeg"/><Relationship Id="rId281" Type="http://schemas.openxmlformats.org/officeDocument/2006/relationships/theme" Target="theme/theme1.xml"/><Relationship Id="rId34" Type="http://schemas.openxmlformats.org/officeDocument/2006/relationships/image" Target="media/image22.jpeg"/><Relationship Id="rId55" Type="http://schemas.openxmlformats.org/officeDocument/2006/relationships/image" Target="media/image29.emf"/><Relationship Id="rId76" Type="http://schemas.openxmlformats.org/officeDocument/2006/relationships/image" Target="media/image35.emf"/><Relationship Id="rId97" Type="http://schemas.openxmlformats.org/officeDocument/2006/relationships/image" Target="media/image48.jpeg"/><Relationship Id="rId120" Type="http://schemas.openxmlformats.org/officeDocument/2006/relationships/image" Target="media/image71.jpeg"/><Relationship Id="rId141" Type="http://schemas.openxmlformats.org/officeDocument/2006/relationships/image" Target="media/image92.jpeg"/><Relationship Id="rId7" Type="http://schemas.openxmlformats.org/officeDocument/2006/relationships/endnotes" Target="endnotes.xml"/><Relationship Id="rId162" Type="http://schemas.openxmlformats.org/officeDocument/2006/relationships/diagramData" Target="diagrams/data1.xml"/><Relationship Id="rId183" Type="http://schemas.openxmlformats.org/officeDocument/2006/relationships/image" Target="media/image129.jpeg"/><Relationship Id="rId218" Type="http://schemas.openxmlformats.org/officeDocument/2006/relationships/image" Target="media/image164.jpeg"/><Relationship Id="rId239" Type="http://schemas.openxmlformats.org/officeDocument/2006/relationships/image" Target="media/image174.png"/><Relationship Id="rId250" Type="http://schemas.openxmlformats.org/officeDocument/2006/relationships/image" Target="media/image183.jpeg"/><Relationship Id="rId271" Type="http://schemas.openxmlformats.org/officeDocument/2006/relationships/hyperlink" Target="http://www.dec.ufcg.edu.br/saneamento/UASB02.html" TargetMode="External"/><Relationship Id="rId24" Type="http://schemas.openxmlformats.org/officeDocument/2006/relationships/image" Target="media/image12.jpeg"/><Relationship Id="rId45" Type="http://schemas.openxmlformats.org/officeDocument/2006/relationships/hyperlink" Target="http://pt.wikipedia.org/wiki/Expedicion%C3%A1rio_Al%C3%ADcio" TargetMode="External"/><Relationship Id="rId66" Type="http://schemas.openxmlformats.org/officeDocument/2006/relationships/hyperlink" Target="http://pt.wikipedia.org/wiki/Assembleias_de_Deus_(Brasil)" TargetMode="External"/><Relationship Id="rId87" Type="http://schemas.openxmlformats.org/officeDocument/2006/relationships/image" Target="media/image39.emf"/><Relationship Id="rId110" Type="http://schemas.openxmlformats.org/officeDocument/2006/relationships/image" Target="media/image61.jpeg"/><Relationship Id="rId131" Type="http://schemas.openxmlformats.org/officeDocument/2006/relationships/image" Target="media/image82.jpeg"/><Relationship Id="rId152" Type="http://schemas.openxmlformats.org/officeDocument/2006/relationships/image" Target="media/image103.jpeg"/><Relationship Id="rId173" Type="http://schemas.openxmlformats.org/officeDocument/2006/relationships/image" Target="media/image119.jpeg"/><Relationship Id="rId194" Type="http://schemas.openxmlformats.org/officeDocument/2006/relationships/image" Target="media/image140.jpeg"/><Relationship Id="rId208" Type="http://schemas.openxmlformats.org/officeDocument/2006/relationships/image" Target="media/image154.jpeg"/><Relationship Id="rId229" Type="http://schemas.openxmlformats.org/officeDocument/2006/relationships/hyperlink" Target="http://pt.wikipedia.org/wiki/%C3%8Dndice_de_Desenvolvimento_Humano" TargetMode="External"/><Relationship Id="rId240" Type="http://schemas.openxmlformats.org/officeDocument/2006/relationships/image" Target="media/image175.png"/><Relationship Id="rId261" Type="http://schemas.openxmlformats.org/officeDocument/2006/relationships/image" Target="media/image193.jpeg"/><Relationship Id="rId14" Type="http://schemas.openxmlformats.org/officeDocument/2006/relationships/footer" Target="footer3.xml"/><Relationship Id="rId35" Type="http://schemas.openxmlformats.org/officeDocument/2006/relationships/image" Target="media/image23.jpeg"/><Relationship Id="rId56" Type="http://schemas.openxmlformats.org/officeDocument/2006/relationships/image" Target="media/image30.emf"/><Relationship Id="rId77" Type="http://schemas.openxmlformats.org/officeDocument/2006/relationships/image" Target="media/image36.emf"/><Relationship Id="rId100" Type="http://schemas.openxmlformats.org/officeDocument/2006/relationships/image" Target="media/image51.jpeg"/><Relationship Id="rId8" Type="http://schemas.openxmlformats.org/officeDocument/2006/relationships/image" Target="media/image1.png"/><Relationship Id="rId98" Type="http://schemas.openxmlformats.org/officeDocument/2006/relationships/image" Target="media/image49.jpeg"/><Relationship Id="rId121" Type="http://schemas.openxmlformats.org/officeDocument/2006/relationships/image" Target="media/image72.jpeg"/><Relationship Id="rId142" Type="http://schemas.openxmlformats.org/officeDocument/2006/relationships/image" Target="media/image93.jpeg"/><Relationship Id="rId163" Type="http://schemas.openxmlformats.org/officeDocument/2006/relationships/diagramLayout" Target="diagrams/layout1.xml"/><Relationship Id="rId184" Type="http://schemas.openxmlformats.org/officeDocument/2006/relationships/image" Target="media/image130.jpeg"/><Relationship Id="rId219" Type="http://schemas.openxmlformats.org/officeDocument/2006/relationships/hyperlink" Target="http://www.planalto.gov.br/ccivil_03/_ato2007-2010/2010/Decreto/D7404.htm" TargetMode="External"/><Relationship Id="rId230" Type="http://schemas.openxmlformats.org/officeDocument/2006/relationships/hyperlink" Target="http://legislacao.planalto.gov.br/legisla/legislacao.nsf/Viw_Identificacao/lei%2011.445-2007?OpenDocument" TargetMode="External"/><Relationship Id="rId251" Type="http://schemas.openxmlformats.org/officeDocument/2006/relationships/header" Target="header4.xml"/><Relationship Id="rId25" Type="http://schemas.openxmlformats.org/officeDocument/2006/relationships/image" Target="media/image13.jpeg"/><Relationship Id="rId46" Type="http://schemas.openxmlformats.org/officeDocument/2006/relationships/hyperlink" Target="http://pt.wikipedia.org/wiki/Mundo_Novo_de_Minas" TargetMode="External"/><Relationship Id="rId67" Type="http://schemas.openxmlformats.org/officeDocument/2006/relationships/hyperlink" Target="http://pt.wikipedia.org/wiki/Igreja_Adventista_do_S%C3%A9timo_Dia" TargetMode="External"/><Relationship Id="rId272" Type="http://schemas.openxmlformats.org/officeDocument/2006/relationships/hyperlink" Target="http://in360.globo.com/mg/noticias.php?id=13651" TargetMode="External"/><Relationship Id="rId88" Type="http://schemas.openxmlformats.org/officeDocument/2006/relationships/image" Target="media/image40.jpeg"/><Relationship Id="rId111" Type="http://schemas.openxmlformats.org/officeDocument/2006/relationships/image" Target="media/image62.jpeg"/><Relationship Id="rId132" Type="http://schemas.openxmlformats.org/officeDocument/2006/relationships/image" Target="media/image83.jpeg"/><Relationship Id="rId153" Type="http://schemas.openxmlformats.org/officeDocument/2006/relationships/image" Target="media/image104.jpeg"/><Relationship Id="rId174" Type="http://schemas.openxmlformats.org/officeDocument/2006/relationships/image" Target="media/image120.jpeg"/><Relationship Id="rId195" Type="http://schemas.openxmlformats.org/officeDocument/2006/relationships/image" Target="media/image141.jpeg"/><Relationship Id="rId209" Type="http://schemas.openxmlformats.org/officeDocument/2006/relationships/image" Target="media/image155.jpeg"/><Relationship Id="rId220" Type="http://schemas.openxmlformats.org/officeDocument/2006/relationships/hyperlink" Target="http://www.siam.mg.gov.br/sla/download.pdf?idNorma=9272" TargetMode="External"/><Relationship Id="rId241" Type="http://schemas.openxmlformats.org/officeDocument/2006/relationships/image" Target="media/image176.png"/><Relationship Id="rId15" Type="http://schemas.openxmlformats.org/officeDocument/2006/relationships/image" Target="media/image4.jpeg"/><Relationship Id="rId36" Type="http://schemas.openxmlformats.org/officeDocument/2006/relationships/image" Target="media/image24.jpeg"/><Relationship Id="rId57" Type="http://schemas.openxmlformats.org/officeDocument/2006/relationships/image" Target="media/image31.emf"/><Relationship Id="rId262" Type="http://schemas.openxmlformats.org/officeDocument/2006/relationships/image" Target="media/image194.jpeg"/><Relationship Id="rId78" Type="http://schemas.openxmlformats.org/officeDocument/2006/relationships/hyperlink" Target="http://pt.wikipedia.org/wiki/%C3%8Dndice_de_Desenvolvimento_Humano" TargetMode="External"/><Relationship Id="rId99" Type="http://schemas.openxmlformats.org/officeDocument/2006/relationships/image" Target="media/image50.jpeg"/><Relationship Id="rId101" Type="http://schemas.openxmlformats.org/officeDocument/2006/relationships/image" Target="media/image52.jpeg"/><Relationship Id="rId122" Type="http://schemas.openxmlformats.org/officeDocument/2006/relationships/image" Target="media/image73.jpeg"/><Relationship Id="rId143" Type="http://schemas.openxmlformats.org/officeDocument/2006/relationships/image" Target="media/image94.jpeg"/><Relationship Id="rId164" Type="http://schemas.openxmlformats.org/officeDocument/2006/relationships/diagramQuickStyle" Target="diagrams/quickStyle1.xml"/><Relationship Id="rId185" Type="http://schemas.openxmlformats.org/officeDocument/2006/relationships/image" Target="media/image131.jpeg"/><Relationship Id="rId9" Type="http://schemas.openxmlformats.org/officeDocument/2006/relationships/image" Target="media/image2.jpeg"/><Relationship Id="rId210" Type="http://schemas.openxmlformats.org/officeDocument/2006/relationships/image" Target="media/image156.jpeg"/><Relationship Id="rId26" Type="http://schemas.openxmlformats.org/officeDocument/2006/relationships/image" Target="media/image14.jpeg"/><Relationship Id="rId231" Type="http://schemas.openxmlformats.org/officeDocument/2006/relationships/image" Target="media/image166.jpeg"/><Relationship Id="rId252" Type="http://schemas.openxmlformats.org/officeDocument/2006/relationships/image" Target="media/image184.jpeg"/><Relationship Id="rId273" Type="http://schemas.openxmlformats.org/officeDocument/2006/relationships/hyperlink" Target="http://www.sidra.ibge.gov.br/bda/tabela/listabl.asp?z=cd&amp;o=5&amp;i=P&amp;c=3175" TargetMode="External"/><Relationship Id="rId47" Type="http://schemas.openxmlformats.org/officeDocument/2006/relationships/hyperlink" Target="http://pt.wikipedia.org/wiki/Penha_do_Capim" TargetMode="External"/><Relationship Id="rId68" Type="http://schemas.openxmlformats.org/officeDocument/2006/relationships/hyperlink" Target="http://pt.wikipedia.org/wiki/Igreja_Mundial_do_Poder_de_Deus" TargetMode="External"/><Relationship Id="rId89" Type="http://schemas.openxmlformats.org/officeDocument/2006/relationships/header" Target="header3.xml"/><Relationship Id="rId112" Type="http://schemas.openxmlformats.org/officeDocument/2006/relationships/image" Target="media/image63.jpeg"/><Relationship Id="rId133" Type="http://schemas.openxmlformats.org/officeDocument/2006/relationships/image" Target="media/image84.jpeg"/><Relationship Id="rId154" Type="http://schemas.openxmlformats.org/officeDocument/2006/relationships/image" Target="media/image105.jpeg"/><Relationship Id="rId175" Type="http://schemas.openxmlformats.org/officeDocument/2006/relationships/image" Target="media/image121.jpeg"/><Relationship Id="rId196" Type="http://schemas.openxmlformats.org/officeDocument/2006/relationships/image" Target="media/image142.jpeg"/><Relationship Id="rId200" Type="http://schemas.openxmlformats.org/officeDocument/2006/relationships/image" Target="media/image146.jpeg"/><Relationship Id="rId16" Type="http://schemas.openxmlformats.org/officeDocument/2006/relationships/image" Target="media/image5.jpeg"/><Relationship Id="rId221" Type="http://schemas.openxmlformats.org/officeDocument/2006/relationships/hyperlink" Target="http://pt.wikipedia.org/wiki/Munic%C3%ADpio" TargetMode="External"/><Relationship Id="rId242" Type="http://schemas.openxmlformats.org/officeDocument/2006/relationships/image" Target="media/image177.jpeg"/><Relationship Id="rId263" Type="http://schemas.openxmlformats.org/officeDocument/2006/relationships/hyperlink" Target="http://www.mma.gov.br/responsabilidade-socioambiental/agenda-21" TargetMode="External"/><Relationship Id="rId37" Type="http://schemas.openxmlformats.org/officeDocument/2006/relationships/image" Target="media/image25.jpeg"/><Relationship Id="rId58" Type="http://schemas.openxmlformats.org/officeDocument/2006/relationships/hyperlink" Target="http://pt.wikipedia.org/wiki/Energia_el%C3%A9trica" TargetMode="External"/><Relationship Id="rId79" Type="http://schemas.openxmlformats.org/officeDocument/2006/relationships/image" Target="media/image37.emf"/><Relationship Id="rId102" Type="http://schemas.openxmlformats.org/officeDocument/2006/relationships/image" Target="media/image53.jpeg"/><Relationship Id="rId123" Type="http://schemas.openxmlformats.org/officeDocument/2006/relationships/image" Target="media/image74.jpeg"/><Relationship Id="rId144" Type="http://schemas.openxmlformats.org/officeDocument/2006/relationships/image" Target="media/image95.jpeg"/><Relationship Id="rId90" Type="http://schemas.openxmlformats.org/officeDocument/2006/relationships/image" Target="media/image41.jpeg"/><Relationship Id="rId165" Type="http://schemas.openxmlformats.org/officeDocument/2006/relationships/diagramColors" Target="diagrams/colors1.xml"/><Relationship Id="rId186" Type="http://schemas.openxmlformats.org/officeDocument/2006/relationships/image" Target="media/image132.jpeg"/><Relationship Id="rId211" Type="http://schemas.openxmlformats.org/officeDocument/2006/relationships/image" Target="media/image157.jpeg"/><Relationship Id="rId232" Type="http://schemas.openxmlformats.org/officeDocument/2006/relationships/image" Target="media/image167.jpeg"/><Relationship Id="rId253" Type="http://schemas.openxmlformats.org/officeDocument/2006/relationships/image" Target="media/image185.jpeg"/><Relationship Id="rId274" Type="http://schemas.openxmlformats.org/officeDocument/2006/relationships/hyperlink" Target="http://www.sidra.ibge.gov.br/bda/tabela/listabl.asp?z=cd&amp;o=19&amp;i=P&amp;c=200" TargetMode="External"/><Relationship Id="rId27" Type="http://schemas.openxmlformats.org/officeDocument/2006/relationships/image" Target="media/image15.jpeg"/><Relationship Id="rId48" Type="http://schemas.openxmlformats.org/officeDocument/2006/relationships/hyperlink" Target="http://pt.wikipedia.org/wiki/Santo_Ant%C3%B4nio_do_Rio_Doce" TargetMode="External"/><Relationship Id="rId69" Type="http://schemas.openxmlformats.org/officeDocument/2006/relationships/hyperlink" Target="http://pt.wikipedia.org/wiki/Igreja_Universal_do_Reino_de_Deus" TargetMode="External"/><Relationship Id="rId113" Type="http://schemas.openxmlformats.org/officeDocument/2006/relationships/image" Target="media/image64.jpeg"/><Relationship Id="rId134" Type="http://schemas.openxmlformats.org/officeDocument/2006/relationships/image" Target="media/image85.jpeg"/><Relationship Id="rId80" Type="http://schemas.openxmlformats.org/officeDocument/2006/relationships/hyperlink" Target="http://pt.wikipedia.org/wiki/Instituto_do_Patrim%C3%B4nio_Hist%C3%B3rico_e_Art%C3%ADstico_Nacional" TargetMode="External"/><Relationship Id="rId155" Type="http://schemas.openxmlformats.org/officeDocument/2006/relationships/image" Target="media/image106.jpeg"/><Relationship Id="rId176" Type="http://schemas.openxmlformats.org/officeDocument/2006/relationships/image" Target="media/image122.jpeg"/><Relationship Id="rId197" Type="http://schemas.openxmlformats.org/officeDocument/2006/relationships/image" Target="media/image143.jpeg"/><Relationship Id="rId201" Type="http://schemas.openxmlformats.org/officeDocument/2006/relationships/image" Target="media/image147.jpeg"/><Relationship Id="rId222" Type="http://schemas.openxmlformats.org/officeDocument/2006/relationships/hyperlink" Target="http://toolserver.org/~geohack/geohack.php?language=pt&amp;pagename=Aimor%C3%A9s_(Minas_Gerais)&amp;params=19_29_45_S_41_03_50_W_type:city_region:BR_scale:75000" TargetMode="External"/><Relationship Id="rId243" Type="http://schemas.openxmlformats.org/officeDocument/2006/relationships/hyperlink" Target="http://www.planalto.gov.br/ccivil_03/_ato2007-2010/2010/lei/l12305.htm" TargetMode="External"/><Relationship Id="rId264" Type="http://schemas.openxmlformats.org/officeDocument/2006/relationships/hyperlink" Target="http://www.agevisa.ro.gov.br/wp-content/uploads/2012/04/Portaria_MS_2914-11.pdf" TargetMode="External"/><Relationship Id="rId17" Type="http://schemas.openxmlformats.org/officeDocument/2006/relationships/image" Target="media/image6.jpeg"/><Relationship Id="rId38" Type="http://schemas.openxmlformats.org/officeDocument/2006/relationships/image" Target="media/image26.jpeg"/><Relationship Id="rId59" Type="http://schemas.openxmlformats.org/officeDocument/2006/relationships/hyperlink" Target="http://pt.wikipedia.org/wiki/Companhia_Energ%C3%A9tica_de_Minas_Gerais" TargetMode="External"/><Relationship Id="rId103" Type="http://schemas.openxmlformats.org/officeDocument/2006/relationships/image" Target="media/image54.jpeg"/><Relationship Id="rId124" Type="http://schemas.openxmlformats.org/officeDocument/2006/relationships/image" Target="media/image75.jpeg"/><Relationship Id="rId70" Type="http://schemas.openxmlformats.org/officeDocument/2006/relationships/hyperlink" Target="http://pt.wikipedia.org/wiki/Congrega%C3%A7%C3%A3o_Crist%C3%A3_no_Brasil" TargetMode="External"/><Relationship Id="rId91" Type="http://schemas.openxmlformats.org/officeDocument/2006/relationships/image" Target="media/image42.jpeg"/><Relationship Id="rId145" Type="http://schemas.openxmlformats.org/officeDocument/2006/relationships/image" Target="media/image96.jpeg"/><Relationship Id="rId166" Type="http://schemas.microsoft.com/office/2007/relationships/diagramDrawing" Target="diagrams/drawing1.xml"/><Relationship Id="rId187" Type="http://schemas.openxmlformats.org/officeDocument/2006/relationships/image" Target="media/image133.jpeg"/><Relationship Id="rId1" Type="http://schemas.openxmlformats.org/officeDocument/2006/relationships/customXml" Target="../customXml/item1.xml"/><Relationship Id="rId212" Type="http://schemas.openxmlformats.org/officeDocument/2006/relationships/image" Target="media/image158.jpeg"/><Relationship Id="rId233" Type="http://schemas.openxmlformats.org/officeDocument/2006/relationships/image" Target="media/image168.jpeg"/><Relationship Id="rId254" Type="http://schemas.openxmlformats.org/officeDocument/2006/relationships/image" Target="media/image186.emf"/><Relationship Id="rId28" Type="http://schemas.openxmlformats.org/officeDocument/2006/relationships/image" Target="media/image16.jpeg"/><Relationship Id="rId49" Type="http://schemas.openxmlformats.org/officeDocument/2006/relationships/hyperlink" Target="http://pt.wikipedia.org/wiki/S%C3%A3o_Sebasti%C3%A3o_da_Vala" TargetMode="External"/><Relationship Id="rId114" Type="http://schemas.openxmlformats.org/officeDocument/2006/relationships/image" Target="media/image65.jpeg"/><Relationship Id="rId275" Type="http://schemas.openxmlformats.org/officeDocument/2006/relationships/hyperlink" Target="http://redemineira.igam.mg.gov.br/blog/resolucao-conjunta-semad-igam-n%C2%BA-1548-de-29-de-marco-2012/" TargetMode="External"/><Relationship Id="rId60" Type="http://schemas.openxmlformats.org/officeDocument/2006/relationships/hyperlink" Target="http://pt.wikipedia.org/wiki/KWh" TargetMode="External"/><Relationship Id="rId81" Type="http://schemas.openxmlformats.org/officeDocument/2006/relationships/hyperlink" Target="http://pt.wikipedia.org/wiki/Artesanato" TargetMode="External"/><Relationship Id="rId135" Type="http://schemas.openxmlformats.org/officeDocument/2006/relationships/image" Target="media/image86.jpeg"/><Relationship Id="rId156" Type="http://schemas.openxmlformats.org/officeDocument/2006/relationships/image" Target="media/image107.jpeg"/><Relationship Id="rId177" Type="http://schemas.openxmlformats.org/officeDocument/2006/relationships/image" Target="media/image123.jpeg"/><Relationship Id="rId198" Type="http://schemas.openxmlformats.org/officeDocument/2006/relationships/image" Target="media/image144.jpeg"/><Relationship Id="rId202" Type="http://schemas.openxmlformats.org/officeDocument/2006/relationships/image" Target="media/image148.jpeg"/><Relationship Id="rId223" Type="http://schemas.openxmlformats.org/officeDocument/2006/relationships/hyperlink" Target="http://pt.wikipedia.org/wiki/Mesorregi%C3%A3o_do_Vale_do_Rio_Doce" TargetMode="External"/><Relationship Id="rId244" Type="http://schemas.openxmlformats.org/officeDocument/2006/relationships/hyperlink" Target="http://www.planalto.gov.br/ccivil_03/_ato2007-2010/2010/Decreto/D7404.htm" TargetMode="External"/><Relationship Id="rId18" Type="http://schemas.openxmlformats.org/officeDocument/2006/relationships/chart" Target="charts/chart1.xml"/><Relationship Id="rId39" Type="http://schemas.openxmlformats.org/officeDocument/2006/relationships/image" Target="media/image27.jpeg"/><Relationship Id="rId265" Type="http://schemas.openxmlformats.org/officeDocument/2006/relationships/hyperlink" Target="http://www.planalto.gov.br/ccivil_03/_ato2007-2010/2010/lei/l12305.htm" TargetMode="External"/><Relationship Id="rId50" Type="http://schemas.openxmlformats.org/officeDocument/2006/relationships/hyperlink" Target="http://pt.wikipedia.org/wiki/Taba%C3%BAna" TargetMode="External"/><Relationship Id="rId104" Type="http://schemas.openxmlformats.org/officeDocument/2006/relationships/image" Target="media/image55.jpeg"/><Relationship Id="rId125" Type="http://schemas.openxmlformats.org/officeDocument/2006/relationships/image" Target="media/image76.jpeg"/><Relationship Id="rId146" Type="http://schemas.openxmlformats.org/officeDocument/2006/relationships/image" Target="media/image97.jpeg"/><Relationship Id="rId167" Type="http://schemas.openxmlformats.org/officeDocument/2006/relationships/image" Target="media/image113.png"/><Relationship Id="rId188" Type="http://schemas.openxmlformats.org/officeDocument/2006/relationships/image" Target="media/image134.jpeg"/><Relationship Id="rId71" Type="http://schemas.openxmlformats.org/officeDocument/2006/relationships/hyperlink" Target="http://pt.wikipedia.org/wiki/Setor_terci%C3%A1rio" TargetMode="External"/><Relationship Id="rId92" Type="http://schemas.openxmlformats.org/officeDocument/2006/relationships/image" Target="media/image43.jpeg"/><Relationship Id="rId213" Type="http://schemas.openxmlformats.org/officeDocument/2006/relationships/image" Target="media/image159.jpeg"/><Relationship Id="rId234" Type="http://schemas.openxmlformats.org/officeDocument/2006/relationships/image" Target="media/image169.jpeg"/><Relationship Id="rId2" Type="http://schemas.openxmlformats.org/officeDocument/2006/relationships/numbering" Target="numbering.xml"/><Relationship Id="rId29" Type="http://schemas.openxmlformats.org/officeDocument/2006/relationships/image" Target="media/image17.jpeg"/><Relationship Id="rId255" Type="http://schemas.openxmlformats.org/officeDocument/2006/relationships/image" Target="media/image187.emf"/><Relationship Id="rId276" Type="http://schemas.openxmlformats.org/officeDocument/2006/relationships/hyperlink" Target="http://www.odmbrasil.gov.br" TargetMode="External"/><Relationship Id="rId40" Type="http://schemas.openxmlformats.org/officeDocument/2006/relationships/image" Target="media/image28.emf"/><Relationship Id="rId115" Type="http://schemas.openxmlformats.org/officeDocument/2006/relationships/image" Target="media/image66.jpeg"/><Relationship Id="rId136" Type="http://schemas.openxmlformats.org/officeDocument/2006/relationships/image" Target="media/image87.jpeg"/><Relationship Id="rId157" Type="http://schemas.openxmlformats.org/officeDocument/2006/relationships/image" Target="media/image108.jpeg"/><Relationship Id="rId178" Type="http://schemas.openxmlformats.org/officeDocument/2006/relationships/image" Target="media/image124.jpeg"/><Relationship Id="rId61" Type="http://schemas.openxmlformats.org/officeDocument/2006/relationships/hyperlink" Target="http://pt.wikipedia.org/wiki/Igreja_Crist%C3%A3_Maranata" TargetMode="External"/><Relationship Id="rId82" Type="http://schemas.openxmlformats.org/officeDocument/2006/relationships/hyperlink" Target="http://pt.wikipedia.org/wiki/Express%C3%A3o_cultural" TargetMode="External"/><Relationship Id="rId199" Type="http://schemas.openxmlformats.org/officeDocument/2006/relationships/image" Target="media/image145.jpeg"/><Relationship Id="rId203" Type="http://schemas.openxmlformats.org/officeDocument/2006/relationships/image" Target="media/image149.jpeg"/><Relationship Id="rId19" Type="http://schemas.openxmlformats.org/officeDocument/2006/relationships/image" Target="media/image7.png"/><Relationship Id="rId224" Type="http://schemas.openxmlformats.org/officeDocument/2006/relationships/hyperlink" Target="http://pt.wikipedia.org/wiki/Popula%C3%A7%C3%A3o" TargetMode="External"/><Relationship Id="rId245" Type="http://schemas.openxmlformats.org/officeDocument/2006/relationships/image" Target="media/image178.jpeg"/><Relationship Id="rId266" Type="http://schemas.openxmlformats.org/officeDocument/2006/relationships/hyperlink" Target="http://www.anvisa.gov.br/divulga/noticias/2008/revista_anvisa" TargetMode="External"/><Relationship Id="rId30" Type="http://schemas.openxmlformats.org/officeDocument/2006/relationships/image" Target="media/image18.jpeg"/><Relationship Id="rId105" Type="http://schemas.openxmlformats.org/officeDocument/2006/relationships/image" Target="media/image56.jpeg"/><Relationship Id="rId126" Type="http://schemas.openxmlformats.org/officeDocument/2006/relationships/image" Target="media/image77.jpeg"/><Relationship Id="rId147" Type="http://schemas.openxmlformats.org/officeDocument/2006/relationships/image" Target="media/image98.jpeg"/><Relationship Id="rId168" Type="http://schemas.openxmlformats.org/officeDocument/2006/relationships/image" Target="media/image114.jpeg"/><Relationship Id="rId51" Type="http://schemas.openxmlformats.org/officeDocument/2006/relationships/hyperlink" Target="http://pt.wikipedia.org/wiki/Anexo:Lista_de_munic%C3%ADpios_de_Minas_Gerais_por_popula%C3%A7%C3%A3o" TargetMode="External"/><Relationship Id="rId72" Type="http://schemas.openxmlformats.org/officeDocument/2006/relationships/image" Target="media/image32.emf"/><Relationship Id="rId93" Type="http://schemas.openxmlformats.org/officeDocument/2006/relationships/image" Target="media/image44.jpeg"/><Relationship Id="rId189" Type="http://schemas.openxmlformats.org/officeDocument/2006/relationships/image" Target="media/image135.jpeg"/><Relationship Id="rId3" Type="http://schemas.openxmlformats.org/officeDocument/2006/relationships/styles" Target="styles.xml"/><Relationship Id="rId214" Type="http://schemas.openxmlformats.org/officeDocument/2006/relationships/image" Target="media/image160.jpeg"/><Relationship Id="rId235" Type="http://schemas.openxmlformats.org/officeDocument/2006/relationships/image" Target="media/image170.jpeg"/><Relationship Id="rId256" Type="http://schemas.openxmlformats.org/officeDocument/2006/relationships/image" Target="media/image188.emf"/><Relationship Id="rId277" Type="http://schemas.openxmlformats.org/officeDocument/2006/relationships/hyperlink" Target="http://www.riodoce.cbh.gov.br/_docs/planobacia/PIRH/PIRH_Doce_Volume_III.pdf" TargetMode="External"/><Relationship Id="rId116" Type="http://schemas.openxmlformats.org/officeDocument/2006/relationships/image" Target="media/image67.jpeg"/><Relationship Id="rId137" Type="http://schemas.openxmlformats.org/officeDocument/2006/relationships/image" Target="media/image88.jpeg"/><Relationship Id="rId158" Type="http://schemas.openxmlformats.org/officeDocument/2006/relationships/image" Target="media/image109.jpeg"/><Relationship Id="rId20" Type="http://schemas.openxmlformats.org/officeDocument/2006/relationships/image" Target="media/image8.jpeg"/><Relationship Id="rId41" Type="http://schemas.openxmlformats.org/officeDocument/2006/relationships/hyperlink" Target="http://pt.wikipedia.org/wiki/Instituto_Brasileiro_de_Geografia_e_Estat%C3%ADstica" TargetMode="External"/><Relationship Id="rId62" Type="http://schemas.openxmlformats.org/officeDocument/2006/relationships/hyperlink" Target="http://pt.wikipedia.org/wiki/Igreja_Luterana" TargetMode="External"/><Relationship Id="rId83" Type="http://schemas.openxmlformats.org/officeDocument/2006/relationships/hyperlink" Target="http://pt.wikipedia.org/wiki/Ficheiro:Aimores_1.jpg" TargetMode="External"/><Relationship Id="rId179" Type="http://schemas.openxmlformats.org/officeDocument/2006/relationships/image" Target="media/image125.jpeg"/><Relationship Id="rId190" Type="http://schemas.openxmlformats.org/officeDocument/2006/relationships/image" Target="media/image136.jpeg"/><Relationship Id="rId204" Type="http://schemas.openxmlformats.org/officeDocument/2006/relationships/image" Target="media/image150.jpeg"/><Relationship Id="rId225" Type="http://schemas.openxmlformats.org/officeDocument/2006/relationships/hyperlink" Target="http://pt.wikipedia.org/wiki/Anexo:Lista_de_munic%C3%ADpios_de_Minas_Gerais_por_popula%C3%A7%C3%A3o" TargetMode="External"/><Relationship Id="rId246" Type="http://schemas.openxmlformats.org/officeDocument/2006/relationships/image" Target="media/image179.jpeg"/><Relationship Id="rId267" Type="http://schemas.openxmlformats.org/officeDocument/2006/relationships/hyperlink" Target="http://legislacao.planalto.gov.br/legisla/legislacao.nsf/Viw_Identificacao/lei%2011.445-2007?OpenDocument" TargetMode="External"/><Relationship Id="rId106" Type="http://schemas.openxmlformats.org/officeDocument/2006/relationships/image" Target="media/image57.jpeg"/><Relationship Id="rId127" Type="http://schemas.openxmlformats.org/officeDocument/2006/relationships/image" Target="media/image78.jpeg"/><Relationship Id="rId10" Type="http://schemas.openxmlformats.org/officeDocument/2006/relationships/header" Target="header1.xml"/><Relationship Id="rId31" Type="http://schemas.openxmlformats.org/officeDocument/2006/relationships/image" Target="media/image19.jpeg"/><Relationship Id="rId52" Type="http://schemas.openxmlformats.org/officeDocument/2006/relationships/hyperlink" Target="http://pt.wikipedia.org/wiki/Microrregi%C3%A3o_de_Aimor%C3%A9s" TargetMode="External"/><Relationship Id="rId73" Type="http://schemas.openxmlformats.org/officeDocument/2006/relationships/hyperlink" Target="http://pt.wikipedia.org/wiki/Sal%C3%A1rio" TargetMode="External"/><Relationship Id="rId94" Type="http://schemas.openxmlformats.org/officeDocument/2006/relationships/image" Target="media/image45.jpeg"/><Relationship Id="rId148" Type="http://schemas.openxmlformats.org/officeDocument/2006/relationships/image" Target="media/image99.jpeg"/><Relationship Id="rId169" Type="http://schemas.openxmlformats.org/officeDocument/2006/relationships/image" Target="media/image115.jpeg"/><Relationship Id="rId4" Type="http://schemas.openxmlformats.org/officeDocument/2006/relationships/settings" Target="settings.xml"/><Relationship Id="rId180" Type="http://schemas.openxmlformats.org/officeDocument/2006/relationships/image" Target="media/image126.jpeg"/><Relationship Id="rId215" Type="http://schemas.openxmlformats.org/officeDocument/2006/relationships/image" Target="media/image161.jpeg"/><Relationship Id="rId236" Type="http://schemas.openxmlformats.org/officeDocument/2006/relationships/image" Target="media/image171.jpeg"/><Relationship Id="rId257" Type="http://schemas.openxmlformats.org/officeDocument/2006/relationships/image" Target="media/image189.jpeg"/><Relationship Id="rId278" Type="http://schemas.openxmlformats.org/officeDocument/2006/relationships/hyperlink" Target="http://www.slideshare.net" TargetMode="External"/><Relationship Id="rId42" Type="http://schemas.openxmlformats.org/officeDocument/2006/relationships/hyperlink" Target="http://pt.wikipedia.org/wiki/Instituto_Brasileiro_de_Geografia_e_Estat%C3%ADstica" TargetMode="External"/><Relationship Id="rId84" Type="http://schemas.openxmlformats.org/officeDocument/2006/relationships/image" Target="media/image38.jpeg"/><Relationship Id="rId138" Type="http://schemas.openxmlformats.org/officeDocument/2006/relationships/image" Target="media/image89.jpeg"/><Relationship Id="rId191" Type="http://schemas.openxmlformats.org/officeDocument/2006/relationships/image" Target="media/image137.jpeg"/><Relationship Id="rId205" Type="http://schemas.openxmlformats.org/officeDocument/2006/relationships/image" Target="media/image151.jpeg"/><Relationship Id="rId247" Type="http://schemas.openxmlformats.org/officeDocument/2006/relationships/image" Target="media/image180.jpeg"/><Relationship Id="rId107" Type="http://schemas.openxmlformats.org/officeDocument/2006/relationships/image" Target="media/image58.jpeg"/><Relationship Id="rId11" Type="http://schemas.openxmlformats.org/officeDocument/2006/relationships/footer" Target="footer1.xml"/><Relationship Id="rId53" Type="http://schemas.openxmlformats.org/officeDocument/2006/relationships/hyperlink" Target="http://pt.wikipedia.org/wiki/Mutum_(Minas_Gerais)" TargetMode="External"/><Relationship Id="rId149" Type="http://schemas.openxmlformats.org/officeDocument/2006/relationships/image" Target="media/image100.jpeg"/><Relationship Id="rId95" Type="http://schemas.openxmlformats.org/officeDocument/2006/relationships/image" Target="media/image46.jpeg"/><Relationship Id="rId160" Type="http://schemas.openxmlformats.org/officeDocument/2006/relationships/image" Target="media/image111.jpeg"/><Relationship Id="rId216" Type="http://schemas.openxmlformats.org/officeDocument/2006/relationships/image" Target="media/image162.jpeg"/><Relationship Id="rId258" Type="http://schemas.openxmlformats.org/officeDocument/2006/relationships/image" Target="media/image190.jpeg"/></Relationships>
</file>

<file path=word/_rels/head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Pasta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979261453935862"/>
          <c:y val="2.3878438123661992E-2"/>
          <c:w val="0.63271766790710093"/>
          <c:h val="0.7366582617117976"/>
        </c:manualLayout>
      </c:layout>
      <c:lineChart>
        <c:grouping val="standard"/>
        <c:varyColors val="0"/>
        <c:ser>
          <c:idx val="0"/>
          <c:order val="0"/>
          <c:tx>
            <c:strRef>
              <c:f>Plan1!$B$1</c:f>
              <c:strCache>
                <c:ptCount val="1"/>
                <c:pt idx="0">
                  <c:v>TOTAL</c:v>
                </c:pt>
              </c:strCache>
            </c:strRef>
          </c:tx>
          <c:marker>
            <c:symbol val="none"/>
          </c:marker>
          <c:cat>
            <c:numRef>
              <c:f>Plan1!$A$2:$A$7</c:f>
              <c:numCache>
                <c:formatCode>General</c:formatCode>
                <c:ptCount val="6"/>
                <c:pt idx="0">
                  <c:v>1970</c:v>
                </c:pt>
                <c:pt idx="1">
                  <c:v>1980</c:v>
                </c:pt>
                <c:pt idx="2">
                  <c:v>1991</c:v>
                </c:pt>
                <c:pt idx="3">
                  <c:v>1996</c:v>
                </c:pt>
                <c:pt idx="4">
                  <c:v>2000</c:v>
                </c:pt>
                <c:pt idx="5">
                  <c:v>2010</c:v>
                </c:pt>
              </c:numCache>
            </c:numRef>
          </c:cat>
          <c:val>
            <c:numRef>
              <c:f>Plan1!$B$2:$B$7</c:f>
              <c:numCache>
                <c:formatCode>#,##0</c:formatCode>
                <c:ptCount val="6"/>
                <c:pt idx="0">
                  <c:v>38120</c:v>
                </c:pt>
                <c:pt idx="1">
                  <c:v>28880</c:v>
                </c:pt>
                <c:pt idx="2">
                  <c:v>26440</c:v>
                </c:pt>
                <c:pt idx="3">
                  <c:v>24858</c:v>
                </c:pt>
                <c:pt idx="4">
                  <c:v>25105</c:v>
                </c:pt>
                <c:pt idx="5">
                  <c:v>24959</c:v>
                </c:pt>
              </c:numCache>
            </c:numRef>
          </c:val>
          <c:smooth val="0"/>
        </c:ser>
        <c:ser>
          <c:idx val="1"/>
          <c:order val="1"/>
          <c:tx>
            <c:strRef>
              <c:f>Plan1!$C$1</c:f>
              <c:strCache>
                <c:ptCount val="1"/>
                <c:pt idx="0">
                  <c:v>URBANA</c:v>
                </c:pt>
              </c:strCache>
            </c:strRef>
          </c:tx>
          <c:marker>
            <c:symbol val="none"/>
          </c:marker>
          <c:cat>
            <c:numRef>
              <c:f>Plan1!$A$2:$A$7</c:f>
              <c:numCache>
                <c:formatCode>General</c:formatCode>
                <c:ptCount val="6"/>
                <c:pt idx="0">
                  <c:v>1970</c:v>
                </c:pt>
                <c:pt idx="1">
                  <c:v>1980</c:v>
                </c:pt>
                <c:pt idx="2">
                  <c:v>1991</c:v>
                </c:pt>
                <c:pt idx="3">
                  <c:v>1996</c:v>
                </c:pt>
                <c:pt idx="4">
                  <c:v>2000</c:v>
                </c:pt>
                <c:pt idx="5">
                  <c:v>2010</c:v>
                </c:pt>
              </c:numCache>
            </c:numRef>
          </c:cat>
          <c:val>
            <c:numRef>
              <c:f>Plan1!$C$2:$C$7</c:f>
              <c:numCache>
                <c:formatCode>#,##0</c:formatCode>
                <c:ptCount val="6"/>
                <c:pt idx="0">
                  <c:v>15398</c:v>
                </c:pt>
                <c:pt idx="1">
                  <c:v>18354</c:v>
                </c:pt>
                <c:pt idx="2">
                  <c:v>18082</c:v>
                </c:pt>
                <c:pt idx="3">
                  <c:v>17982</c:v>
                </c:pt>
                <c:pt idx="4">
                  <c:v>19705</c:v>
                </c:pt>
                <c:pt idx="5">
                  <c:v>19700</c:v>
                </c:pt>
              </c:numCache>
            </c:numRef>
          </c:val>
          <c:smooth val="0"/>
        </c:ser>
        <c:ser>
          <c:idx val="2"/>
          <c:order val="2"/>
          <c:tx>
            <c:strRef>
              <c:f>Plan1!$D$1</c:f>
              <c:strCache>
                <c:ptCount val="1"/>
                <c:pt idx="0">
                  <c:v>RURAL</c:v>
                </c:pt>
              </c:strCache>
            </c:strRef>
          </c:tx>
          <c:marker>
            <c:symbol val="none"/>
          </c:marker>
          <c:cat>
            <c:numRef>
              <c:f>Plan1!$A$2:$A$7</c:f>
              <c:numCache>
                <c:formatCode>General</c:formatCode>
                <c:ptCount val="6"/>
                <c:pt idx="0">
                  <c:v>1970</c:v>
                </c:pt>
                <c:pt idx="1">
                  <c:v>1980</c:v>
                </c:pt>
                <c:pt idx="2">
                  <c:v>1991</c:v>
                </c:pt>
                <c:pt idx="3">
                  <c:v>1996</c:v>
                </c:pt>
                <c:pt idx="4">
                  <c:v>2000</c:v>
                </c:pt>
                <c:pt idx="5">
                  <c:v>2010</c:v>
                </c:pt>
              </c:numCache>
            </c:numRef>
          </c:cat>
          <c:val>
            <c:numRef>
              <c:f>Plan1!$D$2:$D$7</c:f>
              <c:numCache>
                <c:formatCode>#,##0</c:formatCode>
                <c:ptCount val="6"/>
                <c:pt idx="0">
                  <c:v>16722</c:v>
                </c:pt>
                <c:pt idx="1">
                  <c:v>10562</c:v>
                </c:pt>
                <c:pt idx="2">
                  <c:v>8358</c:v>
                </c:pt>
                <c:pt idx="3">
                  <c:v>6876</c:v>
                </c:pt>
                <c:pt idx="4">
                  <c:v>5264</c:v>
                </c:pt>
                <c:pt idx="5">
                  <c:v>5259</c:v>
                </c:pt>
              </c:numCache>
            </c:numRef>
          </c:val>
          <c:smooth val="0"/>
        </c:ser>
        <c:dLbls>
          <c:showLegendKey val="0"/>
          <c:showVal val="0"/>
          <c:showCatName val="0"/>
          <c:showSerName val="0"/>
          <c:showPercent val="0"/>
          <c:showBubbleSize val="0"/>
        </c:dLbls>
        <c:smooth val="0"/>
        <c:axId val="-1131055904"/>
        <c:axId val="-1131070048"/>
      </c:lineChart>
      <c:catAx>
        <c:axId val="-1131055904"/>
        <c:scaling>
          <c:orientation val="minMax"/>
        </c:scaling>
        <c:delete val="0"/>
        <c:axPos val="b"/>
        <c:numFmt formatCode="General" sourceLinked="1"/>
        <c:majorTickMark val="none"/>
        <c:minorTickMark val="none"/>
        <c:tickLblPos val="nextTo"/>
        <c:txPr>
          <a:bodyPr/>
          <a:lstStyle/>
          <a:p>
            <a:pPr>
              <a:defRPr sz="1200">
                <a:latin typeface="Times New Roman" pitchFamily="18" charset="0"/>
                <a:cs typeface="Times New Roman" pitchFamily="18" charset="0"/>
              </a:defRPr>
            </a:pPr>
            <a:endParaRPr lang="pt-BR"/>
          </a:p>
        </c:txPr>
        <c:crossAx val="-1131070048"/>
        <c:crosses val="autoZero"/>
        <c:auto val="1"/>
        <c:lblAlgn val="ctr"/>
        <c:lblOffset val="100"/>
        <c:noMultiLvlLbl val="0"/>
      </c:catAx>
      <c:valAx>
        <c:axId val="-1131070048"/>
        <c:scaling>
          <c:orientation val="minMax"/>
        </c:scaling>
        <c:delete val="0"/>
        <c:axPos val="l"/>
        <c:majorGridlines/>
        <c:title>
          <c:tx>
            <c:rich>
              <a:bodyPr/>
              <a:lstStyle/>
              <a:p>
                <a:pPr>
                  <a:defRPr/>
                </a:pPr>
                <a:r>
                  <a:rPr lang="pt-BR" sz="1200">
                    <a:latin typeface="Times New Roman" pitchFamily="18" charset="0"/>
                    <a:cs typeface="Times New Roman" pitchFamily="18" charset="0"/>
                  </a:rPr>
                  <a:t>População</a:t>
                </a:r>
                <a:r>
                  <a:rPr lang="pt-BR" sz="1200" baseline="0">
                    <a:latin typeface="Times New Roman" pitchFamily="18" charset="0"/>
                    <a:cs typeface="Times New Roman" pitchFamily="18" charset="0"/>
                  </a:rPr>
                  <a:t> </a:t>
                </a:r>
                <a:endParaRPr lang="pt-BR">
                  <a:latin typeface="Times New Roman" pitchFamily="18" charset="0"/>
                  <a:cs typeface="Times New Roman" pitchFamily="18" charset="0"/>
                </a:endParaRPr>
              </a:p>
            </c:rich>
          </c:tx>
          <c:layout>
            <c:manualLayout>
              <c:xMode val="edge"/>
              <c:yMode val="edge"/>
              <c:x val="2.1859641593676996E-2"/>
              <c:y val="0.41224326054755422"/>
            </c:manualLayout>
          </c:layout>
          <c:overlay val="0"/>
        </c:title>
        <c:numFmt formatCode="#,##0" sourceLinked="1"/>
        <c:majorTickMark val="none"/>
        <c:minorTickMark val="none"/>
        <c:tickLblPos val="nextTo"/>
        <c:txPr>
          <a:bodyPr/>
          <a:lstStyle/>
          <a:p>
            <a:pPr>
              <a:defRPr sz="1100">
                <a:latin typeface="Times New Roman" pitchFamily="18" charset="0"/>
                <a:cs typeface="Times New Roman" pitchFamily="18" charset="0"/>
              </a:defRPr>
            </a:pPr>
            <a:endParaRPr lang="pt-BR"/>
          </a:p>
        </c:txPr>
        <c:crossAx val="-1131055904"/>
        <c:crosses val="autoZero"/>
        <c:crossBetween val="between"/>
      </c:valAx>
    </c:plotArea>
    <c:legend>
      <c:legendPos val="r"/>
      <c:overlay val="0"/>
      <c:txPr>
        <a:bodyPr/>
        <a:lstStyle/>
        <a:p>
          <a:pPr>
            <a:defRPr baseline="0">
              <a:latin typeface="Times New Roman" panose="02020603050405020304" pitchFamily="18" charset="0"/>
            </a:defRPr>
          </a:pPr>
          <a:endParaRPr lang="pt-BR"/>
        </a:p>
      </c:txPr>
    </c:legend>
    <c:plotVisOnly val="1"/>
    <c:dispBlanksAs val="gap"/>
    <c:showDLblsOverMax val="0"/>
  </c:chart>
  <c:externalData r:id="rId1">
    <c:autoUpdate val="0"/>
  </c:externalData>
  <c:userShapes r:id="rId2"/>
</c:chartSpace>
</file>

<file path=word/diagrams/colors1.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9B198AD-A74B-4003-A278-B4D534B8A106}" type="doc">
      <dgm:prSet loTypeId="urn:microsoft.com/office/officeart/2005/8/layout/hierarchy1" loCatId="hierarchy" qsTypeId="urn:microsoft.com/office/officeart/2005/8/quickstyle/simple1#1" qsCatId="simple" csTypeId="urn:microsoft.com/office/officeart/2005/8/colors/accent1_2#1" csCatId="accent1" phldr="1"/>
      <dgm:spPr/>
      <dgm:t>
        <a:bodyPr/>
        <a:lstStyle/>
        <a:p>
          <a:endParaRPr lang="pt-BR"/>
        </a:p>
      </dgm:t>
    </dgm:pt>
    <dgm:pt modelId="{A861A361-6104-4E9F-A59F-F33D6E2CF1DF}">
      <dgm:prSet phldrT="[Texto]" custT="1"/>
      <dgm:spPr/>
      <dgm:t>
        <a:bodyPr/>
        <a:lstStyle/>
        <a:p>
          <a:r>
            <a:rPr lang="pt-BR" sz="1400">
              <a:latin typeface="Times New Roman" pitchFamily="18" charset="0"/>
              <a:cs typeface="Times New Roman" pitchFamily="18" charset="0"/>
            </a:rPr>
            <a:t>Diretoria</a:t>
          </a:r>
        </a:p>
      </dgm:t>
    </dgm:pt>
    <dgm:pt modelId="{6B31A3D4-F363-42E4-A0B1-08E9818513CB}" type="parTrans" cxnId="{BFB838E7-4852-46D4-995F-E585C48076EF}">
      <dgm:prSet/>
      <dgm:spPr/>
      <dgm:t>
        <a:bodyPr/>
        <a:lstStyle/>
        <a:p>
          <a:endParaRPr lang="pt-BR"/>
        </a:p>
      </dgm:t>
    </dgm:pt>
    <dgm:pt modelId="{25F149CA-B1EC-4ED6-8A94-B0350C561743}" type="sibTrans" cxnId="{BFB838E7-4852-46D4-995F-E585C48076EF}">
      <dgm:prSet/>
      <dgm:spPr/>
      <dgm:t>
        <a:bodyPr/>
        <a:lstStyle/>
        <a:p>
          <a:endParaRPr lang="pt-BR"/>
        </a:p>
      </dgm:t>
    </dgm:pt>
    <dgm:pt modelId="{A133F707-24A4-4AB2-BFE1-43F6D9279386}" type="asst">
      <dgm:prSet phldrT="[Texto]" custT="1"/>
      <dgm:spPr/>
      <dgm:t>
        <a:bodyPr/>
        <a:lstStyle/>
        <a:p>
          <a:r>
            <a:rPr lang="pt-BR" sz="1200">
              <a:latin typeface="Times New Roman" pitchFamily="18" charset="0"/>
              <a:cs typeface="Times New Roman" pitchFamily="18" charset="0"/>
            </a:rPr>
            <a:t>Unidade de Apoio a Diretoria</a:t>
          </a:r>
        </a:p>
      </dgm:t>
    </dgm:pt>
    <dgm:pt modelId="{98A508CC-A72A-4D99-B2F6-4A44A75EF2BE}" type="parTrans" cxnId="{92B8E43C-DC89-4E45-8195-3CCC0E29C29C}">
      <dgm:prSet/>
      <dgm:spPr/>
      <dgm:t>
        <a:bodyPr/>
        <a:lstStyle/>
        <a:p>
          <a:endParaRPr lang="pt-BR"/>
        </a:p>
      </dgm:t>
    </dgm:pt>
    <dgm:pt modelId="{51855295-315C-4E0B-8FB8-BC3AEB82DE5D}" type="sibTrans" cxnId="{92B8E43C-DC89-4E45-8195-3CCC0E29C29C}">
      <dgm:prSet/>
      <dgm:spPr/>
      <dgm:t>
        <a:bodyPr/>
        <a:lstStyle/>
        <a:p>
          <a:endParaRPr lang="pt-BR"/>
        </a:p>
      </dgm:t>
    </dgm:pt>
    <dgm:pt modelId="{FC17C305-7B29-4BBA-837D-B1DF16713D71}">
      <dgm:prSet phldrT="[Texto]" custT="1"/>
      <dgm:spPr/>
      <dgm:t>
        <a:bodyPr/>
        <a:lstStyle/>
        <a:p>
          <a:r>
            <a:rPr lang="pt-BR" sz="1200">
              <a:latin typeface="Times New Roman" pitchFamily="18" charset="0"/>
              <a:cs typeface="Times New Roman" pitchFamily="18" charset="0"/>
            </a:rPr>
            <a:t>Divisão Administrativa</a:t>
          </a:r>
        </a:p>
      </dgm:t>
    </dgm:pt>
    <dgm:pt modelId="{22CF71DC-4809-423D-BD10-DBCA299E45D9}" type="parTrans" cxnId="{71F4C847-77A1-46FD-94E2-B496C32774FF}">
      <dgm:prSet/>
      <dgm:spPr/>
      <dgm:t>
        <a:bodyPr/>
        <a:lstStyle/>
        <a:p>
          <a:endParaRPr lang="pt-BR"/>
        </a:p>
      </dgm:t>
    </dgm:pt>
    <dgm:pt modelId="{AB1ECF49-07E0-4569-B659-DE41E5D9846E}" type="sibTrans" cxnId="{71F4C847-77A1-46FD-94E2-B496C32774FF}">
      <dgm:prSet/>
      <dgm:spPr/>
      <dgm:t>
        <a:bodyPr/>
        <a:lstStyle/>
        <a:p>
          <a:endParaRPr lang="pt-BR"/>
        </a:p>
      </dgm:t>
    </dgm:pt>
    <dgm:pt modelId="{EB763994-5B39-42BB-A05D-3A5BC6D56EAB}">
      <dgm:prSet phldrT="[Texto]" custT="1"/>
      <dgm:spPr/>
      <dgm:t>
        <a:bodyPr/>
        <a:lstStyle/>
        <a:p>
          <a:r>
            <a:rPr lang="pt-BR" sz="1200">
              <a:latin typeface="Times New Roman" pitchFamily="18" charset="0"/>
              <a:cs typeface="Times New Roman" pitchFamily="18" charset="0"/>
            </a:rPr>
            <a:t>Divisão Técnica</a:t>
          </a:r>
        </a:p>
      </dgm:t>
    </dgm:pt>
    <dgm:pt modelId="{A3D438C6-E475-4B0D-8CB6-1C50DD0C28AE}" type="parTrans" cxnId="{04E90E27-2659-436E-9B78-C0D47DAC5449}">
      <dgm:prSet/>
      <dgm:spPr/>
      <dgm:t>
        <a:bodyPr/>
        <a:lstStyle/>
        <a:p>
          <a:endParaRPr lang="pt-BR"/>
        </a:p>
      </dgm:t>
    </dgm:pt>
    <dgm:pt modelId="{126DBF77-4F82-45AC-8BE8-8D1D09D8F79D}" type="sibTrans" cxnId="{04E90E27-2659-436E-9B78-C0D47DAC5449}">
      <dgm:prSet/>
      <dgm:spPr/>
      <dgm:t>
        <a:bodyPr/>
        <a:lstStyle/>
        <a:p>
          <a:endParaRPr lang="pt-BR"/>
        </a:p>
      </dgm:t>
    </dgm:pt>
    <dgm:pt modelId="{8A22247A-8C3D-4DFF-9F44-B7DF216F99F1}">
      <dgm:prSet custT="1"/>
      <dgm:spPr/>
      <dgm:t>
        <a:bodyPr/>
        <a:lstStyle/>
        <a:p>
          <a:r>
            <a:rPr lang="pt-BR" sz="1100" baseline="0">
              <a:latin typeface="Times New Roman" pitchFamily="18" charset="0"/>
            </a:rPr>
            <a:t>Seção de Elevatórias, Redes e Ramais de Água e Esgoto</a:t>
          </a:r>
        </a:p>
      </dgm:t>
    </dgm:pt>
    <dgm:pt modelId="{503607CA-6865-4F04-B156-85129C674E6F}" type="parTrans" cxnId="{04AA8278-1407-41F4-9C00-00E0236C15AA}">
      <dgm:prSet/>
      <dgm:spPr/>
      <dgm:t>
        <a:bodyPr/>
        <a:lstStyle/>
        <a:p>
          <a:endParaRPr lang="pt-BR"/>
        </a:p>
      </dgm:t>
    </dgm:pt>
    <dgm:pt modelId="{140BE057-4A97-4276-9C8A-45E7371A10D1}" type="sibTrans" cxnId="{04AA8278-1407-41F4-9C00-00E0236C15AA}">
      <dgm:prSet/>
      <dgm:spPr/>
      <dgm:t>
        <a:bodyPr/>
        <a:lstStyle/>
        <a:p>
          <a:endParaRPr lang="pt-BR"/>
        </a:p>
      </dgm:t>
    </dgm:pt>
    <dgm:pt modelId="{41B79595-CA14-4676-8417-9E163C8A8502}">
      <dgm:prSet custT="1"/>
      <dgm:spPr/>
      <dgm:t>
        <a:bodyPr/>
        <a:lstStyle/>
        <a:p>
          <a:r>
            <a:rPr lang="pt-BR" sz="1100" baseline="0">
              <a:latin typeface="Times New Roman" pitchFamily="18" charset="0"/>
            </a:rPr>
            <a:t>Seção de Recursos Humanos</a:t>
          </a:r>
        </a:p>
      </dgm:t>
    </dgm:pt>
    <dgm:pt modelId="{F0D9F16F-DD29-4A24-A9B9-979C66424D26}" type="parTrans" cxnId="{80474C79-875F-4765-B8DB-B9B87338AAF5}">
      <dgm:prSet/>
      <dgm:spPr/>
      <dgm:t>
        <a:bodyPr/>
        <a:lstStyle/>
        <a:p>
          <a:endParaRPr lang="pt-BR"/>
        </a:p>
      </dgm:t>
    </dgm:pt>
    <dgm:pt modelId="{72FF35FC-26F0-4547-9832-384D8C09A4A6}" type="sibTrans" cxnId="{80474C79-875F-4765-B8DB-B9B87338AAF5}">
      <dgm:prSet/>
      <dgm:spPr/>
      <dgm:t>
        <a:bodyPr/>
        <a:lstStyle/>
        <a:p>
          <a:endParaRPr lang="pt-BR"/>
        </a:p>
      </dgm:t>
    </dgm:pt>
    <dgm:pt modelId="{BADCE36F-C7B1-4807-ABB9-B472B50AB0FC}">
      <dgm:prSet custT="1"/>
      <dgm:spPr/>
      <dgm:t>
        <a:bodyPr/>
        <a:lstStyle/>
        <a:p>
          <a:r>
            <a:rPr lang="pt-BR" sz="1100" baseline="0">
              <a:latin typeface="Times New Roman" pitchFamily="18" charset="0"/>
            </a:rPr>
            <a:t>Seção de Material e Transporte</a:t>
          </a:r>
        </a:p>
      </dgm:t>
    </dgm:pt>
    <dgm:pt modelId="{E33EB166-E9D3-4698-89EC-E7300F59CEC5}" type="parTrans" cxnId="{8643D274-65D1-4BD0-9257-16D810E9278D}">
      <dgm:prSet/>
      <dgm:spPr/>
      <dgm:t>
        <a:bodyPr/>
        <a:lstStyle/>
        <a:p>
          <a:endParaRPr lang="pt-BR"/>
        </a:p>
      </dgm:t>
    </dgm:pt>
    <dgm:pt modelId="{9320E9F4-6907-4506-AA5E-C22C0848AF47}" type="sibTrans" cxnId="{8643D274-65D1-4BD0-9257-16D810E9278D}">
      <dgm:prSet/>
      <dgm:spPr/>
      <dgm:t>
        <a:bodyPr/>
        <a:lstStyle/>
        <a:p>
          <a:endParaRPr lang="pt-BR"/>
        </a:p>
      </dgm:t>
    </dgm:pt>
    <dgm:pt modelId="{857214D1-5254-440F-BA77-01C8AF3B8562}">
      <dgm:prSet custT="1"/>
      <dgm:spPr/>
      <dgm:t>
        <a:bodyPr/>
        <a:lstStyle/>
        <a:p>
          <a:r>
            <a:rPr lang="pt-BR" sz="1100" baseline="0">
              <a:latin typeface="Times New Roman" pitchFamily="18" charset="0"/>
            </a:rPr>
            <a:t>Seção de Contabilidade</a:t>
          </a:r>
        </a:p>
      </dgm:t>
    </dgm:pt>
    <dgm:pt modelId="{8D1988AF-A6B2-4B84-ACB4-D9167009ECDB}" type="parTrans" cxnId="{160A8E97-0A77-4BAA-BA9B-DC3AA7DF688C}">
      <dgm:prSet/>
      <dgm:spPr/>
      <dgm:t>
        <a:bodyPr/>
        <a:lstStyle/>
        <a:p>
          <a:endParaRPr lang="pt-BR"/>
        </a:p>
      </dgm:t>
    </dgm:pt>
    <dgm:pt modelId="{1777EF6A-AE0F-44CD-869E-C16D863E8ED8}" type="sibTrans" cxnId="{160A8E97-0A77-4BAA-BA9B-DC3AA7DF688C}">
      <dgm:prSet/>
      <dgm:spPr/>
      <dgm:t>
        <a:bodyPr/>
        <a:lstStyle/>
        <a:p>
          <a:endParaRPr lang="pt-BR"/>
        </a:p>
      </dgm:t>
    </dgm:pt>
    <dgm:pt modelId="{5CAA39E9-1DA0-48BE-8F75-57537C05250D}">
      <dgm:prSet custT="1"/>
      <dgm:spPr/>
      <dgm:t>
        <a:bodyPr/>
        <a:lstStyle/>
        <a:p>
          <a:r>
            <a:rPr lang="pt-BR" sz="1100" baseline="0">
              <a:latin typeface="Times New Roman" pitchFamily="18" charset="0"/>
            </a:rPr>
            <a:t>Seção de Cadastro, Emissão e Controle de Contas</a:t>
          </a:r>
        </a:p>
      </dgm:t>
    </dgm:pt>
    <dgm:pt modelId="{58A98420-DB48-4B6D-960A-535E54DFC12D}" type="parTrans" cxnId="{5F652C5A-AA61-4E04-9D59-FF6AC35F5CC4}">
      <dgm:prSet/>
      <dgm:spPr/>
      <dgm:t>
        <a:bodyPr/>
        <a:lstStyle/>
        <a:p>
          <a:endParaRPr lang="pt-BR"/>
        </a:p>
      </dgm:t>
    </dgm:pt>
    <dgm:pt modelId="{4FE194F5-3555-4DE3-9CF5-C46122D40A88}" type="sibTrans" cxnId="{5F652C5A-AA61-4E04-9D59-FF6AC35F5CC4}">
      <dgm:prSet/>
      <dgm:spPr/>
      <dgm:t>
        <a:bodyPr/>
        <a:lstStyle/>
        <a:p>
          <a:endParaRPr lang="pt-BR"/>
        </a:p>
      </dgm:t>
    </dgm:pt>
    <dgm:pt modelId="{BC2DBBC9-013C-4D2C-B118-BF89F157722B}">
      <dgm:prSet/>
      <dgm:spPr/>
      <dgm:t>
        <a:bodyPr/>
        <a:lstStyle/>
        <a:p>
          <a:r>
            <a:rPr lang="pt-BR" baseline="0">
              <a:latin typeface="Times New Roman" pitchFamily="18" charset="0"/>
            </a:rPr>
            <a:t>Seção de Operação e Tratamento</a:t>
          </a:r>
        </a:p>
      </dgm:t>
    </dgm:pt>
    <dgm:pt modelId="{AB735307-C979-4AD8-AA1E-78A9809E6067}" type="parTrans" cxnId="{0F06DCB8-E2BA-482B-A06D-B2072CA088CD}">
      <dgm:prSet/>
      <dgm:spPr/>
      <dgm:t>
        <a:bodyPr/>
        <a:lstStyle/>
        <a:p>
          <a:endParaRPr lang="pt-BR"/>
        </a:p>
      </dgm:t>
    </dgm:pt>
    <dgm:pt modelId="{F8AE1EE1-07EB-40FD-855B-D0DA6294B2B7}" type="sibTrans" cxnId="{0F06DCB8-E2BA-482B-A06D-B2072CA088CD}">
      <dgm:prSet/>
      <dgm:spPr/>
      <dgm:t>
        <a:bodyPr/>
        <a:lstStyle/>
        <a:p>
          <a:endParaRPr lang="pt-BR"/>
        </a:p>
      </dgm:t>
    </dgm:pt>
    <dgm:pt modelId="{6132D084-7101-43BD-8C1A-6BFD13557081}">
      <dgm:prSet/>
      <dgm:spPr/>
      <dgm:t>
        <a:bodyPr/>
        <a:lstStyle/>
        <a:p>
          <a:r>
            <a:rPr lang="pt-BR" baseline="0">
              <a:latin typeface="Times New Roman" pitchFamily="18" charset="0"/>
            </a:rPr>
            <a:t>Seção de Projetos e Obras</a:t>
          </a:r>
        </a:p>
      </dgm:t>
    </dgm:pt>
    <dgm:pt modelId="{67411EA8-D56E-4CAF-B12A-9B7215D11F7C}" type="parTrans" cxnId="{D8C23939-E057-4D08-B8E2-E94FB725C431}">
      <dgm:prSet/>
      <dgm:spPr/>
      <dgm:t>
        <a:bodyPr/>
        <a:lstStyle/>
        <a:p>
          <a:endParaRPr lang="pt-BR"/>
        </a:p>
      </dgm:t>
    </dgm:pt>
    <dgm:pt modelId="{4F5FD4A9-0F99-4426-B53E-5B2ED9BA18A5}" type="sibTrans" cxnId="{D8C23939-E057-4D08-B8E2-E94FB725C431}">
      <dgm:prSet/>
      <dgm:spPr/>
      <dgm:t>
        <a:bodyPr/>
        <a:lstStyle/>
        <a:p>
          <a:endParaRPr lang="pt-BR"/>
        </a:p>
      </dgm:t>
    </dgm:pt>
    <dgm:pt modelId="{2780EE34-C120-4158-8158-9463CC6BE3EC}">
      <dgm:prSet/>
      <dgm:spPr/>
      <dgm:t>
        <a:bodyPr/>
        <a:lstStyle/>
        <a:p>
          <a:r>
            <a:rPr lang="pt-BR" baseline="0">
              <a:latin typeface="Times New Roman" pitchFamily="18" charset="0"/>
            </a:rPr>
            <a:t>Seção de Atendimento  ao Interior</a:t>
          </a:r>
        </a:p>
      </dgm:t>
    </dgm:pt>
    <dgm:pt modelId="{C08869E9-87ED-43E3-8B85-20BA11758808}" type="parTrans" cxnId="{0F7417D1-0FFF-4C87-A48E-F3571A787B24}">
      <dgm:prSet/>
      <dgm:spPr/>
      <dgm:t>
        <a:bodyPr/>
        <a:lstStyle/>
        <a:p>
          <a:endParaRPr lang="pt-BR"/>
        </a:p>
      </dgm:t>
    </dgm:pt>
    <dgm:pt modelId="{59BDEE79-0240-4271-97CD-32F25B6AE976}" type="sibTrans" cxnId="{0F7417D1-0FFF-4C87-A48E-F3571A787B24}">
      <dgm:prSet/>
      <dgm:spPr/>
      <dgm:t>
        <a:bodyPr/>
        <a:lstStyle/>
        <a:p>
          <a:endParaRPr lang="pt-BR"/>
        </a:p>
      </dgm:t>
    </dgm:pt>
    <dgm:pt modelId="{D7325220-A64D-4C9C-BE3E-47729DCAFF19}" type="pres">
      <dgm:prSet presAssocID="{19B198AD-A74B-4003-A278-B4D534B8A106}" presName="hierChild1" presStyleCnt="0">
        <dgm:presLayoutVars>
          <dgm:chPref val="1"/>
          <dgm:dir/>
          <dgm:animOne val="branch"/>
          <dgm:animLvl val="lvl"/>
          <dgm:resizeHandles/>
        </dgm:presLayoutVars>
      </dgm:prSet>
      <dgm:spPr/>
      <dgm:t>
        <a:bodyPr/>
        <a:lstStyle/>
        <a:p>
          <a:endParaRPr lang="pt-BR"/>
        </a:p>
      </dgm:t>
    </dgm:pt>
    <dgm:pt modelId="{A139DE0A-D8C9-44C7-AEEC-A4C6CBA8ABB5}" type="pres">
      <dgm:prSet presAssocID="{A861A361-6104-4E9F-A59F-F33D6E2CF1DF}" presName="hierRoot1" presStyleCnt="0"/>
      <dgm:spPr/>
    </dgm:pt>
    <dgm:pt modelId="{C8C43042-ED93-4D8F-A92D-F4C721FBABE6}" type="pres">
      <dgm:prSet presAssocID="{A861A361-6104-4E9F-A59F-F33D6E2CF1DF}" presName="composite" presStyleCnt="0"/>
      <dgm:spPr/>
    </dgm:pt>
    <dgm:pt modelId="{6268BD84-A568-45BE-9925-21051F26AD9F}" type="pres">
      <dgm:prSet presAssocID="{A861A361-6104-4E9F-A59F-F33D6E2CF1DF}" presName="background" presStyleLbl="node0" presStyleIdx="0" presStyleCnt="1"/>
      <dgm:spPr/>
    </dgm:pt>
    <dgm:pt modelId="{1895C276-AA35-40C8-B6F8-5E8A0F5C636D}" type="pres">
      <dgm:prSet presAssocID="{A861A361-6104-4E9F-A59F-F33D6E2CF1DF}" presName="text" presStyleLbl="fgAcc0" presStyleIdx="0" presStyleCnt="1" custScaleX="143541" custScaleY="110966">
        <dgm:presLayoutVars>
          <dgm:chPref val="3"/>
        </dgm:presLayoutVars>
      </dgm:prSet>
      <dgm:spPr/>
      <dgm:t>
        <a:bodyPr/>
        <a:lstStyle/>
        <a:p>
          <a:endParaRPr lang="pt-BR"/>
        </a:p>
      </dgm:t>
    </dgm:pt>
    <dgm:pt modelId="{73198CDA-76ED-41A8-9994-BCAC0E7A2E2C}" type="pres">
      <dgm:prSet presAssocID="{A861A361-6104-4E9F-A59F-F33D6E2CF1DF}" presName="hierChild2" presStyleCnt="0"/>
      <dgm:spPr/>
    </dgm:pt>
    <dgm:pt modelId="{CC01917C-B98C-4439-9DC8-7BADDD14218A}" type="pres">
      <dgm:prSet presAssocID="{98A508CC-A72A-4D99-B2F6-4A44A75EF2BE}" presName="Name10" presStyleLbl="parChTrans1D2" presStyleIdx="0" presStyleCnt="3"/>
      <dgm:spPr/>
      <dgm:t>
        <a:bodyPr/>
        <a:lstStyle/>
        <a:p>
          <a:endParaRPr lang="pt-BR"/>
        </a:p>
      </dgm:t>
    </dgm:pt>
    <dgm:pt modelId="{50317FAA-17E1-4858-865F-3CA0F95A40C3}" type="pres">
      <dgm:prSet presAssocID="{A133F707-24A4-4AB2-BFE1-43F6D9279386}" presName="hierRoot2" presStyleCnt="0"/>
      <dgm:spPr/>
    </dgm:pt>
    <dgm:pt modelId="{E517A3D0-476C-4E70-A152-B194BDCA89F3}" type="pres">
      <dgm:prSet presAssocID="{A133F707-24A4-4AB2-BFE1-43F6D9279386}" presName="composite2" presStyleCnt="0"/>
      <dgm:spPr/>
    </dgm:pt>
    <dgm:pt modelId="{85DEFB32-BE7A-49EF-A63D-3B913C76EF49}" type="pres">
      <dgm:prSet presAssocID="{A133F707-24A4-4AB2-BFE1-43F6D9279386}" presName="background2" presStyleLbl="asst1" presStyleIdx="0" presStyleCnt="1"/>
      <dgm:spPr/>
    </dgm:pt>
    <dgm:pt modelId="{23B232FB-4F42-44F4-BF43-8CDB05BF3107}" type="pres">
      <dgm:prSet presAssocID="{A133F707-24A4-4AB2-BFE1-43F6D9279386}" presName="text2" presStyleLbl="fgAcc2" presStyleIdx="0" presStyleCnt="3">
        <dgm:presLayoutVars>
          <dgm:chPref val="3"/>
        </dgm:presLayoutVars>
      </dgm:prSet>
      <dgm:spPr/>
      <dgm:t>
        <a:bodyPr/>
        <a:lstStyle/>
        <a:p>
          <a:endParaRPr lang="pt-BR"/>
        </a:p>
      </dgm:t>
    </dgm:pt>
    <dgm:pt modelId="{E84E65AD-6C1F-425E-8D81-CA324F78DFE4}" type="pres">
      <dgm:prSet presAssocID="{A133F707-24A4-4AB2-BFE1-43F6D9279386}" presName="hierChild3" presStyleCnt="0"/>
      <dgm:spPr/>
    </dgm:pt>
    <dgm:pt modelId="{D104990B-237D-4FF2-9873-97A2D87348ED}" type="pres">
      <dgm:prSet presAssocID="{22CF71DC-4809-423D-BD10-DBCA299E45D9}" presName="Name10" presStyleLbl="parChTrans1D2" presStyleIdx="1" presStyleCnt="3"/>
      <dgm:spPr/>
      <dgm:t>
        <a:bodyPr/>
        <a:lstStyle/>
        <a:p>
          <a:endParaRPr lang="pt-BR"/>
        </a:p>
      </dgm:t>
    </dgm:pt>
    <dgm:pt modelId="{76659F5E-B570-466A-BEDA-1794D76B4CEE}" type="pres">
      <dgm:prSet presAssocID="{FC17C305-7B29-4BBA-837D-B1DF16713D71}" presName="hierRoot2" presStyleCnt="0"/>
      <dgm:spPr/>
    </dgm:pt>
    <dgm:pt modelId="{48462E5F-DE3A-4D5A-BDBF-2F328276DBD1}" type="pres">
      <dgm:prSet presAssocID="{FC17C305-7B29-4BBA-837D-B1DF16713D71}" presName="composite2" presStyleCnt="0"/>
      <dgm:spPr/>
    </dgm:pt>
    <dgm:pt modelId="{1FD81437-32DD-4FB7-B9F1-80134D5EC389}" type="pres">
      <dgm:prSet presAssocID="{FC17C305-7B29-4BBA-837D-B1DF16713D71}" presName="background2" presStyleLbl="node2" presStyleIdx="0" presStyleCnt="2"/>
      <dgm:spPr/>
    </dgm:pt>
    <dgm:pt modelId="{DDAB70BF-6439-4B96-97B0-60F6C5CA0989}" type="pres">
      <dgm:prSet presAssocID="{FC17C305-7B29-4BBA-837D-B1DF16713D71}" presName="text2" presStyleLbl="fgAcc2" presStyleIdx="1" presStyleCnt="3" custScaleX="124737">
        <dgm:presLayoutVars>
          <dgm:chPref val="3"/>
        </dgm:presLayoutVars>
      </dgm:prSet>
      <dgm:spPr/>
      <dgm:t>
        <a:bodyPr/>
        <a:lstStyle/>
        <a:p>
          <a:endParaRPr lang="pt-BR"/>
        </a:p>
      </dgm:t>
    </dgm:pt>
    <dgm:pt modelId="{AAE70507-DC9E-444B-8B71-290CEBD73451}" type="pres">
      <dgm:prSet presAssocID="{FC17C305-7B29-4BBA-837D-B1DF16713D71}" presName="hierChild3" presStyleCnt="0"/>
      <dgm:spPr/>
    </dgm:pt>
    <dgm:pt modelId="{3EA92083-7C3A-4B88-85E1-F57E0C8D7FA6}" type="pres">
      <dgm:prSet presAssocID="{F0D9F16F-DD29-4A24-A9B9-979C66424D26}" presName="Name17" presStyleLbl="parChTrans1D3" presStyleIdx="0" presStyleCnt="8"/>
      <dgm:spPr/>
      <dgm:t>
        <a:bodyPr/>
        <a:lstStyle/>
        <a:p>
          <a:endParaRPr lang="pt-BR"/>
        </a:p>
      </dgm:t>
    </dgm:pt>
    <dgm:pt modelId="{BEE319FD-F7D4-47DF-8C82-4C34E1C2130D}" type="pres">
      <dgm:prSet presAssocID="{41B79595-CA14-4676-8417-9E163C8A8502}" presName="hierRoot3" presStyleCnt="0"/>
      <dgm:spPr/>
    </dgm:pt>
    <dgm:pt modelId="{D4B4E048-5165-4E3B-A942-4571DB2D30D2}" type="pres">
      <dgm:prSet presAssocID="{41B79595-CA14-4676-8417-9E163C8A8502}" presName="composite3" presStyleCnt="0"/>
      <dgm:spPr/>
    </dgm:pt>
    <dgm:pt modelId="{A6D4EC09-AA83-4D3F-A690-EA6940DD91E2}" type="pres">
      <dgm:prSet presAssocID="{41B79595-CA14-4676-8417-9E163C8A8502}" presName="background3" presStyleLbl="node3" presStyleIdx="0" presStyleCnt="8"/>
      <dgm:spPr/>
    </dgm:pt>
    <dgm:pt modelId="{9940652B-6804-4E45-ACFF-161929A85173}" type="pres">
      <dgm:prSet presAssocID="{41B79595-CA14-4676-8417-9E163C8A8502}" presName="text3" presStyleLbl="fgAcc3" presStyleIdx="0" presStyleCnt="8">
        <dgm:presLayoutVars>
          <dgm:chPref val="3"/>
        </dgm:presLayoutVars>
      </dgm:prSet>
      <dgm:spPr/>
      <dgm:t>
        <a:bodyPr/>
        <a:lstStyle/>
        <a:p>
          <a:endParaRPr lang="pt-BR"/>
        </a:p>
      </dgm:t>
    </dgm:pt>
    <dgm:pt modelId="{818A0F02-540E-48F0-B2B1-D34BAA1EB0DE}" type="pres">
      <dgm:prSet presAssocID="{41B79595-CA14-4676-8417-9E163C8A8502}" presName="hierChild4" presStyleCnt="0"/>
      <dgm:spPr/>
    </dgm:pt>
    <dgm:pt modelId="{B847F305-7F07-4AA8-AA24-660E60124963}" type="pres">
      <dgm:prSet presAssocID="{E33EB166-E9D3-4698-89EC-E7300F59CEC5}" presName="Name17" presStyleLbl="parChTrans1D3" presStyleIdx="1" presStyleCnt="8"/>
      <dgm:spPr/>
      <dgm:t>
        <a:bodyPr/>
        <a:lstStyle/>
        <a:p>
          <a:endParaRPr lang="pt-BR"/>
        </a:p>
      </dgm:t>
    </dgm:pt>
    <dgm:pt modelId="{54B0CB40-6D3D-46B4-A36F-0A498A2ECCE7}" type="pres">
      <dgm:prSet presAssocID="{BADCE36F-C7B1-4807-ABB9-B472B50AB0FC}" presName="hierRoot3" presStyleCnt="0"/>
      <dgm:spPr/>
    </dgm:pt>
    <dgm:pt modelId="{6A542A00-1905-4EB1-B8A2-65FCCCAFD7D0}" type="pres">
      <dgm:prSet presAssocID="{BADCE36F-C7B1-4807-ABB9-B472B50AB0FC}" presName="composite3" presStyleCnt="0"/>
      <dgm:spPr/>
    </dgm:pt>
    <dgm:pt modelId="{B6600944-6099-44D3-A1EC-14E3976FFB4F}" type="pres">
      <dgm:prSet presAssocID="{BADCE36F-C7B1-4807-ABB9-B472B50AB0FC}" presName="background3" presStyleLbl="node3" presStyleIdx="1" presStyleCnt="8"/>
      <dgm:spPr/>
    </dgm:pt>
    <dgm:pt modelId="{16D93DC2-39B2-448B-A8CD-C4E68C78565D}" type="pres">
      <dgm:prSet presAssocID="{BADCE36F-C7B1-4807-ABB9-B472B50AB0FC}" presName="text3" presStyleLbl="fgAcc3" presStyleIdx="1" presStyleCnt="8">
        <dgm:presLayoutVars>
          <dgm:chPref val="3"/>
        </dgm:presLayoutVars>
      </dgm:prSet>
      <dgm:spPr/>
      <dgm:t>
        <a:bodyPr/>
        <a:lstStyle/>
        <a:p>
          <a:endParaRPr lang="pt-BR"/>
        </a:p>
      </dgm:t>
    </dgm:pt>
    <dgm:pt modelId="{3646FE23-FA55-4C90-BEBA-D058453B333E}" type="pres">
      <dgm:prSet presAssocID="{BADCE36F-C7B1-4807-ABB9-B472B50AB0FC}" presName="hierChild4" presStyleCnt="0"/>
      <dgm:spPr/>
    </dgm:pt>
    <dgm:pt modelId="{97A3CE0E-E827-400E-AC20-E59A31948BED}" type="pres">
      <dgm:prSet presAssocID="{8D1988AF-A6B2-4B84-ACB4-D9167009ECDB}" presName="Name17" presStyleLbl="parChTrans1D3" presStyleIdx="2" presStyleCnt="8"/>
      <dgm:spPr/>
      <dgm:t>
        <a:bodyPr/>
        <a:lstStyle/>
        <a:p>
          <a:endParaRPr lang="pt-BR"/>
        </a:p>
      </dgm:t>
    </dgm:pt>
    <dgm:pt modelId="{AA66E889-752D-4E3B-9D2E-30CDB8A0F07F}" type="pres">
      <dgm:prSet presAssocID="{857214D1-5254-440F-BA77-01C8AF3B8562}" presName="hierRoot3" presStyleCnt="0"/>
      <dgm:spPr/>
    </dgm:pt>
    <dgm:pt modelId="{E5F2E7E3-A7B6-4AEB-958A-027E84A152D6}" type="pres">
      <dgm:prSet presAssocID="{857214D1-5254-440F-BA77-01C8AF3B8562}" presName="composite3" presStyleCnt="0"/>
      <dgm:spPr/>
    </dgm:pt>
    <dgm:pt modelId="{DF6EF34B-0496-43C9-ADB5-6208B8249F33}" type="pres">
      <dgm:prSet presAssocID="{857214D1-5254-440F-BA77-01C8AF3B8562}" presName="background3" presStyleLbl="node3" presStyleIdx="2" presStyleCnt="8"/>
      <dgm:spPr/>
    </dgm:pt>
    <dgm:pt modelId="{31D5F783-9E4E-4989-BF1B-15F4C80516BB}" type="pres">
      <dgm:prSet presAssocID="{857214D1-5254-440F-BA77-01C8AF3B8562}" presName="text3" presStyleLbl="fgAcc3" presStyleIdx="2" presStyleCnt="8">
        <dgm:presLayoutVars>
          <dgm:chPref val="3"/>
        </dgm:presLayoutVars>
      </dgm:prSet>
      <dgm:spPr/>
      <dgm:t>
        <a:bodyPr/>
        <a:lstStyle/>
        <a:p>
          <a:endParaRPr lang="pt-BR"/>
        </a:p>
      </dgm:t>
    </dgm:pt>
    <dgm:pt modelId="{D3EB8E8E-31D2-4B08-89B7-3E954B31AEE3}" type="pres">
      <dgm:prSet presAssocID="{857214D1-5254-440F-BA77-01C8AF3B8562}" presName="hierChild4" presStyleCnt="0"/>
      <dgm:spPr/>
    </dgm:pt>
    <dgm:pt modelId="{1E374B5F-7130-4FCA-A3CD-85208158D0A8}" type="pres">
      <dgm:prSet presAssocID="{58A98420-DB48-4B6D-960A-535E54DFC12D}" presName="Name17" presStyleLbl="parChTrans1D3" presStyleIdx="3" presStyleCnt="8"/>
      <dgm:spPr/>
      <dgm:t>
        <a:bodyPr/>
        <a:lstStyle/>
        <a:p>
          <a:endParaRPr lang="pt-BR"/>
        </a:p>
      </dgm:t>
    </dgm:pt>
    <dgm:pt modelId="{6636E311-34CC-4625-B816-CB3233E42DE8}" type="pres">
      <dgm:prSet presAssocID="{5CAA39E9-1DA0-48BE-8F75-57537C05250D}" presName="hierRoot3" presStyleCnt="0"/>
      <dgm:spPr/>
    </dgm:pt>
    <dgm:pt modelId="{0AC605FE-6CDA-469B-8184-707FE43C0204}" type="pres">
      <dgm:prSet presAssocID="{5CAA39E9-1DA0-48BE-8F75-57537C05250D}" presName="composite3" presStyleCnt="0"/>
      <dgm:spPr/>
    </dgm:pt>
    <dgm:pt modelId="{E4A0F962-CC22-494E-8FC9-573417576446}" type="pres">
      <dgm:prSet presAssocID="{5CAA39E9-1DA0-48BE-8F75-57537C05250D}" presName="background3" presStyleLbl="node3" presStyleIdx="3" presStyleCnt="8"/>
      <dgm:spPr/>
    </dgm:pt>
    <dgm:pt modelId="{18994C29-F3CC-482E-B7AE-474452D86D0E}" type="pres">
      <dgm:prSet presAssocID="{5CAA39E9-1DA0-48BE-8F75-57537C05250D}" presName="text3" presStyleLbl="fgAcc3" presStyleIdx="3" presStyleCnt="8" custScaleX="143895" custScaleY="146305">
        <dgm:presLayoutVars>
          <dgm:chPref val="3"/>
        </dgm:presLayoutVars>
      </dgm:prSet>
      <dgm:spPr/>
      <dgm:t>
        <a:bodyPr/>
        <a:lstStyle/>
        <a:p>
          <a:endParaRPr lang="pt-BR"/>
        </a:p>
      </dgm:t>
    </dgm:pt>
    <dgm:pt modelId="{F39C8F62-1AD2-4185-9F77-FF7DD261B5FF}" type="pres">
      <dgm:prSet presAssocID="{5CAA39E9-1DA0-48BE-8F75-57537C05250D}" presName="hierChild4" presStyleCnt="0"/>
      <dgm:spPr/>
    </dgm:pt>
    <dgm:pt modelId="{B1963CB9-022E-4460-B556-08DE408650D0}" type="pres">
      <dgm:prSet presAssocID="{A3D438C6-E475-4B0D-8CB6-1C50DD0C28AE}" presName="Name10" presStyleLbl="parChTrans1D2" presStyleIdx="2" presStyleCnt="3"/>
      <dgm:spPr/>
      <dgm:t>
        <a:bodyPr/>
        <a:lstStyle/>
        <a:p>
          <a:endParaRPr lang="pt-BR"/>
        </a:p>
      </dgm:t>
    </dgm:pt>
    <dgm:pt modelId="{8E7985BF-BBB9-4B7F-B602-DB2ECA7DDB68}" type="pres">
      <dgm:prSet presAssocID="{EB763994-5B39-42BB-A05D-3A5BC6D56EAB}" presName="hierRoot2" presStyleCnt="0"/>
      <dgm:spPr/>
    </dgm:pt>
    <dgm:pt modelId="{3F17CF7F-5B6E-4959-9D55-3B9730C4AD82}" type="pres">
      <dgm:prSet presAssocID="{EB763994-5B39-42BB-A05D-3A5BC6D56EAB}" presName="composite2" presStyleCnt="0"/>
      <dgm:spPr/>
    </dgm:pt>
    <dgm:pt modelId="{8241670A-FF88-4C17-A2E9-6668B64D913C}" type="pres">
      <dgm:prSet presAssocID="{EB763994-5B39-42BB-A05D-3A5BC6D56EAB}" presName="background2" presStyleLbl="node2" presStyleIdx="1" presStyleCnt="2"/>
      <dgm:spPr/>
    </dgm:pt>
    <dgm:pt modelId="{8965B807-1410-4D15-ABD0-B42298CF9F94}" type="pres">
      <dgm:prSet presAssocID="{EB763994-5B39-42BB-A05D-3A5BC6D56EAB}" presName="text2" presStyleLbl="fgAcc2" presStyleIdx="2" presStyleCnt="3">
        <dgm:presLayoutVars>
          <dgm:chPref val="3"/>
        </dgm:presLayoutVars>
      </dgm:prSet>
      <dgm:spPr/>
      <dgm:t>
        <a:bodyPr/>
        <a:lstStyle/>
        <a:p>
          <a:endParaRPr lang="pt-BR"/>
        </a:p>
      </dgm:t>
    </dgm:pt>
    <dgm:pt modelId="{629DCEE9-B541-4851-852F-EDC5AB7C9413}" type="pres">
      <dgm:prSet presAssocID="{EB763994-5B39-42BB-A05D-3A5BC6D56EAB}" presName="hierChild3" presStyleCnt="0"/>
      <dgm:spPr/>
    </dgm:pt>
    <dgm:pt modelId="{680B1320-1DB7-4587-B839-7929E40AA2DA}" type="pres">
      <dgm:prSet presAssocID="{503607CA-6865-4F04-B156-85129C674E6F}" presName="Name17" presStyleLbl="parChTrans1D3" presStyleIdx="4" presStyleCnt="8"/>
      <dgm:spPr/>
      <dgm:t>
        <a:bodyPr/>
        <a:lstStyle/>
        <a:p>
          <a:endParaRPr lang="pt-BR"/>
        </a:p>
      </dgm:t>
    </dgm:pt>
    <dgm:pt modelId="{8D541C95-6D7C-4F54-A1C9-34F3002CE080}" type="pres">
      <dgm:prSet presAssocID="{8A22247A-8C3D-4DFF-9F44-B7DF216F99F1}" presName="hierRoot3" presStyleCnt="0"/>
      <dgm:spPr/>
    </dgm:pt>
    <dgm:pt modelId="{44F64C00-19BA-43CA-BFB3-39B6D2202DA7}" type="pres">
      <dgm:prSet presAssocID="{8A22247A-8C3D-4DFF-9F44-B7DF216F99F1}" presName="composite3" presStyleCnt="0"/>
      <dgm:spPr/>
    </dgm:pt>
    <dgm:pt modelId="{2623E928-D869-4929-A568-6F9495285C94}" type="pres">
      <dgm:prSet presAssocID="{8A22247A-8C3D-4DFF-9F44-B7DF216F99F1}" presName="background3" presStyleLbl="node3" presStyleIdx="4" presStyleCnt="8"/>
      <dgm:spPr/>
    </dgm:pt>
    <dgm:pt modelId="{403FCF2F-78A2-42A8-AACE-D743E8479898}" type="pres">
      <dgm:prSet presAssocID="{8A22247A-8C3D-4DFF-9F44-B7DF216F99F1}" presName="text3" presStyleLbl="fgAcc3" presStyleIdx="4" presStyleCnt="8" custScaleX="109804" custScaleY="149075">
        <dgm:presLayoutVars>
          <dgm:chPref val="3"/>
        </dgm:presLayoutVars>
      </dgm:prSet>
      <dgm:spPr/>
      <dgm:t>
        <a:bodyPr/>
        <a:lstStyle/>
        <a:p>
          <a:endParaRPr lang="pt-BR"/>
        </a:p>
      </dgm:t>
    </dgm:pt>
    <dgm:pt modelId="{E18232D7-2B56-40AC-A7FE-8FD4D559B3D1}" type="pres">
      <dgm:prSet presAssocID="{8A22247A-8C3D-4DFF-9F44-B7DF216F99F1}" presName="hierChild4" presStyleCnt="0"/>
      <dgm:spPr/>
    </dgm:pt>
    <dgm:pt modelId="{4D0B728E-6946-48F0-96B5-8814755334D5}" type="pres">
      <dgm:prSet presAssocID="{AB735307-C979-4AD8-AA1E-78A9809E6067}" presName="Name17" presStyleLbl="parChTrans1D3" presStyleIdx="5" presStyleCnt="8"/>
      <dgm:spPr/>
      <dgm:t>
        <a:bodyPr/>
        <a:lstStyle/>
        <a:p>
          <a:endParaRPr lang="pt-BR"/>
        </a:p>
      </dgm:t>
    </dgm:pt>
    <dgm:pt modelId="{AAEBD1E6-49B6-43A5-A5D3-E751D4FFDE1F}" type="pres">
      <dgm:prSet presAssocID="{BC2DBBC9-013C-4D2C-B118-BF89F157722B}" presName="hierRoot3" presStyleCnt="0"/>
      <dgm:spPr/>
    </dgm:pt>
    <dgm:pt modelId="{3F9FA4C6-58CF-42E9-9F47-19F2F23631F5}" type="pres">
      <dgm:prSet presAssocID="{BC2DBBC9-013C-4D2C-B118-BF89F157722B}" presName="composite3" presStyleCnt="0"/>
      <dgm:spPr/>
    </dgm:pt>
    <dgm:pt modelId="{3018444C-0325-4C50-8DF0-CDF9EC6EB5D1}" type="pres">
      <dgm:prSet presAssocID="{BC2DBBC9-013C-4D2C-B118-BF89F157722B}" presName="background3" presStyleLbl="node3" presStyleIdx="5" presStyleCnt="8"/>
      <dgm:spPr/>
    </dgm:pt>
    <dgm:pt modelId="{2C51908C-8D77-448C-A71E-62643A003BE1}" type="pres">
      <dgm:prSet presAssocID="{BC2DBBC9-013C-4D2C-B118-BF89F157722B}" presName="text3" presStyleLbl="fgAcc3" presStyleIdx="5" presStyleCnt="8">
        <dgm:presLayoutVars>
          <dgm:chPref val="3"/>
        </dgm:presLayoutVars>
      </dgm:prSet>
      <dgm:spPr/>
      <dgm:t>
        <a:bodyPr/>
        <a:lstStyle/>
        <a:p>
          <a:endParaRPr lang="pt-BR"/>
        </a:p>
      </dgm:t>
    </dgm:pt>
    <dgm:pt modelId="{3C9C70DC-0B15-4183-9155-4FC3E6FFB67C}" type="pres">
      <dgm:prSet presAssocID="{BC2DBBC9-013C-4D2C-B118-BF89F157722B}" presName="hierChild4" presStyleCnt="0"/>
      <dgm:spPr/>
    </dgm:pt>
    <dgm:pt modelId="{D74E3AB5-1948-427F-9840-B8518F2F4FB9}" type="pres">
      <dgm:prSet presAssocID="{67411EA8-D56E-4CAF-B12A-9B7215D11F7C}" presName="Name17" presStyleLbl="parChTrans1D3" presStyleIdx="6" presStyleCnt="8"/>
      <dgm:spPr/>
      <dgm:t>
        <a:bodyPr/>
        <a:lstStyle/>
        <a:p>
          <a:endParaRPr lang="pt-BR"/>
        </a:p>
      </dgm:t>
    </dgm:pt>
    <dgm:pt modelId="{896468E6-DD55-4953-A454-971047F9529A}" type="pres">
      <dgm:prSet presAssocID="{6132D084-7101-43BD-8C1A-6BFD13557081}" presName="hierRoot3" presStyleCnt="0"/>
      <dgm:spPr/>
    </dgm:pt>
    <dgm:pt modelId="{D422A114-7163-47F0-9157-CEA11A0F7099}" type="pres">
      <dgm:prSet presAssocID="{6132D084-7101-43BD-8C1A-6BFD13557081}" presName="composite3" presStyleCnt="0"/>
      <dgm:spPr/>
    </dgm:pt>
    <dgm:pt modelId="{F2DA9060-FDE3-458A-9B6B-18530267B9B7}" type="pres">
      <dgm:prSet presAssocID="{6132D084-7101-43BD-8C1A-6BFD13557081}" presName="background3" presStyleLbl="node3" presStyleIdx="6" presStyleCnt="8"/>
      <dgm:spPr/>
    </dgm:pt>
    <dgm:pt modelId="{D2F4B6C3-9413-4116-8C85-A5917CE6C6AF}" type="pres">
      <dgm:prSet presAssocID="{6132D084-7101-43BD-8C1A-6BFD13557081}" presName="text3" presStyleLbl="fgAcc3" presStyleIdx="6" presStyleCnt="8">
        <dgm:presLayoutVars>
          <dgm:chPref val="3"/>
        </dgm:presLayoutVars>
      </dgm:prSet>
      <dgm:spPr/>
      <dgm:t>
        <a:bodyPr/>
        <a:lstStyle/>
        <a:p>
          <a:endParaRPr lang="pt-BR"/>
        </a:p>
      </dgm:t>
    </dgm:pt>
    <dgm:pt modelId="{407A8514-93D7-4963-A9FC-560B8C676417}" type="pres">
      <dgm:prSet presAssocID="{6132D084-7101-43BD-8C1A-6BFD13557081}" presName="hierChild4" presStyleCnt="0"/>
      <dgm:spPr/>
    </dgm:pt>
    <dgm:pt modelId="{8CC87349-3CC3-406B-AC5F-79D38ED0CAD5}" type="pres">
      <dgm:prSet presAssocID="{C08869E9-87ED-43E3-8B85-20BA11758808}" presName="Name17" presStyleLbl="parChTrans1D3" presStyleIdx="7" presStyleCnt="8"/>
      <dgm:spPr/>
      <dgm:t>
        <a:bodyPr/>
        <a:lstStyle/>
        <a:p>
          <a:endParaRPr lang="pt-BR"/>
        </a:p>
      </dgm:t>
    </dgm:pt>
    <dgm:pt modelId="{261C939E-7867-4B22-B897-2C948AFEAE9C}" type="pres">
      <dgm:prSet presAssocID="{2780EE34-C120-4158-8158-9463CC6BE3EC}" presName="hierRoot3" presStyleCnt="0"/>
      <dgm:spPr/>
    </dgm:pt>
    <dgm:pt modelId="{F79BCC14-F12C-4F2A-B7FF-E300137D090D}" type="pres">
      <dgm:prSet presAssocID="{2780EE34-C120-4158-8158-9463CC6BE3EC}" presName="composite3" presStyleCnt="0"/>
      <dgm:spPr/>
    </dgm:pt>
    <dgm:pt modelId="{9CE29F2A-FBB2-4730-9698-D97B017C3225}" type="pres">
      <dgm:prSet presAssocID="{2780EE34-C120-4158-8158-9463CC6BE3EC}" presName="background3" presStyleLbl="node3" presStyleIdx="7" presStyleCnt="8"/>
      <dgm:spPr/>
    </dgm:pt>
    <dgm:pt modelId="{EB67CBA2-8B9F-452D-81E1-7038C8831B6E}" type="pres">
      <dgm:prSet presAssocID="{2780EE34-C120-4158-8158-9463CC6BE3EC}" presName="text3" presStyleLbl="fgAcc3" presStyleIdx="7" presStyleCnt="8">
        <dgm:presLayoutVars>
          <dgm:chPref val="3"/>
        </dgm:presLayoutVars>
      </dgm:prSet>
      <dgm:spPr/>
      <dgm:t>
        <a:bodyPr/>
        <a:lstStyle/>
        <a:p>
          <a:endParaRPr lang="pt-BR"/>
        </a:p>
      </dgm:t>
    </dgm:pt>
    <dgm:pt modelId="{7CB325D2-419C-4586-9EDD-FFE41DB2DCBC}" type="pres">
      <dgm:prSet presAssocID="{2780EE34-C120-4158-8158-9463CC6BE3EC}" presName="hierChild4" presStyleCnt="0"/>
      <dgm:spPr/>
    </dgm:pt>
  </dgm:ptLst>
  <dgm:cxnLst>
    <dgm:cxn modelId="{38138B20-5F3A-4725-A05B-FE13B55424BD}" type="presOf" srcId="{AB735307-C979-4AD8-AA1E-78A9809E6067}" destId="{4D0B728E-6946-48F0-96B5-8814755334D5}" srcOrd="0" destOrd="0" presId="urn:microsoft.com/office/officeart/2005/8/layout/hierarchy1"/>
    <dgm:cxn modelId="{04AA8278-1407-41F4-9C00-00E0236C15AA}" srcId="{EB763994-5B39-42BB-A05D-3A5BC6D56EAB}" destId="{8A22247A-8C3D-4DFF-9F44-B7DF216F99F1}" srcOrd="0" destOrd="0" parTransId="{503607CA-6865-4F04-B156-85129C674E6F}" sibTransId="{140BE057-4A97-4276-9C8A-45E7371A10D1}"/>
    <dgm:cxn modelId="{5799D039-A11C-4459-B53F-3D0B9B83FBFF}" type="presOf" srcId="{C08869E9-87ED-43E3-8B85-20BA11758808}" destId="{8CC87349-3CC3-406B-AC5F-79D38ED0CAD5}" srcOrd="0" destOrd="0" presId="urn:microsoft.com/office/officeart/2005/8/layout/hierarchy1"/>
    <dgm:cxn modelId="{8643D274-65D1-4BD0-9257-16D810E9278D}" srcId="{FC17C305-7B29-4BBA-837D-B1DF16713D71}" destId="{BADCE36F-C7B1-4807-ABB9-B472B50AB0FC}" srcOrd="1" destOrd="0" parTransId="{E33EB166-E9D3-4698-89EC-E7300F59CEC5}" sibTransId="{9320E9F4-6907-4506-AA5E-C22C0848AF47}"/>
    <dgm:cxn modelId="{7BFE880A-2BDB-47F7-96A6-FFFCC1309785}" type="presOf" srcId="{6132D084-7101-43BD-8C1A-6BFD13557081}" destId="{D2F4B6C3-9413-4116-8C85-A5917CE6C6AF}" srcOrd="0" destOrd="0" presId="urn:microsoft.com/office/officeart/2005/8/layout/hierarchy1"/>
    <dgm:cxn modelId="{F03276F0-EB08-442B-A061-5B4E239E550B}" type="presOf" srcId="{98A508CC-A72A-4D99-B2F6-4A44A75EF2BE}" destId="{CC01917C-B98C-4439-9DC8-7BADDD14218A}" srcOrd="0" destOrd="0" presId="urn:microsoft.com/office/officeart/2005/8/layout/hierarchy1"/>
    <dgm:cxn modelId="{7AFE08E5-27C7-4177-ABD8-F6CBB5D3DD6C}" type="presOf" srcId="{19B198AD-A74B-4003-A278-B4D534B8A106}" destId="{D7325220-A64D-4C9C-BE3E-47729DCAFF19}" srcOrd="0" destOrd="0" presId="urn:microsoft.com/office/officeart/2005/8/layout/hierarchy1"/>
    <dgm:cxn modelId="{0F06DCB8-E2BA-482B-A06D-B2072CA088CD}" srcId="{EB763994-5B39-42BB-A05D-3A5BC6D56EAB}" destId="{BC2DBBC9-013C-4D2C-B118-BF89F157722B}" srcOrd="1" destOrd="0" parTransId="{AB735307-C979-4AD8-AA1E-78A9809E6067}" sibTransId="{F8AE1EE1-07EB-40FD-855B-D0DA6294B2B7}"/>
    <dgm:cxn modelId="{4A30A587-6AC5-4847-B9B4-7F6E5E1CB125}" type="presOf" srcId="{41B79595-CA14-4676-8417-9E163C8A8502}" destId="{9940652B-6804-4E45-ACFF-161929A85173}" srcOrd="0" destOrd="0" presId="urn:microsoft.com/office/officeart/2005/8/layout/hierarchy1"/>
    <dgm:cxn modelId="{7AE6B4C6-3305-45FF-9EF6-36CB78DD3545}" type="presOf" srcId="{EB763994-5B39-42BB-A05D-3A5BC6D56EAB}" destId="{8965B807-1410-4D15-ABD0-B42298CF9F94}" srcOrd="0" destOrd="0" presId="urn:microsoft.com/office/officeart/2005/8/layout/hierarchy1"/>
    <dgm:cxn modelId="{27A482D6-F691-4CB3-B73C-F17C26229FB3}" type="presOf" srcId="{A133F707-24A4-4AB2-BFE1-43F6D9279386}" destId="{23B232FB-4F42-44F4-BF43-8CDB05BF3107}" srcOrd="0" destOrd="0" presId="urn:microsoft.com/office/officeart/2005/8/layout/hierarchy1"/>
    <dgm:cxn modelId="{EC207BA4-080B-4782-9079-BBC2DEBC18CF}" type="presOf" srcId="{BC2DBBC9-013C-4D2C-B118-BF89F157722B}" destId="{2C51908C-8D77-448C-A71E-62643A003BE1}" srcOrd="0" destOrd="0" presId="urn:microsoft.com/office/officeart/2005/8/layout/hierarchy1"/>
    <dgm:cxn modelId="{FFDCE1C1-4593-4D47-82FB-4F718A46B21A}" type="presOf" srcId="{BADCE36F-C7B1-4807-ABB9-B472B50AB0FC}" destId="{16D93DC2-39B2-448B-A8CD-C4E68C78565D}" srcOrd="0" destOrd="0" presId="urn:microsoft.com/office/officeart/2005/8/layout/hierarchy1"/>
    <dgm:cxn modelId="{C7B9E9AD-E53A-40F8-985C-A48E24224A00}" type="presOf" srcId="{2780EE34-C120-4158-8158-9463CC6BE3EC}" destId="{EB67CBA2-8B9F-452D-81E1-7038C8831B6E}" srcOrd="0" destOrd="0" presId="urn:microsoft.com/office/officeart/2005/8/layout/hierarchy1"/>
    <dgm:cxn modelId="{994CEC4E-5B97-45CF-B052-F186C76AA09F}" type="presOf" srcId="{FC17C305-7B29-4BBA-837D-B1DF16713D71}" destId="{DDAB70BF-6439-4B96-97B0-60F6C5CA0989}" srcOrd="0" destOrd="0" presId="urn:microsoft.com/office/officeart/2005/8/layout/hierarchy1"/>
    <dgm:cxn modelId="{AC75B904-F534-428E-88ED-6702CB78C39F}" type="presOf" srcId="{503607CA-6865-4F04-B156-85129C674E6F}" destId="{680B1320-1DB7-4587-B839-7929E40AA2DA}" srcOrd="0" destOrd="0" presId="urn:microsoft.com/office/officeart/2005/8/layout/hierarchy1"/>
    <dgm:cxn modelId="{92B8E43C-DC89-4E45-8195-3CCC0E29C29C}" srcId="{A861A361-6104-4E9F-A59F-F33D6E2CF1DF}" destId="{A133F707-24A4-4AB2-BFE1-43F6D9279386}" srcOrd="0" destOrd="0" parTransId="{98A508CC-A72A-4D99-B2F6-4A44A75EF2BE}" sibTransId="{51855295-315C-4E0B-8FB8-BC3AEB82DE5D}"/>
    <dgm:cxn modelId="{160A8E97-0A77-4BAA-BA9B-DC3AA7DF688C}" srcId="{FC17C305-7B29-4BBA-837D-B1DF16713D71}" destId="{857214D1-5254-440F-BA77-01C8AF3B8562}" srcOrd="2" destOrd="0" parTransId="{8D1988AF-A6B2-4B84-ACB4-D9167009ECDB}" sibTransId="{1777EF6A-AE0F-44CD-869E-C16D863E8ED8}"/>
    <dgm:cxn modelId="{BFB838E7-4852-46D4-995F-E585C48076EF}" srcId="{19B198AD-A74B-4003-A278-B4D534B8A106}" destId="{A861A361-6104-4E9F-A59F-F33D6E2CF1DF}" srcOrd="0" destOrd="0" parTransId="{6B31A3D4-F363-42E4-A0B1-08E9818513CB}" sibTransId="{25F149CA-B1EC-4ED6-8A94-B0350C561743}"/>
    <dgm:cxn modelId="{B83D0829-D2E9-4650-A620-A4853D41F388}" type="presOf" srcId="{A861A361-6104-4E9F-A59F-F33D6E2CF1DF}" destId="{1895C276-AA35-40C8-B6F8-5E8A0F5C636D}" srcOrd="0" destOrd="0" presId="urn:microsoft.com/office/officeart/2005/8/layout/hierarchy1"/>
    <dgm:cxn modelId="{80474C79-875F-4765-B8DB-B9B87338AAF5}" srcId="{FC17C305-7B29-4BBA-837D-B1DF16713D71}" destId="{41B79595-CA14-4676-8417-9E163C8A8502}" srcOrd="0" destOrd="0" parTransId="{F0D9F16F-DD29-4A24-A9B9-979C66424D26}" sibTransId="{72FF35FC-26F0-4547-9832-384D8C09A4A6}"/>
    <dgm:cxn modelId="{73D09E9E-8074-4F75-B45E-D9AB99FB32EF}" type="presOf" srcId="{A3D438C6-E475-4B0D-8CB6-1C50DD0C28AE}" destId="{B1963CB9-022E-4460-B556-08DE408650D0}" srcOrd="0" destOrd="0" presId="urn:microsoft.com/office/officeart/2005/8/layout/hierarchy1"/>
    <dgm:cxn modelId="{9B35D3F4-7DAF-4A4F-B896-F88CD72BE677}" type="presOf" srcId="{5CAA39E9-1DA0-48BE-8F75-57537C05250D}" destId="{18994C29-F3CC-482E-B7AE-474452D86D0E}" srcOrd="0" destOrd="0" presId="urn:microsoft.com/office/officeart/2005/8/layout/hierarchy1"/>
    <dgm:cxn modelId="{5407D4C2-E9FD-4D3C-95E7-1B0FE6F6F1C6}" type="presOf" srcId="{58A98420-DB48-4B6D-960A-535E54DFC12D}" destId="{1E374B5F-7130-4FCA-A3CD-85208158D0A8}" srcOrd="0" destOrd="0" presId="urn:microsoft.com/office/officeart/2005/8/layout/hierarchy1"/>
    <dgm:cxn modelId="{04E90E27-2659-436E-9B78-C0D47DAC5449}" srcId="{A861A361-6104-4E9F-A59F-F33D6E2CF1DF}" destId="{EB763994-5B39-42BB-A05D-3A5BC6D56EAB}" srcOrd="2" destOrd="0" parTransId="{A3D438C6-E475-4B0D-8CB6-1C50DD0C28AE}" sibTransId="{126DBF77-4F82-45AC-8BE8-8D1D09D8F79D}"/>
    <dgm:cxn modelId="{5F652C5A-AA61-4E04-9D59-FF6AC35F5CC4}" srcId="{FC17C305-7B29-4BBA-837D-B1DF16713D71}" destId="{5CAA39E9-1DA0-48BE-8F75-57537C05250D}" srcOrd="3" destOrd="0" parTransId="{58A98420-DB48-4B6D-960A-535E54DFC12D}" sibTransId="{4FE194F5-3555-4DE3-9CF5-C46122D40A88}"/>
    <dgm:cxn modelId="{4C01EA2F-8D81-428E-869D-95A9CED82E98}" type="presOf" srcId="{67411EA8-D56E-4CAF-B12A-9B7215D11F7C}" destId="{D74E3AB5-1948-427F-9840-B8518F2F4FB9}" srcOrd="0" destOrd="0" presId="urn:microsoft.com/office/officeart/2005/8/layout/hierarchy1"/>
    <dgm:cxn modelId="{74F92E17-D39C-40D0-883D-8200909E4901}" type="presOf" srcId="{22CF71DC-4809-423D-BD10-DBCA299E45D9}" destId="{D104990B-237D-4FF2-9873-97A2D87348ED}" srcOrd="0" destOrd="0" presId="urn:microsoft.com/office/officeart/2005/8/layout/hierarchy1"/>
    <dgm:cxn modelId="{0F7417D1-0FFF-4C87-A48E-F3571A787B24}" srcId="{EB763994-5B39-42BB-A05D-3A5BC6D56EAB}" destId="{2780EE34-C120-4158-8158-9463CC6BE3EC}" srcOrd="3" destOrd="0" parTransId="{C08869E9-87ED-43E3-8B85-20BA11758808}" sibTransId="{59BDEE79-0240-4271-97CD-32F25B6AE976}"/>
    <dgm:cxn modelId="{CDBB7EF1-79B0-4BAA-A11A-5CE780DD72B7}" type="presOf" srcId="{E33EB166-E9D3-4698-89EC-E7300F59CEC5}" destId="{B847F305-7F07-4AA8-AA24-660E60124963}" srcOrd="0" destOrd="0" presId="urn:microsoft.com/office/officeart/2005/8/layout/hierarchy1"/>
    <dgm:cxn modelId="{78DD6DB4-91C6-45CD-8C0E-64049C1BE247}" type="presOf" srcId="{F0D9F16F-DD29-4A24-A9B9-979C66424D26}" destId="{3EA92083-7C3A-4B88-85E1-F57E0C8D7FA6}" srcOrd="0" destOrd="0" presId="urn:microsoft.com/office/officeart/2005/8/layout/hierarchy1"/>
    <dgm:cxn modelId="{50C8CEFB-24DC-46B3-AB4B-881B3054F5D7}" type="presOf" srcId="{857214D1-5254-440F-BA77-01C8AF3B8562}" destId="{31D5F783-9E4E-4989-BF1B-15F4C80516BB}" srcOrd="0" destOrd="0" presId="urn:microsoft.com/office/officeart/2005/8/layout/hierarchy1"/>
    <dgm:cxn modelId="{D04E14F4-8A6C-427B-99AD-35F04EC5AD2C}" type="presOf" srcId="{8D1988AF-A6B2-4B84-ACB4-D9167009ECDB}" destId="{97A3CE0E-E827-400E-AC20-E59A31948BED}" srcOrd="0" destOrd="0" presId="urn:microsoft.com/office/officeart/2005/8/layout/hierarchy1"/>
    <dgm:cxn modelId="{71F4C847-77A1-46FD-94E2-B496C32774FF}" srcId="{A861A361-6104-4E9F-A59F-F33D6E2CF1DF}" destId="{FC17C305-7B29-4BBA-837D-B1DF16713D71}" srcOrd="1" destOrd="0" parTransId="{22CF71DC-4809-423D-BD10-DBCA299E45D9}" sibTransId="{AB1ECF49-07E0-4569-B659-DE41E5D9846E}"/>
    <dgm:cxn modelId="{3013F390-2813-4747-BBE8-B8CC66268BC2}" type="presOf" srcId="{8A22247A-8C3D-4DFF-9F44-B7DF216F99F1}" destId="{403FCF2F-78A2-42A8-AACE-D743E8479898}" srcOrd="0" destOrd="0" presId="urn:microsoft.com/office/officeart/2005/8/layout/hierarchy1"/>
    <dgm:cxn modelId="{D8C23939-E057-4D08-B8E2-E94FB725C431}" srcId="{EB763994-5B39-42BB-A05D-3A5BC6D56EAB}" destId="{6132D084-7101-43BD-8C1A-6BFD13557081}" srcOrd="2" destOrd="0" parTransId="{67411EA8-D56E-4CAF-B12A-9B7215D11F7C}" sibTransId="{4F5FD4A9-0F99-4426-B53E-5B2ED9BA18A5}"/>
    <dgm:cxn modelId="{770BE0A2-EE38-408F-B931-FA83780FCC37}" type="presParOf" srcId="{D7325220-A64D-4C9C-BE3E-47729DCAFF19}" destId="{A139DE0A-D8C9-44C7-AEEC-A4C6CBA8ABB5}" srcOrd="0" destOrd="0" presId="urn:microsoft.com/office/officeart/2005/8/layout/hierarchy1"/>
    <dgm:cxn modelId="{1638E8E0-969D-438D-A52C-8199D18A03D5}" type="presParOf" srcId="{A139DE0A-D8C9-44C7-AEEC-A4C6CBA8ABB5}" destId="{C8C43042-ED93-4D8F-A92D-F4C721FBABE6}" srcOrd="0" destOrd="0" presId="urn:microsoft.com/office/officeart/2005/8/layout/hierarchy1"/>
    <dgm:cxn modelId="{21359E8C-FA02-4D7A-9065-3DA016B1D6F7}" type="presParOf" srcId="{C8C43042-ED93-4D8F-A92D-F4C721FBABE6}" destId="{6268BD84-A568-45BE-9925-21051F26AD9F}" srcOrd="0" destOrd="0" presId="urn:microsoft.com/office/officeart/2005/8/layout/hierarchy1"/>
    <dgm:cxn modelId="{577604CF-E229-4613-9318-2E32A7654BC6}" type="presParOf" srcId="{C8C43042-ED93-4D8F-A92D-F4C721FBABE6}" destId="{1895C276-AA35-40C8-B6F8-5E8A0F5C636D}" srcOrd="1" destOrd="0" presId="urn:microsoft.com/office/officeart/2005/8/layout/hierarchy1"/>
    <dgm:cxn modelId="{48CE958E-23D6-4B6D-A13D-5F412C24390F}" type="presParOf" srcId="{A139DE0A-D8C9-44C7-AEEC-A4C6CBA8ABB5}" destId="{73198CDA-76ED-41A8-9994-BCAC0E7A2E2C}" srcOrd="1" destOrd="0" presId="urn:microsoft.com/office/officeart/2005/8/layout/hierarchy1"/>
    <dgm:cxn modelId="{2D9CD1EB-2568-4E38-973D-D5B5D7A4C04B}" type="presParOf" srcId="{73198CDA-76ED-41A8-9994-BCAC0E7A2E2C}" destId="{CC01917C-B98C-4439-9DC8-7BADDD14218A}" srcOrd="0" destOrd="0" presId="urn:microsoft.com/office/officeart/2005/8/layout/hierarchy1"/>
    <dgm:cxn modelId="{26731905-76D7-40E3-B90E-A378310CFA80}" type="presParOf" srcId="{73198CDA-76ED-41A8-9994-BCAC0E7A2E2C}" destId="{50317FAA-17E1-4858-865F-3CA0F95A40C3}" srcOrd="1" destOrd="0" presId="urn:microsoft.com/office/officeart/2005/8/layout/hierarchy1"/>
    <dgm:cxn modelId="{3CC8CBC4-6492-4BED-918C-234C79DCD0C2}" type="presParOf" srcId="{50317FAA-17E1-4858-865F-3CA0F95A40C3}" destId="{E517A3D0-476C-4E70-A152-B194BDCA89F3}" srcOrd="0" destOrd="0" presId="urn:microsoft.com/office/officeart/2005/8/layout/hierarchy1"/>
    <dgm:cxn modelId="{080983D2-27EE-4AC6-8CB7-D29E745BA99C}" type="presParOf" srcId="{E517A3D0-476C-4E70-A152-B194BDCA89F3}" destId="{85DEFB32-BE7A-49EF-A63D-3B913C76EF49}" srcOrd="0" destOrd="0" presId="urn:microsoft.com/office/officeart/2005/8/layout/hierarchy1"/>
    <dgm:cxn modelId="{12D4656D-CE9D-40E4-8D36-C8E5E006B4DB}" type="presParOf" srcId="{E517A3D0-476C-4E70-A152-B194BDCA89F3}" destId="{23B232FB-4F42-44F4-BF43-8CDB05BF3107}" srcOrd="1" destOrd="0" presId="urn:microsoft.com/office/officeart/2005/8/layout/hierarchy1"/>
    <dgm:cxn modelId="{DFDFEEA5-E0DB-4EBD-ACAC-DC909D7F098F}" type="presParOf" srcId="{50317FAA-17E1-4858-865F-3CA0F95A40C3}" destId="{E84E65AD-6C1F-425E-8D81-CA324F78DFE4}" srcOrd="1" destOrd="0" presId="urn:microsoft.com/office/officeart/2005/8/layout/hierarchy1"/>
    <dgm:cxn modelId="{2ABDDA11-EEE7-44FF-BECA-BAD0B9BD46D4}" type="presParOf" srcId="{73198CDA-76ED-41A8-9994-BCAC0E7A2E2C}" destId="{D104990B-237D-4FF2-9873-97A2D87348ED}" srcOrd="2" destOrd="0" presId="urn:microsoft.com/office/officeart/2005/8/layout/hierarchy1"/>
    <dgm:cxn modelId="{06815A33-634F-4A50-BE20-698E7EC73920}" type="presParOf" srcId="{73198CDA-76ED-41A8-9994-BCAC0E7A2E2C}" destId="{76659F5E-B570-466A-BEDA-1794D76B4CEE}" srcOrd="3" destOrd="0" presId="urn:microsoft.com/office/officeart/2005/8/layout/hierarchy1"/>
    <dgm:cxn modelId="{9DC37A76-36E3-46B5-ACA9-48218E7815B4}" type="presParOf" srcId="{76659F5E-B570-466A-BEDA-1794D76B4CEE}" destId="{48462E5F-DE3A-4D5A-BDBF-2F328276DBD1}" srcOrd="0" destOrd="0" presId="urn:microsoft.com/office/officeart/2005/8/layout/hierarchy1"/>
    <dgm:cxn modelId="{C2F46CFF-6562-41FF-8D03-0C5A32436B61}" type="presParOf" srcId="{48462E5F-DE3A-4D5A-BDBF-2F328276DBD1}" destId="{1FD81437-32DD-4FB7-B9F1-80134D5EC389}" srcOrd="0" destOrd="0" presId="urn:microsoft.com/office/officeart/2005/8/layout/hierarchy1"/>
    <dgm:cxn modelId="{688FEA23-DF1E-4114-B759-BBD0D4B3AC38}" type="presParOf" srcId="{48462E5F-DE3A-4D5A-BDBF-2F328276DBD1}" destId="{DDAB70BF-6439-4B96-97B0-60F6C5CA0989}" srcOrd="1" destOrd="0" presId="urn:microsoft.com/office/officeart/2005/8/layout/hierarchy1"/>
    <dgm:cxn modelId="{76F95B3E-86A9-43DD-976A-9F8EFB6B1C50}" type="presParOf" srcId="{76659F5E-B570-466A-BEDA-1794D76B4CEE}" destId="{AAE70507-DC9E-444B-8B71-290CEBD73451}" srcOrd="1" destOrd="0" presId="urn:microsoft.com/office/officeart/2005/8/layout/hierarchy1"/>
    <dgm:cxn modelId="{4828B253-7FFB-47E2-B048-E0841FE7D884}" type="presParOf" srcId="{AAE70507-DC9E-444B-8B71-290CEBD73451}" destId="{3EA92083-7C3A-4B88-85E1-F57E0C8D7FA6}" srcOrd="0" destOrd="0" presId="urn:microsoft.com/office/officeart/2005/8/layout/hierarchy1"/>
    <dgm:cxn modelId="{0DF15D8F-5441-4B52-8852-724DED09B425}" type="presParOf" srcId="{AAE70507-DC9E-444B-8B71-290CEBD73451}" destId="{BEE319FD-F7D4-47DF-8C82-4C34E1C2130D}" srcOrd="1" destOrd="0" presId="urn:microsoft.com/office/officeart/2005/8/layout/hierarchy1"/>
    <dgm:cxn modelId="{A62D838D-DB04-415A-9A4A-5FC7E5F9DEF8}" type="presParOf" srcId="{BEE319FD-F7D4-47DF-8C82-4C34E1C2130D}" destId="{D4B4E048-5165-4E3B-A942-4571DB2D30D2}" srcOrd="0" destOrd="0" presId="urn:microsoft.com/office/officeart/2005/8/layout/hierarchy1"/>
    <dgm:cxn modelId="{F12DB8B7-6036-4646-9D61-CD0DF717536F}" type="presParOf" srcId="{D4B4E048-5165-4E3B-A942-4571DB2D30D2}" destId="{A6D4EC09-AA83-4D3F-A690-EA6940DD91E2}" srcOrd="0" destOrd="0" presId="urn:microsoft.com/office/officeart/2005/8/layout/hierarchy1"/>
    <dgm:cxn modelId="{D5EA6A64-58C5-4206-BC53-F5BDFCB2C100}" type="presParOf" srcId="{D4B4E048-5165-4E3B-A942-4571DB2D30D2}" destId="{9940652B-6804-4E45-ACFF-161929A85173}" srcOrd="1" destOrd="0" presId="urn:microsoft.com/office/officeart/2005/8/layout/hierarchy1"/>
    <dgm:cxn modelId="{E4C7E31D-2DBA-4B3A-89BA-8E77D6D9AF2A}" type="presParOf" srcId="{BEE319FD-F7D4-47DF-8C82-4C34E1C2130D}" destId="{818A0F02-540E-48F0-B2B1-D34BAA1EB0DE}" srcOrd="1" destOrd="0" presId="urn:microsoft.com/office/officeart/2005/8/layout/hierarchy1"/>
    <dgm:cxn modelId="{F235F601-1C1D-4E28-B76B-E90748FCDB5C}" type="presParOf" srcId="{AAE70507-DC9E-444B-8B71-290CEBD73451}" destId="{B847F305-7F07-4AA8-AA24-660E60124963}" srcOrd="2" destOrd="0" presId="urn:microsoft.com/office/officeart/2005/8/layout/hierarchy1"/>
    <dgm:cxn modelId="{5E6E3C6B-E0D5-4126-B2A1-60D080E5237E}" type="presParOf" srcId="{AAE70507-DC9E-444B-8B71-290CEBD73451}" destId="{54B0CB40-6D3D-46B4-A36F-0A498A2ECCE7}" srcOrd="3" destOrd="0" presId="urn:microsoft.com/office/officeart/2005/8/layout/hierarchy1"/>
    <dgm:cxn modelId="{1C52F1CE-5869-483A-A1A3-7A380E35CE35}" type="presParOf" srcId="{54B0CB40-6D3D-46B4-A36F-0A498A2ECCE7}" destId="{6A542A00-1905-4EB1-B8A2-65FCCCAFD7D0}" srcOrd="0" destOrd="0" presId="urn:microsoft.com/office/officeart/2005/8/layout/hierarchy1"/>
    <dgm:cxn modelId="{6DB51837-CD45-4B6C-8C2C-28DDB9319330}" type="presParOf" srcId="{6A542A00-1905-4EB1-B8A2-65FCCCAFD7D0}" destId="{B6600944-6099-44D3-A1EC-14E3976FFB4F}" srcOrd="0" destOrd="0" presId="urn:microsoft.com/office/officeart/2005/8/layout/hierarchy1"/>
    <dgm:cxn modelId="{3361F64C-17B3-4D6B-8089-AFCA1B5AF70B}" type="presParOf" srcId="{6A542A00-1905-4EB1-B8A2-65FCCCAFD7D0}" destId="{16D93DC2-39B2-448B-A8CD-C4E68C78565D}" srcOrd="1" destOrd="0" presId="urn:microsoft.com/office/officeart/2005/8/layout/hierarchy1"/>
    <dgm:cxn modelId="{662008A4-0900-45DA-95F5-9B57B192729D}" type="presParOf" srcId="{54B0CB40-6D3D-46B4-A36F-0A498A2ECCE7}" destId="{3646FE23-FA55-4C90-BEBA-D058453B333E}" srcOrd="1" destOrd="0" presId="urn:microsoft.com/office/officeart/2005/8/layout/hierarchy1"/>
    <dgm:cxn modelId="{8A655B69-FAE8-4E68-8DFD-969074651C9A}" type="presParOf" srcId="{AAE70507-DC9E-444B-8B71-290CEBD73451}" destId="{97A3CE0E-E827-400E-AC20-E59A31948BED}" srcOrd="4" destOrd="0" presId="urn:microsoft.com/office/officeart/2005/8/layout/hierarchy1"/>
    <dgm:cxn modelId="{B191B008-ED7B-4A83-ADBB-4DD189630DD3}" type="presParOf" srcId="{AAE70507-DC9E-444B-8B71-290CEBD73451}" destId="{AA66E889-752D-4E3B-9D2E-30CDB8A0F07F}" srcOrd="5" destOrd="0" presId="urn:microsoft.com/office/officeart/2005/8/layout/hierarchy1"/>
    <dgm:cxn modelId="{CBF03311-DA04-43C4-A0DA-140C9863A9C2}" type="presParOf" srcId="{AA66E889-752D-4E3B-9D2E-30CDB8A0F07F}" destId="{E5F2E7E3-A7B6-4AEB-958A-027E84A152D6}" srcOrd="0" destOrd="0" presId="urn:microsoft.com/office/officeart/2005/8/layout/hierarchy1"/>
    <dgm:cxn modelId="{6EACA839-B518-49FF-86BC-C4F4CCA7F27F}" type="presParOf" srcId="{E5F2E7E3-A7B6-4AEB-958A-027E84A152D6}" destId="{DF6EF34B-0496-43C9-ADB5-6208B8249F33}" srcOrd="0" destOrd="0" presId="urn:microsoft.com/office/officeart/2005/8/layout/hierarchy1"/>
    <dgm:cxn modelId="{11A0C100-7BF7-4CAC-814A-D302784DEC40}" type="presParOf" srcId="{E5F2E7E3-A7B6-4AEB-958A-027E84A152D6}" destId="{31D5F783-9E4E-4989-BF1B-15F4C80516BB}" srcOrd="1" destOrd="0" presId="urn:microsoft.com/office/officeart/2005/8/layout/hierarchy1"/>
    <dgm:cxn modelId="{A9EF2980-57DA-4B40-848A-DABBB4413E74}" type="presParOf" srcId="{AA66E889-752D-4E3B-9D2E-30CDB8A0F07F}" destId="{D3EB8E8E-31D2-4B08-89B7-3E954B31AEE3}" srcOrd="1" destOrd="0" presId="urn:microsoft.com/office/officeart/2005/8/layout/hierarchy1"/>
    <dgm:cxn modelId="{3F7FEDA1-B3ED-4AEC-8B40-62F747629F8C}" type="presParOf" srcId="{AAE70507-DC9E-444B-8B71-290CEBD73451}" destId="{1E374B5F-7130-4FCA-A3CD-85208158D0A8}" srcOrd="6" destOrd="0" presId="urn:microsoft.com/office/officeart/2005/8/layout/hierarchy1"/>
    <dgm:cxn modelId="{BB56EF2F-5203-456A-A870-76305E026070}" type="presParOf" srcId="{AAE70507-DC9E-444B-8B71-290CEBD73451}" destId="{6636E311-34CC-4625-B816-CB3233E42DE8}" srcOrd="7" destOrd="0" presId="urn:microsoft.com/office/officeart/2005/8/layout/hierarchy1"/>
    <dgm:cxn modelId="{F111557C-CBFD-44C2-8967-EEE3D6CE52C9}" type="presParOf" srcId="{6636E311-34CC-4625-B816-CB3233E42DE8}" destId="{0AC605FE-6CDA-469B-8184-707FE43C0204}" srcOrd="0" destOrd="0" presId="urn:microsoft.com/office/officeart/2005/8/layout/hierarchy1"/>
    <dgm:cxn modelId="{93196BFE-BF48-4B14-8DA6-2CE09E02AE81}" type="presParOf" srcId="{0AC605FE-6CDA-469B-8184-707FE43C0204}" destId="{E4A0F962-CC22-494E-8FC9-573417576446}" srcOrd="0" destOrd="0" presId="urn:microsoft.com/office/officeart/2005/8/layout/hierarchy1"/>
    <dgm:cxn modelId="{56926756-50E3-4402-A30E-B3EE86FC5DBD}" type="presParOf" srcId="{0AC605FE-6CDA-469B-8184-707FE43C0204}" destId="{18994C29-F3CC-482E-B7AE-474452D86D0E}" srcOrd="1" destOrd="0" presId="urn:microsoft.com/office/officeart/2005/8/layout/hierarchy1"/>
    <dgm:cxn modelId="{E86B3297-390D-47D9-BEA5-4088911A8177}" type="presParOf" srcId="{6636E311-34CC-4625-B816-CB3233E42DE8}" destId="{F39C8F62-1AD2-4185-9F77-FF7DD261B5FF}" srcOrd="1" destOrd="0" presId="urn:microsoft.com/office/officeart/2005/8/layout/hierarchy1"/>
    <dgm:cxn modelId="{7153DB3C-12E0-4644-8863-32E6B36A1030}" type="presParOf" srcId="{73198CDA-76ED-41A8-9994-BCAC0E7A2E2C}" destId="{B1963CB9-022E-4460-B556-08DE408650D0}" srcOrd="4" destOrd="0" presId="urn:microsoft.com/office/officeart/2005/8/layout/hierarchy1"/>
    <dgm:cxn modelId="{B9CBAE12-A646-4056-B062-4595384BCCC3}" type="presParOf" srcId="{73198CDA-76ED-41A8-9994-BCAC0E7A2E2C}" destId="{8E7985BF-BBB9-4B7F-B602-DB2ECA7DDB68}" srcOrd="5" destOrd="0" presId="urn:microsoft.com/office/officeart/2005/8/layout/hierarchy1"/>
    <dgm:cxn modelId="{B72E348A-E0EE-4F4B-BA2C-1915ED6590D3}" type="presParOf" srcId="{8E7985BF-BBB9-4B7F-B602-DB2ECA7DDB68}" destId="{3F17CF7F-5B6E-4959-9D55-3B9730C4AD82}" srcOrd="0" destOrd="0" presId="urn:microsoft.com/office/officeart/2005/8/layout/hierarchy1"/>
    <dgm:cxn modelId="{6571C2C7-C09A-48D7-84C8-B881C083124C}" type="presParOf" srcId="{3F17CF7F-5B6E-4959-9D55-3B9730C4AD82}" destId="{8241670A-FF88-4C17-A2E9-6668B64D913C}" srcOrd="0" destOrd="0" presId="urn:microsoft.com/office/officeart/2005/8/layout/hierarchy1"/>
    <dgm:cxn modelId="{FAB28F7E-5CC2-48F2-BAF2-B1581EBAAADA}" type="presParOf" srcId="{3F17CF7F-5B6E-4959-9D55-3B9730C4AD82}" destId="{8965B807-1410-4D15-ABD0-B42298CF9F94}" srcOrd="1" destOrd="0" presId="urn:microsoft.com/office/officeart/2005/8/layout/hierarchy1"/>
    <dgm:cxn modelId="{AB96E7DB-4F9F-4184-A85C-B6C0D5CF7136}" type="presParOf" srcId="{8E7985BF-BBB9-4B7F-B602-DB2ECA7DDB68}" destId="{629DCEE9-B541-4851-852F-EDC5AB7C9413}" srcOrd="1" destOrd="0" presId="urn:microsoft.com/office/officeart/2005/8/layout/hierarchy1"/>
    <dgm:cxn modelId="{6F57A67B-EA7A-451A-BFDC-3192722F4158}" type="presParOf" srcId="{629DCEE9-B541-4851-852F-EDC5AB7C9413}" destId="{680B1320-1DB7-4587-B839-7929E40AA2DA}" srcOrd="0" destOrd="0" presId="urn:microsoft.com/office/officeart/2005/8/layout/hierarchy1"/>
    <dgm:cxn modelId="{FAA5031B-9F45-4EDE-BA29-7EAC6F1E984D}" type="presParOf" srcId="{629DCEE9-B541-4851-852F-EDC5AB7C9413}" destId="{8D541C95-6D7C-4F54-A1C9-34F3002CE080}" srcOrd="1" destOrd="0" presId="urn:microsoft.com/office/officeart/2005/8/layout/hierarchy1"/>
    <dgm:cxn modelId="{F0570542-EC1D-4EC2-B42B-6EDE8AB491DC}" type="presParOf" srcId="{8D541C95-6D7C-4F54-A1C9-34F3002CE080}" destId="{44F64C00-19BA-43CA-BFB3-39B6D2202DA7}" srcOrd="0" destOrd="0" presId="urn:microsoft.com/office/officeart/2005/8/layout/hierarchy1"/>
    <dgm:cxn modelId="{74986E20-1FBA-4F90-92CA-3DF29B0330D5}" type="presParOf" srcId="{44F64C00-19BA-43CA-BFB3-39B6D2202DA7}" destId="{2623E928-D869-4929-A568-6F9495285C94}" srcOrd="0" destOrd="0" presId="urn:microsoft.com/office/officeart/2005/8/layout/hierarchy1"/>
    <dgm:cxn modelId="{CFF27D69-33D0-42BD-9FD9-159058457C82}" type="presParOf" srcId="{44F64C00-19BA-43CA-BFB3-39B6D2202DA7}" destId="{403FCF2F-78A2-42A8-AACE-D743E8479898}" srcOrd="1" destOrd="0" presId="urn:microsoft.com/office/officeart/2005/8/layout/hierarchy1"/>
    <dgm:cxn modelId="{E08AF40C-871E-40E3-8B7C-3EE3D3C5590C}" type="presParOf" srcId="{8D541C95-6D7C-4F54-A1C9-34F3002CE080}" destId="{E18232D7-2B56-40AC-A7FE-8FD4D559B3D1}" srcOrd="1" destOrd="0" presId="urn:microsoft.com/office/officeart/2005/8/layout/hierarchy1"/>
    <dgm:cxn modelId="{CD1BD7BF-392E-453E-A9B0-134D2B9AD0D7}" type="presParOf" srcId="{629DCEE9-B541-4851-852F-EDC5AB7C9413}" destId="{4D0B728E-6946-48F0-96B5-8814755334D5}" srcOrd="2" destOrd="0" presId="urn:microsoft.com/office/officeart/2005/8/layout/hierarchy1"/>
    <dgm:cxn modelId="{D8401ECB-FBC2-4F07-9B56-DA8E2D847070}" type="presParOf" srcId="{629DCEE9-B541-4851-852F-EDC5AB7C9413}" destId="{AAEBD1E6-49B6-43A5-A5D3-E751D4FFDE1F}" srcOrd="3" destOrd="0" presId="urn:microsoft.com/office/officeart/2005/8/layout/hierarchy1"/>
    <dgm:cxn modelId="{AAEE9D37-99C7-4ED7-8C5D-E3182DFD004F}" type="presParOf" srcId="{AAEBD1E6-49B6-43A5-A5D3-E751D4FFDE1F}" destId="{3F9FA4C6-58CF-42E9-9F47-19F2F23631F5}" srcOrd="0" destOrd="0" presId="urn:microsoft.com/office/officeart/2005/8/layout/hierarchy1"/>
    <dgm:cxn modelId="{FFEA6FFA-4089-4100-8A39-4B96EA50E1EE}" type="presParOf" srcId="{3F9FA4C6-58CF-42E9-9F47-19F2F23631F5}" destId="{3018444C-0325-4C50-8DF0-CDF9EC6EB5D1}" srcOrd="0" destOrd="0" presId="urn:microsoft.com/office/officeart/2005/8/layout/hierarchy1"/>
    <dgm:cxn modelId="{B3CC4B91-8BD6-4B76-911B-2AACCC96AABD}" type="presParOf" srcId="{3F9FA4C6-58CF-42E9-9F47-19F2F23631F5}" destId="{2C51908C-8D77-448C-A71E-62643A003BE1}" srcOrd="1" destOrd="0" presId="urn:microsoft.com/office/officeart/2005/8/layout/hierarchy1"/>
    <dgm:cxn modelId="{4BDCB5C3-A600-4CF4-9F0E-582C24633B26}" type="presParOf" srcId="{AAEBD1E6-49B6-43A5-A5D3-E751D4FFDE1F}" destId="{3C9C70DC-0B15-4183-9155-4FC3E6FFB67C}" srcOrd="1" destOrd="0" presId="urn:microsoft.com/office/officeart/2005/8/layout/hierarchy1"/>
    <dgm:cxn modelId="{DF4305F9-0CF1-4B6D-BF70-E5504483E9D2}" type="presParOf" srcId="{629DCEE9-B541-4851-852F-EDC5AB7C9413}" destId="{D74E3AB5-1948-427F-9840-B8518F2F4FB9}" srcOrd="4" destOrd="0" presId="urn:microsoft.com/office/officeart/2005/8/layout/hierarchy1"/>
    <dgm:cxn modelId="{5C5966ED-0FD9-40FB-A5A3-7F3360E5A5DD}" type="presParOf" srcId="{629DCEE9-B541-4851-852F-EDC5AB7C9413}" destId="{896468E6-DD55-4953-A454-971047F9529A}" srcOrd="5" destOrd="0" presId="urn:microsoft.com/office/officeart/2005/8/layout/hierarchy1"/>
    <dgm:cxn modelId="{FC681AC9-1189-4DA7-AAA9-B304A07C17A6}" type="presParOf" srcId="{896468E6-DD55-4953-A454-971047F9529A}" destId="{D422A114-7163-47F0-9157-CEA11A0F7099}" srcOrd="0" destOrd="0" presId="urn:microsoft.com/office/officeart/2005/8/layout/hierarchy1"/>
    <dgm:cxn modelId="{5AA4E181-8A3B-42C4-AB0D-66F11B21DABC}" type="presParOf" srcId="{D422A114-7163-47F0-9157-CEA11A0F7099}" destId="{F2DA9060-FDE3-458A-9B6B-18530267B9B7}" srcOrd="0" destOrd="0" presId="urn:microsoft.com/office/officeart/2005/8/layout/hierarchy1"/>
    <dgm:cxn modelId="{24ECC3DB-6547-4502-93A8-DC217EAEA105}" type="presParOf" srcId="{D422A114-7163-47F0-9157-CEA11A0F7099}" destId="{D2F4B6C3-9413-4116-8C85-A5917CE6C6AF}" srcOrd="1" destOrd="0" presId="urn:microsoft.com/office/officeart/2005/8/layout/hierarchy1"/>
    <dgm:cxn modelId="{6619B574-B045-4B0B-BE16-2207E8BC38B0}" type="presParOf" srcId="{896468E6-DD55-4953-A454-971047F9529A}" destId="{407A8514-93D7-4963-A9FC-560B8C676417}" srcOrd="1" destOrd="0" presId="urn:microsoft.com/office/officeart/2005/8/layout/hierarchy1"/>
    <dgm:cxn modelId="{5455345A-3F09-4038-825A-268AD893B33C}" type="presParOf" srcId="{629DCEE9-B541-4851-852F-EDC5AB7C9413}" destId="{8CC87349-3CC3-406B-AC5F-79D38ED0CAD5}" srcOrd="6" destOrd="0" presId="urn:microsoft.com/office/officeart/2005/8/layout/hierarchy1"/>
    <dgm:cxn modelId="{3FFB9B12-5BF5-4D78-AE18-D0A8E20A51FD}" type="presParOf" srcId="{629DCEE9-B541-4851-852F-EDC5AB7C9413}" destId="{261C939E-7867-4B22-B897-2C948AFEAE9C}" srcOrd="7" destOrd="0" presId="urn:microsoft.com/office/officeart/2005/8/layout/hierarchy1"/>
    <dgm:cxn modelId="{DB2C2A4B-DBBC-45E4-B16F-E5EBB6E7748C}" type="presParOf" srcId="{261C939E-7867-4B22-B897-2C948AFEAE9C}" destId="{F79BCC14-F12C-4F2A-B7FF-E300137D090D}" srcOrd="0" destOrd="0" presId="urn:microsoft.com/office/officeart/2005/8/layout/hierarchy1"/>
    <dgm:cxn modelId="{5E6E801F-CCC1-49C5-95F2-CB8038E1756D}" type="presParOf" srcId="{F79BCC14-F12C-4F2A-B7FF-E300137D090D}" destId="{9CE29F2A-FBB2-4730-9698-D97B017C3225}" srcOrd="0" destOrd="0" presId="urn:microsoft.com/office/officeart/2005/8/layout/hierarchy1"/>
    <dgm:cxn modelId="{51B62AF0-8862-46C4-9C14-592DD6503903}" type="presParOf" srcId="{F79BCC14-F12C-4F2A-B7FF-E300137D090D}" destId="{EB67CBA2-8B9F-452D-81E1-7038C8831B6E}" srcOrd="1" destOrd="0" presId="urn:microsoft.com/office/officeart/2005/8/layout/hierarchy1"/>
    <dgm:cxn modelId="{3E1E9A9D-E761-4B7D-AB16-08B88A1C07E3}" type="presParOf" srcId="{261C939E-7867-4B22-B897-2C948AFEAE9C}" destId="{7CB325D2-419C-4586-9EDD-FFE41DB2DCBC}" srcOrd="1" destOrd="0" presId="urn:microsoft.com/office/officeart/2005/8/layout/hierarchy1"/>
  </dgm:cxnLst>
  <dgm:bg/>
  <dgm:whole/>
  <dgm:extLst>
    <a:ext uri="http://schemas.microsoft.com/office/drawing/2008/diagram">
      <dsp:dataModelExt xmlns:dsp="http://schemas.microsoft.com/office/drawing/2008/diagram" relId="rId16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CC87349-3CC3-406B-AC5F-79D38ED0CAD5}">
      <dsp:nvSpPr>
        <dsp:cNvPr id="0" name=""/>
        <dsp:cNvSpPr/>
      </dsp:nvSpPr>
      <dsp:spPr>
        <a:xfrm>
          <a:off x="7124776" y="1989547"/>
          <a:ext cx="1739360" cy="268740"/>
        </a:xfrm>
        <a:custGeom>
          <a:avLst/>
          <a:gdLst/>
          <a:ahLst/>
          <a:cxnLst/>
          <a:rect l="0" t="0" r="0" b="0"/>
          <a:pathLst>
            <a:path>
              <a:moveTo>
                <a:pt x="0" y="0"/>
              </a:moveTo>
              <a:lnTo>
                <a:pt x="0" y="183138"/>
              </a:lnTo>
              <a:lnTo>
                <a:pt x="1739360" y="183138"/>
              </a:lnTo>
              <a:lnTo>
                <a:pt x="1739360" y="26874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74E3AB5-1948-427F-9840-B8518F2F4FB9}">
      <dsp:nvSpPr>
        <dsp:cNvPr id="0" name=""/>
        <dsp:cNvSpPr/>
      </dsp:nvSpPr>
      <dsp:spPr>
        <a:xfrm>
          <a:off x="7124776" y="1989547"/>
          <a:ext cx="609984" cy="268740"/>
        </a:xfrm>
        <a:custGeom>
          <a:avLst/>
          <a:gdLst/>
          <a:ahLst/>
          <a:cxnLst/>
          <a:rect l="0" t="0" r="0" b="0"/>
          <a:pathLst>
            <a:path>
              <a:moveTo>
                <a:pt x="0" y="0"/>
              </a:moveTo>
              <a:lnTo>
                <a:pt x="0" y="183138"/>
              </a:lnTo>
              <a:lnTo>
                <a:pt x="609984" y="183138"/>
              </a:lnTo>
              <a:lnTo>
                <a:pt x="609984" y="26874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D0B728E-6946-48F0-96B5-8814755334D5}">
      <dsp:nvSpPr>
        <dsp:cNvPr id="0" name=""/>
        <dsp:cNvSpPr/>
      </dsp:nvSpPr>
      <dsp:spPr>
        <a:xfrm>
          <a:off x="6605384" y="1989547"/>
          <a:ext cx="519391" cy="268740"/>
        </a:xfrm>
        <a:custGeom>
          <a:avLst/>
          <a:gdLst/>
          <a:ahLst/>
          <a:cxnLst/>
          <a:rect l="0" t="0" r="0" b="0"/>
          <a:pathLst>
            <a:path>
              <a:moveTo>
                <a:pt x="519391" y="0"/>
              </a:moveTo>
              <a:lnTo>
                <a:pt x="519391" y="183138"/>
              </a:lnTo>
              <a:lnTo>
                <a:pt x="0" y="183138"/>
              </a:lnTo>
              <a:lnTo>
                <a:pt x="0" y="26874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80B1320-1DB7-4587-B839-7929E40AA2DA}">
      <dsp:nvSpPr>
        <dsp:cNvPr id="0" name=""/>
        <dsp:cNvSpPr/>
      </dsp:nvSpPr>
      <dsp:spPr>
        <a:xfrm>
          <a:off x="5430712" y="1989547"/>
          <a:ext cx="1694063" cy="268740"/>
        </a:xfrm>
        <a:custGeom>
          <a:avLst/>
          <a:gdLst/>
          <a:ahLst/>
          <a:cxnLst/>
          <a:rect l="0" t="0" r="0" b="0"/>
          <a:pathLst>
            <a:path>
              <a:moveTo>
                <a:pt x="1694063" y="0"/>
              </a:moveTo>
              <a:lnTo>
                <a:pt x="1694063" y="183138"/>
              </a:lnTo>
              <a:lnTo>
                <a:pt x="0" y="183138"/>
              </a:lnTo>
              <a:lnTo>
                <a:pt x="0" y="26874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1963CB9-022E-4460-B556-08DE408650D0}">
      <dsp:nvSpPr>
        <dsp:cNvPr id="0" name=""/>
        <dsp:cNvSpPr/>
      </dsp:nvSpPr>
      <dsp:spPr>
        <a:xfrm>
          <a:off x="4120142" y="1134045"/>
          <a:ext cx="3004633" cy="268740"/>
        </a:xfrm>
        <a:custGeom>
          <a:avLst/>
          <a:gdLst/>
          <a:ahLst/>
          <a:cxnLst/>
          <a:rect l="0" t="0" r="0" b="0"/>
          <a:pathLst>
            <a:path>
              <a:moveTo>
                <a:pt x="0" y="0"/>
              </a:moveTo>
              <a:lnTo>
                <a:pt x="0" y="183138"/>
              </a:lnTo>
              <a:lnTo>
                <a:pt x="3004633" y="183138"/>
              </a:lnTo>
              <a:lnTo>
                <a:pt x="3004633" y="26874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E374B5F-7130-4FCA-A3CD-85208158D0A8}">
      <dsp:nvSpPr>
        <dsp:cNvPr id="0" name=""/>
        <dsp:cNvSpPr/>
      </dsp:nvSpPr>
      <dsp:spPr>
        <a:xfrm>
          <a:off x="2359174" y="1989547"/>
          <a:ext cx="1694063" cy="268740"/>
        </a:xfrm>
        <a:custGeom>
          <a:avLst/>
          <a:gdLst/>
          <a:ahLst/>
          <a:cxnLst/>
          <a:rect l="0" t="0" r="0" b="0"/>
          <a:pathLst>
            <a:path>
              <a:moveTo>
                <a:pt x="0" y="0"/>
              </a:moveTo>
              <a:lnTo>
                <a:pt x="0" y="183138"/>
              </a:lnTo>
              <a:lnTo>
                <a:pt x="1694063" y="183138"/>
              </a:lnTo>
              <a:lnTo>
                <a:pt x="1694063" y="26874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7A3CE0E-E827-400E-AC20-E59A31948BED}">
      <dsp:nvSpPr>
        <dsp:cNvPr id="0" name=""/>
        <dsp:cNvSpPr/>
      </dsp:nvSpPr>
      <dsp:spPr>
        <a:xfrm>
          <a:off x="2359174" y="1989547"/>
          <a:ext cx="361885" cy="268740"/>
        </a:xfrm>
        <a:custGeom>
          <a:avLst/>
          <a:gdLst/>
          <a:ahLst/>
          <a:cxnLst/>
          <a:rect l="0" t="0" r="0" b="0"/>
          <a:pathLst>
            <a:path>
              <a:moveTo>
                <a:pt x="0" y="0"/>
              </a:moveTo>
              <a:lnTo>
                <a:pt x="0" y="183138"/>
              </a:lnTo>
              <a:lnTo>
                <a:pt x="361885" y="183138"/>
              </a:lnTo>
              <a:lnTo>
                <a:pt x="361885" y="26874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847F305-7F07-4AA8-AA24-660E60124963}">
      <dsp:nvSpPr>
        <dsp:cNvPr id="0" name=""/>
        <dsp:cNvSpPr/>
      </dsp:nvSpPr>
      <dsp:spPr>
        <a:xfrm>
          <a:off x="1591683" y="1989547"/>
          <a:ext cx="767490" cy="268740"/>
        </a:xfrm>
        <a:custGeom>
          <a:avLst/>
          <a:gdLst/>
          <a:ahLst/>
          <a:cxnLst/>
          <a:rect l="0" t="0" r="0" b="0"/>
          <a:pathLst>
            <a:path>
              <a:moveTo>
                <a:pt x="767490" y="0"/>
              </a:moveTo>
              <a:lnTo>
                <a:pt x="767490" y="183138"/>
              </a:lnTo>
              <a:lnTo>
                <a:pt x="0" y="183138"/>
              </a:lnTo>
              <a:lnTo>
                <a:pt x="0" y="26874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EA92083-7C3A-4B88-85E1-F57E0C8D7FA6}">
      <dsp:nvSpPr>
        <dsp:cNvPr id="0" name=""/>
        <dsp:cNvSpPr/>
      </dsp:nvSpPr>
      <dsp:spPr>
        <a:xfrm>
          <a:off x="462307" y="1989547"/>
          <a:ext cx="1896866" cy="268740"/>
        </a:xfrm>
        <a:custGeom>
          <a:avLst/>
          <a:gdLst/>
          <a:ahLst/>
          <a:cxnLst/>
          <a:rect l="0" t="0" r="0" b="0"/>
          <a:pathLst>
            <a:path>
              <a:moveTo>
                <a:pt x="1896866" y="0"/>
              </a:moveTo>
              <a:lnTo>
                <a:pt x="1896866" y="183138"/>
              </a:lnTo>
              <a:lnTo>
                <a:pt x="0" y="183138"/>
              </a:lnTo>
              <a:lnTo>
                <a:pt x="0" y="26874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104990B-237D-4FF2-9873-97A2D87348ED}">
      <dsp:nvSpPr>
        <dsp:cNvPr id="0" name=""/>
        <dsp:cNvSpPr/>
      </dsp:nvSpPr>
      <dsp:spPr>
        <a:xfrm>
          <a:off x="2359174" y="1134045"/>
          <a:ext cx="1760968" cy="268740"/>
        </a:xfrm>
        <a:custGeom>
          <a:avLst/>
          <a:gdLst/>
          <a:ahLst/>
          <a:cxnLst/>
          <a:rect l="0" t="0" r="0" b="0"/>
          <a:pathLst>
            <a:path>
              <a:moveTo>
                <a:pt x="1760968" y="0"/>
              </a:moveTo>
              <a:lnTo>
                <a:pt x="1760968" y="183138"/>
              </a:lnTo>
              <a:lnTo>
                <a:pt x="0" y="183138"/>
              </a:lnTo>
              <a:lnTo>
                <a:pt x="0" y="26874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C01917C-B98C-4439-9DC8-7BADDD14218A}">
      <dsp:nvSpPr>
        <dsp:cNvPr id="0" name=""/>
        <dsp:cNvSpPr/>
      </dsp:nvSpPr>
      <dsp:spPr>
        <a:xfrm>
          <a:off x="1115508" y="1134045"/>
          <a:ext cx="3004633" cy="268740"/>
        </a:xfrm>
        <a:custGeom>
          <a:avLst/>
          <a:gdLst/>
          <a:ahLst/>
          <a:cxnLst/>
          <a:rect l="0" t="0" r="0" b="0"/>
          <a:pathLst>
            <a:path>
              <a:moveTo>
                <a:pt x="3004633" y="0"/>
              </a:moveTo>
              <a:lnTo>
                <a:pt x="3004633" y="183138"/>
              </a:lnTo>
              <a:lnTo>
                <a:pt x="0" y="183138"/>
              </a:lnTo>
              <a:lnTo>
                <a:pt x="0" y="26874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268BD84-A568-45BE-9925-21051F26AD9F}">
      <dsp:nvSpPr>
        <dsp:cNvPr id="0" name=""/>
        <dsp:cNvSpPr/>
      </dsp:nvSpPr>
      <dsp:spPr>
        <a:xfrm>
          <a:off x="3456958" y="482939"/>
          <a:ext cx="1326368" cy="65110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895C276-AA35-40C8-B6F8-5E8A0F5C636D}">
      <dsp:nvSpPr>
        <dsp:cNvPr id="0" name=""/>
        <dsp:cNvSpPr/>
      </dsp:nvSpPr>
      <dsp:spPr>
        <a:xfrm>
          <a:off x="3559628" y="580476"/>
          <a:ext cx="1326368" cy="651106"/>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pt-BR" sz="1400" kern="1200">
              <a:latin typeface="Times New Roman" pitchFamily="18" charset="0"/>
              <a:cs typeface="Times New Roman" pitchFamily="18" charset="0"/>
            </a:rPr>
            <a:t>Diretoria</a:t>
          </a:r>
        </a:p>
      </dsp:txBody>
      <dsp:txXfrm>
        <a:off x="3578698" y="599546"/>
        <a:ext cx="1288228" cy="612966"/>
      </dsp:txXfrm>
    </dsp:sp>
    <dsp:sp modelId="{85DEFB32-BE7A-49EF-A63D-3B913C76EF49}">
      <dsp:nvSpPr>
        <dsp:cNvPr id="0" name=""/>
        <dsp:cNvSpPr/>
      </dsp:nvSpPr>
      <dsp:spPr>
        <a:xfrm>
          <a:off x="653491" y="1402785"/>
          <a:ext cx="924034" cy="5867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3B232FB-4F42-44F4-BF43-8CDB05BF3107}">
      <dsp:nvSpPr>
        <dsp:cNvPr id="0" name=""/>
        <dsp:cNvSpPr/>
      </dsp:nvSpPr>
      <dsp:spPr>
        <a:xfrm>
          <a:off x="756162" y="1500322"/>
          <a:ext cx="924034" cy="58676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pt-BR" sz="1200" kern="1200">
              <a:latin typeface="Times New Roman" pitchFamily="18" charset="0"/>
              <a:cs typeface="Times New Roman" pitchFamily="18" charset="0"/>
            </a:rPr>
            <a:t>Unidade de Apoio a Diretoria</a:t>
          </a:r>
        </a:p>
      </dsp:txBody>
      <dsp:txXfrm>
        <a:off x="773348" y="1517508"/>
        <a:ext cx="889662" cy="552390"/>
      </dsp:txXfrm>
    </dsp:sp>
    <dsp:sp modelId="{1FD81437-32DD-4FB7-B9F1-80134D5EC389}">
      <dsp:nvSpPr>
        <dsp:cNvPr id="0" name=""/>
        <dsp:cNvSpPr/>
      </dsp:nvSpPr>
      <dsp:spPr>
        <a:xfrm>
          <a:off x="1782867" y="1402785"/>
          <a:ext cx="1152613" cy="5867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DAB70BF-6439-4B96-97B0-60F6C5CA0989}">
      <dsp:nvSpPr>
        <dsp:cNvPr id="0" name=""/>
        <dsp:cNvSpPr/>
      </dsp:nvSpPr>
      <dsp:spPr>
        <a:xfrm>
          <a:off x="1885538" y="1500322"/>
          <a:ext cx="1152613" cy="58676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pt-BR" sz="1200" kern="1200">
              <a:latin typeface="Times New Roman" pitchFamily="18" charset="0"/>
              <a:cs typeface="Times New Roman" pitchFamily="18" charset="0"/>
            </a:rPr>
            <a:t>Divisão Administrativa</a:t>
          </a:r>
        </a:p>
      </dsp:txBody>
      <dsp:txXfrm>
        <a:off x="1902724" y="1517508"/>
        <a:ext cx="1118241" cy="552390"/>
      </dsp:txXfrm>
    </dsp:sp>
    <dsp:sp modelId="{A6D4EC09-AA83-4D3F-A690-EA6940DD91E2}">
      <dsp:nvSpPr>
        <dsp:cNvPr id="0" name=""/>
        <dsp:cNvSpPr/>
      </dsp:nvSpPr>
      <dsp:spPr>
        <a:xfrm>
          <a:off x="290" y="2258288"/>
          <a:ext cx="924034" cy="5867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940652B-6804-4E45-ACFF-161929A85173}">
      <dsp:nvSpPr>
        <dsp:cNvPr id="0" name=""/>
        <dsp:cNvSpPr/>
      </dsp:nvSpPr>
      <dsp:spPr>
        <a:xfrm>
          <a:off x="102960" y="2355825"/>
          <a:ext cx="924034" cy="58676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pt-BR" sz="1100" kern="1200" baseline="0">
              <a:latin typeface="Times New Roman" pitchFamily="18" charset="0"/>
            </a:rPr>
            <a:t>Seção de Recursos Humanos</a:t>
          </a:r>
        </a:p>
      </dsp:txBody>
      <dsp:txXfrm>
        <a:off x="120146" y="2373011"/>
        <a:ext cx="889662" cy="552390"/>
      </dsp:txXfrm>
    </dsp:sp>
    <dsp:sp modelId="{B6600944-6099-44D3-A1EC-14E3976FFB4F}">
      <dsp:nvSpPr>
        <dsp:cNvPr id="0" name=""/>
        <dsp:cNvSpPr/>
      </dsp:nvSpPr>
      <dsp:spPr>
        <a:xfrm>
          <a:off x="1129666" y="2258288"/>
          <a:ext cx="924034" cy="5867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6D93DC2-39B2-448B-A8CD-C4E68C78565D}">
      <dsp:nvSpPr>
        <dsp:cNvPr id="0" name=""/>
        <dsp:cNvSpPr/>
      </dsp:nvSpPr>
      <dsp:spPr>
        <a:xfrm>
          <a:off x="1232336" y="2355825"/>
          <a:ext cx="924034" cy="58676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pt-BR" sz="1100" kern="1200" baseline="0">
              <a:latin typeface="Times New Roman" pitchFamily="18" charset="0"/>
            </a:rPr>
            <a:t>Seção de Material e Transporte</a:t>
          </a:r>
        </a:p>
      </dsp:txBody>
      <dsp:txXfrm>
        <a:off x="1249522" y="2373011"/>
        <a:ext cx="889662" cy="552390"/>
      </dsp:txXfrm>
    </dsp:sp>
    <dsp:sp modelId="{DF6EF34B-0496-43C9-ADB5-6208B8249F33}">
      <dsp:nvSpPr>
        <dsp:cNvPr id="0" name=""/>
        <dsp:cNvSpPr/>
      </dsp:nvSpPr>
      <dsp:spPr>
        <a:xfrm>
          <a:off x="2259042" y="2258288"/>
          <a:ext cx="924034" cy="5867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1D5F783-9E4E-4989-BF1B-15F4C80516BB}">
      <dsp:nvSpPr>
        <dsp:cNvPr id="0" name=""/>
        <dsp:cNvSpPr/>
      </dsp:nvSpPr>
      <dsp:spPr>
        <a:xfrm>
          <a:off x="2361712" y="2355825"/>
          <a:ext cx="924034" cy="58676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pt-BR" sz="1100" kern="1200" baseline="0">
              <a:latin typeface="Times New Roman" pitchFamily="18" charset="0"/>
            </a:rPr>
            <a:t>Seção de Contabilidade</a:t>
          </a:r>
        </a:p>
      </dsp:txBody>
      <dsp:txXfrm>
        <a:off x="2378898" y="2373011"/>
        <a:ext cx="889662" cy="552390"/>
      </dsp:txXfrm>
    </dsp:sp>
    <dsp:sp modelId="{E4A0F962-CC22-494E-8FC9-573417576446}">
      <dsp:nvSpPr>
        <dsp:cNvPr id="0" name=""/>
        <dsp:cNvSpPr/>
      </dsp:nvSpPr>
      <dsp:spPr>
        <a:xfrm>
          <a:off x="3388418" y="2258288"/>
          <a:ext cx="1329639" cy="8584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8994C29-F3CC-482E-B7AE-474452D86D0E}">
      <dsp:nvSpPr>
        <dsp:cNvPr id="0" name=""/>
        <dsp:cNvSpPr/>
      </dsp:nvSpPr>
      <dsp:spPr>
        <a:xfrm>
          <a:off x="3491088" y="2355825"/>
          <a:ext cx="1329639" cy="85846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pt-BR" sz="1100" kern="1200" baseline="0">
              <a:latin typeface="Times New Roman" pitchFamily="18" charset="0"/>
            </a:rPr>
            <a:t>Seção de Cadastro, Emissão e Controle de Contas</a:t>
          </a:r>
        </a:p>
      </dsp:txBody>
      <dsp:txXfrm>
        <a:off x="3516231" y="2380968"/>
        <a:ext cx="1279353" cy="808176"/>
      </dsp:txXfrm>
    </dsp:sp>
    <dsp:sp modelId="{8241670A-FF88-4C17-A2E9-6668B64D913C}">
      <dsp:nvSpPr>
        <dsp:cNvPr id="0" name=""/>
        <dsp:cNvSpPr/>
      </dsp:nvSpPr>
      <dsp:spPr>
        <a:xfrm>
          <a:off x="6662759" y="1402785"/>
          <a:ext cx="924034" cy="5867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965B807-1410-4D15-ABD0-B42298CF9F94}">
      <dsp:nvSpPr>
        <dsp:cNvPr id="0" name=""/>
        <dsp:cNvSpPr/>
      </dsp:nvSpPr>
      <dsp:spPr>
        <a:xfrm>
          <a:off x="6765429" y="1500322"/>
          <a:ext cx="924034" cy="58676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pt-BR" sz="1200" kern="1200">
              <a:latin typeface="Times New Roman" pitchFamily="18" charset="0"/>
              <a:cs typeface="Times New Roman" pitchFamily="18" charset="0"/>
            </a:rPr>
            <a:t>Divisão Técnica</a:t>
          </a:r>
        </a:p>
      </dsp:txBody>
      <dsp:txXfrm>
        <a:off x="6782615" y="1517508"/>
        <a:ext cx="889662" cy="552390"/>
      </dsp:txXfrm>
    </dsp:sp>
    <dsp:sp modelId="{2623E928-D869-4929-A568-6F9495285C94}">
      <dsp:nvSpPr>
        <dsp:cNvPr id="0" name=""/>
        <dsp:cNvSpPr/>
      </dsp:nvSpPr>
      <dsp:spPr>
        <a:xfrm>
          <a:off x="4923399" y="2258288"/>
          <a:ext cx="1014627" cy="87471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03FCF2F-78A2-42A8-AACE-D743E8479898}">
      <dsp:nvSpPr>
        <dsp:cNvPr id="0" name=""/>
        <dsp:cNvSpPr/>
      </dsp:nvSpPr>
      <dsp:spPr>
        <a:xfrm>
          <a:off x="5026069" y="2355825"/>
          <a:ext cx="1014627" cy="87471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pt-BR" sz="1100" kern="1200" baseline="0">
              <a:latin typeface="Times New Roman" pitchFamily="18" charset="0"/>
            </a:rPr>
            <a:t>Seção de Elevatórias, Redes e Ramais de Água e Esgoto</a:t>
          </a:r>
        </a:p>
      </dsp:txBody>
      <dsp:txXfrm>
        <a:off x="5051689" y="2381445"/>
        <a:ext cx="963387" cy="823475"/>
      </dsp:txXfrm>
    </dsp:sp>
    <dsp:sp modelId="{3018444C-0325-4C50-8DF0-CDF9EC6EB5D1}">
      <dsp:nvSpPr>
        <dsp:cNvPr id="0" name=""/>
        <dsp:cNvSpPr/>
      </dsp:nvSpPr>
      <dsp:spPr>
        <a:xfrm>
          <a:off x="6143367" y="2258288"/>
          <a:ext cx="924034" cy="5867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C51908C-8D77-448C-A71E-62643A003BE1}">
      <dsp:nvSpPr>
        <dsp:cNvPr id="0" name=""/>
        <dsp:cNvSpPr/>
      </dsp:nvSpPr>
      <dsp:spPr>
        <a:xfrm>
          <a:off x="6246037" y="2355825"/>
          <a:ext cx="924034" cy="58676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pt-BR" sz="1100" kern="1200" baseline="0">
              <a:latin typeface="Times New Roman" pitchFamily="18" charset="0"/>
            </a:rPr>
            <a:t>Seção de Operação e Tratamento</a:t>
          </a:r>
        </a:p>
      </dsp:txBody>
      <dsp:txXfrm>
        <a:off x="6263223" y="2373011"/>
        <a:ext cx="889662" cy="552390"/>
      </dsp:txXfrm>
    </dsp:sp>
    <dsp:sp modelId="{F2DA9060-FDE3-458A-9B6B-18530267B9B7}">
      <dsp:nvSpPr>
        <dsp:cNvPr id="0" name=""/>
        <dsp:cNvSpPr/>
      </dsp:nvSpPr>
      <dsp:spPr>
        <a:xfrm>
          <a:off x="7272743" y="2258288"/>
          <a:ext cx="924034" cy="5867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2F4B6C3-9413-4116-8C85-A5917CE6C6AF}">
      <dsp:nvSpPr>
        <dsp:cNvPr id="0" name=""/>
        <dsp:cNvSpPr/>
      </dsp:nvSpPr>
      <dsp:spPr>
        <a:xfrm>
          <a:off x="7375413" y="2355825"/>
          <a:ext cx="924034" cy="58676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pt-BR" sz="1100" kern="1200" baseline="0">
              <a:latin typeface="Times New Roman" pitchFamily="18" charset="0"/>
            </a:rPr>
            <a:t>Seção de Projetos e Obras</a:t>
          </a:r>
        </a:p>
      </dsp:txBody>
      <dsp:txXfrm>
        <a:off x="7392599" y="2373011"/>
        <a:ext cx="889662" cy="552390"/>
      </dsp:txXfrm>
    </dsp:sp>
    <dsp:sp modelId="{9CE29F2A-FBB2-4730-9698-D97B017C3225}">
      <dsp:nvSpPr>
        <dsp:cNvPr id="0" name=""/>
        <dsp:cNvSpPr/>
      </dsp:nvSpPr>
      <dsp:spPr>
        <a:xfrm>
          <a:off x="8402119" y="2258288"/>
          <a:ext cx="924034" cy="58676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B67CBA2-8B9F-452D-81E1-7038C8831B6E}">
      <dsp:nvSpPr>
        <dsp:cNvPr id="0" name=""/>
        <dsp:cNvSpPr/>
      </dsp:nvSpPr>
      <dsp:spPr>
        <a:xfrm>
          <a:off x="8504789" y="2355825"/>
          <a:ext cx="924034" cy="58676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pt-BR" sz="1100" kern="1200" baseline="0">
              <a:latin typeface="Times New Roman" pitchFamily="18" charset="0"/>
            </a:rPr>
            <a:t>Seção de Atendimento  ao Interior</a:t>
          </a:r>
        </a:p>
      </dsp:txBody>
      <dsp:txXfrm>
        <a:off x="8521975" y="2373011"/>
        <a:ext cx="889662" cy="552390"/>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0.71189</cdr:x>
      <cdr:y>0.86525</cdr:y>
    </cdr:from>
    <cdr:to>
      <cdr:x>0.84388</cdr:x>
      <cdr:y>0.95035</cdr:y>
    </cdr:to>
    <cdr:sp macro="" textlink="">
      <cdr:nvSpPr>
        <cdr:cNvPr id="2" name="Retângulo 1"/>
        <cdr:cNvSpPr/>
      </cdr:nvSpPr>
      <cdr:spPr>
        <a:xfrm xmlns:a="http://schemas.openxmlformats.org/drawingml/2006/main">
          <a:off x="3773722" y="2910177"/>
          <a:ext cx="699714" cy="286247"/>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pt-BR" b="1">
              <a:solidFill>
                <a:schemeClr val="tx1"/>
              </a:solidFill>
              <a:latin typeface="Times New Roman" pitchFamily="18" charset="0"/>
              <a:cs typeface="Times New Roman" pitchFamily="18" charset="0"/>
            </a:rPr>
            <a:t>Anos</a:t>
          </a:r>
        </a:p>
      </cdr:txBody>
    </cdr:sp>
  </cdr:relSizeAnchor>
</c:userShape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53B5D2-10A7-4D1F-9F6D-4A12A7A867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401</Pages>
  <Words>91175</Words>
  <Characters>492351</Characters>
  <Application>Microsoft Office Word</Application>
  <DocSecurity>0</DocSecurity>
  <Lines>4102</Lines>
  <Paragraphs>1164</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582362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Leopoldo</dc:creator>
  <cp:lastModifiedBy>Alex Pereira</cp:lastModifiedBy>
  <cp:revision>5</cp:revision>
  <cp:lastPrinted>2014-09-08T13:38:00Z</cp:lastPrinted>
  <dcterms:created xsi:type="dcterms:W3CDTF">2014-09-05T19:08:00Z</dcterms:created>
  <dcterms:modified xsi:type="dcterms:W3CDTF">2014-09-08T14:41:00Z</dcterms:modified>
</cp:coreProperties>
</file>